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BA" w:rsidRPr="00E45446" w:rsidRDefault="00E45446" w:rsidP="00E45446">
      <w:pPr>
        <w:pStyle w:val="Title"/>
        <w:jc w:val="center"/>
        <w:rPr>
          <w:rFonts w:ascii="Times New Roman" w:hAnsi="Times New Roman" w:cs="Times New Roman"/>
          <w:lang w:val="pl-PL"/>
        </w:rPr>
      </w:pPr>
      <w:r w:rsidRPr="00E45446">
        <w:rPr>
          <w:rFonts w:ascii="Times New Roman" w:hAnsi="Times New Roman" w:cs="Times New Roman"/>
          <w:b/>
          <w:lang w:val="pl-PL"/>
        </w:rPr>
        <w:t>Temat projektu</w:t>
      </w:r>
      <w:r w:rsidR="00314ABA" w:rsidRPr="00E45446">
        <w:rPr>
          <w:rFonts w:ascii="Times New Roman" w:hAnsi="Times New Roman" w:cs="Times New Roman"/>
          <w:b/>
          <w:lang w:val="pl-PL"/>
        </w:rPr>
        <w:t>:</w:t>
      </w:r>
      <w:r w:rsidR="00314ABA" w:rsidRPr="00E45446">
        <w:rPr>
          <w:rFonts w:ascii="Times New Roman" w:hAnsi="Times New Roman" w:cs="Times New Roman"/>
          <w:lang w:val="pl-PL"/>
        </w:rPr>
        <w:t xml:space="preserve"> Modele parametryczne</w:t>
      </w:r>
      <w:r w:rsidRPr="00E45446">
        <w:rPr>
          <w:rFonts w:ascii="Times New Roman" w:hAnsi="Times New Roman" w:cs="Times New Roman"/>
          <w:lang w:val="pl-PL"/>
        </w:rPr>
        <w:t xml:space="preserve"> w analizie historii zdarzeń</w:t>
      </w: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</w:p>
    <w:p w:rsidR="00E45446" w:rsidRDefault="00E45446">
      <w:pPr>
        <w:pStyle w:val="TOCHeading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45446" w:rsidRPr="00E45446" w:rsidRDefault="00E45446" w:rsidP="00E45446">
      <w:pPr>
        <w:pStyle w:val="TOCHeading"/>
        <w:jc w:val="right"/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</w:pPr>
      <w:r w:rsidRPr="00E45446"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  <w:t>Autor: Sebastian B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pl-PL"/>
        </w:rPr>
        <w:t>oruch</w:t>
      </w:r>
      <w:bookmarkStart w:id="0" w:name="_GoBack"/>
      <w:bookmarkEnd w:id="0"/>
    </w:p>
    <w:p w:rsidR="005948FC" w:rsidRPr="00E45446" w:rsidRDefault="005948FC">
      <w:pPr>
        <w:rPr>
          <w:rFonts w:ascii="Times New Roman"/>
          <w:lang w:val="pl-PL"/>
        </w:rPr>
      </w:pPr>
    </w:p>
    <w:p w:rsidR="003B0A8C" w:rsidRPr="005948FC" w:rsidRDefault="003B0A8C" w:rsidP="00314ABA">
      <w:pPr>
        <w:rPr>
          <w:rFonts w:ascii="Times New Roman"/>
          <w:lang w:val="pl-PL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148744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5446" w:rsidRPr="00E45446" w:rsidRDefault="00E45446" w:rsidP="00E45446">
          <w:pPr>
            <w:pStyle w:val="TOCHeading"/>
            <w:rPr>
              <w:rFonts w:ascii="Times New Roman" w:hAnsi="Times New Roman" w:cs="Times New Roman"/>
              <w:lang w:val="pl-PL"/>
            </w:rPr>
          </w:pPr>
          <w:r w:rsidRPr="00E45446">
            <w:rPr>
              <w:rFonts w:ascii="Times New Roman" w:hAnsi="Times New Roman" w:cs="Times New Roman"/>
              <w:lang w:val="pl-PL"/>
            </w:rPr>
            <w:t>Spis treści</w:t>
          </w:r>
        </w:p>
        <w:p w:rsidR="00E45446" w:rsidRDefault="00E45446" w:rsidP="00E45446">
          <w:pPr>
            <w:pStyle w:val="TOC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r w:rsidRPr="005948FC">
            <w:rPr>
              <w:rFonts w:ascii="Times New Roman"/>
            </w:rPr>
            <w:fldChar w:fldCharType="begin"/>
          </w:r>
          <w:r w:rsidRPr="005948FC">
            <w:rPr>
              <w:rFonts w:ascii="Times New Roman"/>
            </w:rPr>
            <w:instrText xml:space="preserve"> TOC \o "1-3" \h \z \u </w:instrText>
          </w:r>
          <w:r w:rsidRPr="005948FC">
            <w:rPr>
              <w:rFonts w:ascii="Times New Roman"/>
            </w:rPr>
            <w:fldChar w:fldCharType="separate"/>
          </w:r>
          <w:hyperlink w:anchor="_Toc507664491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1. Opis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2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2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1.1. Kategoryzacja zmiennej DAWKA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3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2. Interpretacja wyników procedury LIFEREG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2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4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2.1. Wyniki modelu z rozkładem wykładniczym bez zmiennych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2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5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2.2. Wyniki modelu z rozkładem wykładniczym ze zmiennymi objaśniającymi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2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6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2.3. Wyniki modelu z rozkładem Weibulla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2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7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2.4. Test stosunku wiarygodności (TSW)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8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3.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pStyle w:val="TOC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507664499" w:history="1">
            <w:r w:rsidRPr="00965ADF">
              <w:rPr>
                <w:rStyle w:val="Hyperlink"/>
                <w:rFonts w:ascii="Times New Roman"/>
                <w:noProof/>
                <w:lang w:val="pl-PL"/>
              </w:rPr>
              <w:t>4. Kod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46" w:rsidRDefault="00E45446" w:rsidP="00E45446">
          <w:pPr>
            <w:rPr>
              <w:rFonts w:ascii="Times New Roman"/>
              <w:b/>
              <w:bCs/>
              <w:noProof/>
            </w:rPr>
          </w:pPr>
          <w:r w:rsidRPr="005948FC">
            <w:rPr>
              <w:rFonts w:ascii="Times New Roman"/>
              <w:b/>
              <w:bCs/>
              <w:noProof/>
            </w:rPr>
            <w:fldChar w:fldCharType="end"/>
          </w:r>
        </w:p>
      </w:sdtContent>
    </w:sdt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BE756F" w:rsidRPr="005948FC" w:rsidRDefault="00BE756F" w:rsidP="00314ABA">
      <w:pPr>
        <w:rPr>
          <w:rFonts w:ascii="Times New Roman"/>
          <w:lang w:val="pl-PL"/>
        </w:rPr>
      </w:pPr>
    </w:p>
    <w:p w:rsidR="007E4A6C" w:rsidRPr="005948FC" w:rsidRDefault="00287562" w:rsidP="00041235">
      <w:pPr>
        <w:pStyle w:val="Heading1"/>
        <w:spacing w:after="240"/>
        <w:rPr>
          <w:rFonts w:ascii="Times New Roman" w:hAnsi="Times New Roman" w:cs="Times New Roman"/>
          <w:lang w:val="pl-PL"/>
        </w:rPr>
      </w:pPr>
      <w:bookmarkStart w:id="1" w:name="_Toc507664491"/>
      <w:r w:rsidRPr="005948FC">
        <w:rPr>
          <w:rFonts w:ascii="Times New Roman" w:hAnsi="Times New Roman" w:cs="Times New Roman"/>
          <w:lang w:val="pl-PL"/>
        </w:rPr>
        <w:lastRenderedPageBreak/>
        <w:t xml:space="preserve">1. </w:t>
      </w:r>
      <w:r w:rsidR="006C48D7" w:rsidRPr="005948FC">
        <w:rPr>
          <w:rFonts w:ascii="Times New Roman" w:hAnsi="Times New Roman" w:cs="Times New Roman"/>
          <w:lang w:val="pl-PL"/>
        </w:rPr>
        <w:t>Opis danych</w:t>
      </w:r>
      <w:bookmarkEnd w:id="1"/>
    </w:p>
    <w:p w:rsidR="006C48D7" w:rsidRPr="005948FC" w:rsidRDefault="006C48D7" w:rsidP="006C48D7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Australijskie badanie przeprowadzone przez </w:t>
      </w:r>
      <w:proofErr w:type="spellStart"/>
      <w:r w:rsidRPr="005948FC">
        <w:rPr>
          <w:rFonts w:ascii="Times New Roman"/>
          <w:lang w:val="pl-PL"/>
        </w:rPr>
        <w:t>Caplehorna</w:t>
      </w:r>
      <w:proofErr w:type="spellEnd"/>
      <w:r w:rsidRPr="005948FC">
        <w:rPr>
          <w:rFonts w:ascii="Times New Roman"/>
          <w:lang w:val="pl-PL"/>
        </w:rPr>
        <w:t xml:space="preserve"> i Bell (1991) z departamentu zdrowia publicznego Uniwersytetu w Sydney porównywało czas przeżycia w dwóch klinikach leczenia metadonem dla osób uzależnionych od heroiny. Czas przeżycia pacjenta określono jako czas w dniach, aż pacjent powrócił do nałogu lub opuścił klinikę. Obie kliniki różniły się w zależności od ogólnej polityki leczenia. Celem było zidentyfikowanie czynników, które wpływają na czas przeżycia: klinika, maksymalna dzienna dawka metadonu i (nie)obecność w więzieniu.</w:t>
      </w:r>
    </w:p>
    <w:p w:rsidR="006C48D7" w:rsidRPr="005948FC" w:rsidRDefault="006C48D7" w:rsidP="006C48D7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Proces leczenia pacjentów metadonem badano w kohorcie 238 osób uzależnionych od heroiny, którzy weszli do programu terapii uzależnień od lutego 1986 do sierpnia 1987 r. Wszyscy pacjenci zostali ocenieni w tym samym instytucie i odesłani do jednej z dwóch placówek leczniczych w celu rozpoczęcia terapii.</w:t>
      </w:r>
    </w:p>
    <w:p w:rsidR="00BE756F" w:rsidRPr="005948FC" w:rsidRDefault="00BE756F" w:rsidP="00BE756F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Rozkład </w:t>
      </w:r>
      <w:proofErr w:type="spellStart"/>
      <w:r w:rsidRPr="005948FC">
        <w:rPr>
          <w:rFonts w:ascii="Times New Roman"/>
          <w:lang w:val="pl-PL"/>
        </w:rPr>
        <w:t>Weibulla</w:t>
      </w:r>
      <w:proofErr w:type="spellEnd"/>
      <w:r w:rsidRPr="005948FC">
        <w:rPr>
          <w:rFonts w:ascii="Times New Roman"/>
          <w:lang w:val="pl-PL"/>
        </w:rPr>
        <w:t xml:space="preserve"> </w:t>
      </w:r>
      <w:r w:rsidR="00533D20" w:rsidRPr="005948FC">
        <w:rPr>
          <w:rFonts w:ascii="Times New Roman"/>
          <w:lang w:val="pl-PL"/>
        </w:rPr>
        <w:t>to</w:t>
      </w:r>
      <w:r w:rsidRPr="005948FC">
        <w:rPr>
          <w:rFonts w:ascii="Times New Roman"/>
          <w:lang w:val="pl-PL"/>
        </w:rPr>
        <w:t xml:space="preserve"> ciągły rozkład prawdopodobieństwa często stosowany w analizie przeżycia do modelowania sytuacji, gdy prawdopodobieństwo awarii zmienia się w czasie.</w:t>
      </w:r>
    </w:p>
    <w:p w:rsidR="006C48D7" w:rsidRPr="005948FC" w:rsidRDefault="00BE756F" w:rsidP="00BE756F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Może on w zależności od parametrów przypominać zarówno rozkład normalny, jak i rozkład wykładniczy (sprowadza się do niego dla k=1). Model wykładniczy jest szczególnym przypadkiem</w:t>
      </w:r>
      <w:r w:rsidR="00533D20" w:rsidRPr="005948FC">
        <w:rPr>
          <w:rFonts w:ascii="Times New Roman"/>
          <w:lang w:val="pl-PL"/>
        </w:rPr>
        <w:t xml:space="preserve"> modelu</w:t>
      </w:r>
      <w:r w:rsidRPr="005948FC">
        <w:rPr>
          <w:rFonts w:ascii="Times New Roman"/>
          <w:lang w:val="pl-PL"/>
        </w:rPr>
        <w:t xml:space="preserve"> </w:t>
      </w:r>
      <w:proofErr w:type="spellStart"/>
      <w:r w:rsidRPr="005948FC">
        <w:rPr>
          <w:rFonts w:ascii="Times New Roman"/>
          <w:lang w:val="pl-PL"/>
        </w:rPr>
        <w:t>Weibulla</w:t>
      </w:r>
      <w:proofErr w:type="spellEnd"/>
      <w:r w:rsidRPr="005948FC">
        <w:rPr>
          <w:rFonts w:ascii="Times New Roman"/>
          <w:lang w:val="pl-PL"/>
        </w:rPr>
        <w:t>. Model przedziałami stały zakłada, że funkcja hazardu jest przedziałami stała.</w:t>
      </w:r>
    </w:p>
    <w:p w:rsidR="00533D20" w:rsidRPr="005948FC" w:rsidRDefault="00533D20" w:rsidP="00220502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W programie SAS rozkład </w:t>
      </w:r>
      <w:proofErr w:type="spellStart"/>
      <w:r w:rsidR="00220502" w:rsidRPr="005948FC">
        <w:rPr>
          <w:rFonts w:ascii="Times New Roman"/>
          <w:lang w:val="pl-PL"/>
        </w:rPr>
        <w:t>Weibulla</w:t>
      </w:r>
      <w:proofErr w:type="spellEnd"/>
      <w:r w:rsidR="00220502" w:rsidRPr="005948FC">
        <w:rPr>
          <w:rFonts w:ascii="Times New Roman"/>
          <w:lang w:val="pl-PL"/>
        </w:rPr>
        <w:t xml:space="preserve"> wykorzystywany jest za pomocą procedury LIFEREG. Procedura LIFEREG umożliwia parametryczną estymację czasu porażki. Analizowane dane mogą być cenzurowane prawostronnie, lewostronnie bądź przedziałowo. Procedura ta wykorzystuje algorytm Newtona-</w:t>
      </w:r>
      <w:proofErr w:type="spellStart"/>
      <w:r w:rsidR="00220502" w:rsidRPr="005948FC">
        <w:rPr>
          <w:rFonts w:ascii="Times New Roman"/>
          <w:lang w:val="pl-PL"/>
        </w:rPr>
        <w:t>Raphsona</w:t>
      </w:r>
      <w:proofErr w:type="spellEnd"/>
      <w:r w:rsidR="00220502" w:rsidRPr="005948FC">
        <w:rPr>
          <w:rFonts w:ascii="Times New Roman"/>
          <w:lang w:val="pl-PL"/>
        </w:rPr>
        <w:t xml:space="preserve"> w celu estymacji parametrów, używając maksymalnej wiarygodności. Procedura uniemożliwia uwzględnienie zmiennych zależnych od czasu. Obserwacje nie mogą zawierać braków danych dla zmiennej zależnej – obserwacja zostaje wtedy ocenzurowana. Usuwane są również obserwacje które mają braki danych przy zmiennych objaśniających.</w:t>
      </w:r>
    </w:p>
    <w:p w:rsidR="00BE56D4" w:rsidRPr="005948FC" w:rsidRDefault="00287562" w:rsidP="00287562">
      <w:pPr>
        <w:pStyle w:val="Heading2"/>
        <w:spacing w:after="240"/>
        <w:rPr>
          <w:rFonts w:ascii="Times New Roman" w:hAnsi="Times New Roman" w:cs="Times New Roman"/>
          <w:lang w:val="pl-PL"/>
        </w:rPr>
      </w:pPr>
      <w:bookmarkStart w:id="2" w:name="_Toc507664492"/>
      <w:r w:rsidRPr="005948FC">
        <w:rPr>
          <w:rFonts w:ascii="Times New Roman" w:hAnsi="Times New Roman" w:cs="Times New Roman"/>
          <w:lang w:val="pl-PL"/>
        </w:rPr>
        <w:t xml:space="preserve">1.1. </w:t>
      </w:r>
      <w:r w:rsidR="00BE56D4" w:rsidRPr="005948FC">
        <w:rPr>
          <w:rFonts w:ascii="Times New Roman" w:hAnsi="Times New Roman" w:cs="Times New Roman"/>
          <w:lang w:val="pl-PL"/>
        </w:rPr>
        <w:t xml:space="preserve">Kategoryzacja zmiennej </w:t>
      </w:r>
      <w:r w:rsidRPr="005948FC">
        <w:rPr>
          <w:rFonts w:ascii="Times New Roman" w:hAnsi="Times New Roman" w:cs="Times New Roman"/>
          <w:lang w:val="pl-PL"/>
        </w:rPr>
        <w:t>DAWKA</w:t>
      </w:r>
      <w:bookmarkEnd w:id="2"/>
    </w:p>
    <w:p w:rsidR="00BE56D4" w:rsidRPr="005948FC" w:rsidRDefault="00BE56D4" w:rsidP="00220502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Trudności w interpretacji może sprawiać pierwotna postać zmiennej DAWKA- jest to zmienna ilościowa z 15 poziomami. Dla potrzeb tej analizy, w celu ułatwienia interpretacji, zmienna DAWKA została skategoryzowana na 3 kategorie:</w:t>
      </w:r>
    </w:p>
    <w:p w:rsidR="00BE56D4" w:rsidRPr="005948FC" w:rsidRDefault="00BE56D4" w:rsidP="00BE56D4">
      <w:pPr>
        <w:pStyle w:val="ListParagraph"/>
        <w:numPr>
          <w:ilvl w:val="0"/>
          <w:numId w:val="7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poniżej 60 mg/dzień</w:t>
      </w:r>
    </w:p>
    <w:p w:rsidR="00BE56D4" w:rsidRPr="005948FC" w:rsidRDefault="00BE56D4" w:rsidP="00BE56D4">
      <w:pPr>
        <w:pStyle w:val="ListParagraph"/>
        <w:numPr>
          <w:ilvl w:val="0"/>
          <w:numId w:val="7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60 mg/dzień</w:t>
      </w:r>
    </w:p>
    <w:p w:rsidR="00BE56D4" w:rsidRPr="005948FC" w:rsidRDefault="00BE56D4" w:rsidP="00BE56D4">
      <w:pPr>
        <w:pStyle w:val="ListParagraph"/>
        <w:numPr>
          <w:ilvl w:val="0"/>
          <w:numId w:val="7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powyżej 60/ dzień</w:t>
      </w:r>
    </w:p>
    <w:p w:rsidR="00BE56D4" w:rsidRPr="005948FC" w:rsidRDefault="00BE56D4" w:rsidP="00BE56D4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Jest to kategoryzacja zgodna z rozkładem tej zmiennej- dominantą w rozkładzie była wartość 60, a pozostałe dwie kategorie są równoliczne. Rozkład zmiennej był zbliżony do normalnego.</w:t>
      </w: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431" w:rsidP="00220502">
      <w:pPr>
        <w:rPr>
          <w:rFonts w:ascii="Times New Roman"/>
          <w:lang w:val="pl-PL"/>
        </w:rPr>
      </w:pPr>
    </w:p>
    <w:p w:rsidR="00287431" w:rsidRPr="005948FC" w:rsidRDefault="00287562" w:rsidP="00287562">
      <w:pPr>
        <w:pStyle w:val="Heading1"/>
        <w:rPr>
          <w:rFonts w:ascii="Times New Roman" w:hAnsi="Times New Roman" w:cs="Times New Roman"/>
          <w:lang w:val="pl-PL"/>
        </w:rPr>
      </w:pPr>
      <w:bookmarkStart w:id="3" w:name="_Toc507664493"/>
      <w:r w:rsidRPr="005948FC">
        <w:rPr>
          <w:rFonts w:ascii="Times New Roman" w:hAnsi="Times New Roman" w:cs="Times New Roman"/>
          <w:lang w:val="pl-PL"/>
        </w:rPr>
        <w:lastRenderedPageBreak/>
        <w:t xml:space="preserve">2. </w:t>
      </w:r>
      <w:r w:rsidR="00287431" w:rsidRPr="005948FC">
        <w:rPr>
          <w:rFonts w:ascii="Times New Roman" w:hAnsi="Times New Roman" w:cs="Times New Roman"/>
          <w:lang w:val="pl-PL"/>
        </w:rPr>
        <w:t>Interpretacja wyników procedury LIFEREG</w:t>
      </w:r>
      <w:bookmarkEnd w:id="3"/>
    </w:p>
    <w:p w:rsidR="0040084C" w:rsidRPr="005948FC" w:rsidRDefault="0040084C" w:rsidP="00220502">
      <w:pPr>
        <w:rPr>
          <w:rFonts w:ascii="Times New Roman"/>
          <w:lang w:val="pl-PL"/>
        </w:rPr>
      </w:pPr>
    </w:p>
    <w:p w:rsidR="0040084C" w:rsidRPr="005948FC" w:rsidRDefault="00287562" w:rsidP="00287562">
      <w:pPr>
        <w:pStyle w:val="Heading2"/>
        <w:spacing w:after="240"/>
        <w:rPr>
          <w:rFonts w:ascii="Times New Roman" w:hAnsi="Times New Roman" w:cs="Times New Roman"/>
          <w:lang w:val="pl-PL"/>
        </w:rPr>
      </w:pPr>
      <w:bookmarkStart w:id="4" w:name="_Toc507664494"/>
      <w:r w:rsidRPr="005948FC">
        <w:rPr>
          <w:rFonts w:ascii="Times New Roman" w:hAnsi="Times New Roman" w:cs="Times New Roman"/>
          <w:lang w:val="pl-PL"/>
        </w:rPr>
        <w:t xml:space="preserve">2.1. </w:t>
      </w:r>
      <w:r w:rsidR="000F712B" w:rsidRPr="005948FC">
        <w:rPr>
          <w:rFonts w:ascii="Times New Roman" w:hAnsi="Times New Roman" w:cs="Times New Roman"/>
          <w:lang w:val="pl-PL"/>
        </w:rPr>
        <w:t>W</w:t>
      </w:r>
      <w:r w:rsidR="0040084C" w:rsidRPr="005948FC">
        <w:rPr>
          <w:rFonts w:ascii="Times New Roman" w:hAnsi="Times New Roman" w:cs="Times New Roman"/>
          <w:lang w:val="pl-PL"/>
        </w:rPr>
        <w:t>ynik</w:t>
      </w:r>
      <w:r w:rsidR="000F712B" w:rsidRPr="005948FC">
        <w:rPr>
          <w:rFonts w:ascii="Times New Roman" w:hAnsi="Times New Roman" w:cs="Times New Roman"/>
          <w:lang w:val="pl-PL"/>
        </w:rPr>
        <w:t>i</w:t>
      </w:r>
      <w:r w:rsidR="0040084C" w:rsidRPr="005948FC">
        <w:rPr>
          <w:rFonts w:ascii="Times New Roman" w:hAnsi="Times New Roman" w:cs="Times New Roman"/>
          <w:lang w:val="pl-PL"/>
        </w:rPr>
        <w:t xml:space="preserve"> modelu z rozkładem wykładniczym bez zmiennych</w:t>
      </w:r>
      <w:bookmarkEnd w:id="4"/>
    </w:p>
    <w:p w:rsidR="006C48D7" w:rsidRPr="005948FC" w:rsidRDefault="006C48D7" w:rsidP="006C48D7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drawing>
          <wp:inline distT="0" distB="0" distL="0" distR="0" wp14:anchorId="2C195306" wp14:editId="0C015D55">
            <wp:extent cx="3520655" cy="5105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219" cy="51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D7" w:rsidRPr="005948FC" w:rsidRDefault="006C48D7" w:rsidP="006C48D7">
      <w:pPr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>Tabela 1. Podstawowe statystyki modelu z rozkładem wykładniczym bez zmiennych</w:t>
      </w:r>
    </w:p>
    <w:p w:rsidR="00220502" w:rsidRPr="005948FC" w:rsidRDefault="00220502" w:rsidP="00220502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Występuje tu tylko jeden parametr – parametr α. Logarytm funkcji wiarygodności nie jest w tym modelu wprost interpretowalny, ale będzie wykorzystany do późniejszego porównania modeli między sobą (TSW). Warto dodać, że każdy model dąży do maksymalizacji funkcji wiarygodności, więc model z większym log. wiarygodności uznaje się za lepszy. </w:t>
      </w:r>
    </w:p>
    <w:p w:rsidR="00220502" w:rsidRPr="005948FC" w:rsidRDefault="00220502" w:rsidP="00220502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Statystyki</w:t>
      </w:r>
      <w:r w:rsidR="00287431" w:rsidRPr="005948FC">
        <w:rPr>
          <w:rFonts w:ascii="Times New Roman"/>
          <w:lang w:val="pl-PL"/>
        </w:rPr>
        <w:t xml:space="preserve"> dopasowania- najpierw widoczne są wyniki dla logarytmu zmiennej zależnej (log zmiennej czasowej), a następnie dla niezlogarytmowanej zmiennej czasowej. Wyniki te w tym momencie nie są interpretowalne. Będą one porównywane pomiędzy modelami. Wybiera się ten model, który ma jak najmniejsze wartości statystyk dopasowania. </w:t>
      </w:r>
    </w:p>
    <w:p w:rsidR="006C48D7" w:rsidRPr="005948FC" w:rsidRDefault="006C48D7" w:rsidP="006C48D7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lastRenderedPageBreak/>
        <w:drawing>
          <wp:inline distT="0" distB="0" distL="0" distR="0" wp14:anchorId="0880AC69" wp14:editId="22A37309">
            <wp:extent cx="5334000" cy="1621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247" cy="16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D7" w:rsidRPr="005948FC" w:rsidRDefault="006C48D7" w:rsidP="006C48D7">
      <w:pPr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>Tabela 2. Analiza ocen parametrów modelu z rozkładem wykładniczym bez zmiennych</w:t>
      </w:r>
    </w:p>
    <w:p w:rsidR="00287431" w:rsidRPr="005948FC" w:rsidRDefault="00287431" w:rsidP="00287431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Parametry zostały oszacowane za pomocą metody największej wiarygodności. </w:t>
      </w:r>
      <w:proofErr w:type="spellStart"/>
      <w:r w:rsidRPr="005948FC">
        <w:rPr>
          <w:rFonts w:ascii="Times New Roman"/>
          <w:lang w:val="pl-PL"/>
        </w:rPr>
        <w:t>Intercept</w:t>
      </w:r>
      <w:proofErr w:type="spellEnd"/>
      <w:r w:rsidRPr="005948FC">
        <w:rPr>
          <w:rFonts w:ascii="Times New Roman"/>
          <w:lang w:val="pl-PL"/>
        </w:rPr>
        <w:t xml:space="preserve"> i Skala to parametry rozkładu zmiennych ekstremalnych. Aby na ich podstawie uzyskać wartości parametrów α i β, należy przeprowadzić następujące obliczenia:</w:t>
      </w:r>
    </w:p>
    <w:p w:rsidR="00287431" w:rsidRPr="005948FC" w:rsidRDefault="00287431" w:rsidP="00C360ED">
      <w:pPr>
        <w:pStyle w:val="ListParagraph"/>
        <w:numPr>
          <w:ilvl w:val="0"/>
          <w:numId w:val="2"/>
        </w:numPr>
        <w:rPr>
          <w:rFonts w:ascii="Times New Roman"/>
        </w:rPr>
      </w:pPr>
      <w:r w:rsidRPr="005948FC">
        <w:rPr>
          <w:rFonts w:ascii="Times New Roman"/>
          <w:lang w:val="pl-PL"/>
        </w:rPr>
        <w:t>α</w:t>
      </w:r>
      <w:r w:rsidRPr="005948FC">
        <w:rPr>
          <w:rFonts w:ascii="Times New Roman"/>
        </w:rPr>
        <w:t xml:space="preserve"> = </w:t>
      </w:r>
      <w:proofErr w:type="spellStart"/>
      <w:r w:rsidRPr="005948FC">
        <w:rPr>
          <w:rFonts w:ascii="Times New Roman"/>
        </w:rPr>
        <w:t>exp</w:t>
      </w:r>
      <w:proofErr w:type="spellEnd"/>
      <w:r w:rsidRPr="005948FC">
        <w:rPr>
          <w:rFonts w:ascii="Times New Roman"/>
        </w:rPr>
        <w:t xml:space="preserve">(-Intercept)  </w:t>
      </w:r>
      <w:r w:rsidRPr="005948FC">
        <w:rPr>
          <w:rFonts w:ascii="Times New Roman"/>
          <w:lang w:val="pl-PL"/>
        </w:rPr>
        <w:sym w:font="Wingdings" w:char="F0E0"/>
      </w:r>
      <w:r w:rsidRPr="005948FC">
        <w:rPr>
          <w:rFonts w:ascii="Times New Roman"/>
        </w:rPr>
        <w:t xml:space="preserve">  </w:t>
      </w:r>
      <w:r w:rsidRPr="005948FC">
        <w:rPr>
          <w:rFonts w:ascii="Times New Roman"/>
          <w:lang w:val="pl-PL"/>
        </w:rPr>
        <w:t>α</w:t>
      </w:r>
      <w:r w:rsidRPr="005948FC">
        <w:rPr>
          <w:rFonts w:ascii="Times New Roman"/>
        </w:rPr>
        <w:t xml:space="preserve"> = </w:t>
      </w:r>
      <w:proofErr w:type="spellStart"/>
      <w:r w:rsidRPr="005948FC">
        <w:rPr>
          <w:rFonts w:ascii="Times New Roman"/>
        </w:rPr>
        <w:t>exp</w:t>
      </w:r>
      <w:proofErr w:type="spellEnd"/>
      <w:r w:rsidRPr="005948FC">
        <w:rPr>
          <w:rFonts w:ascii="Times New Roman"/>
        </w:rPr>
        <w:t xml:space="preserve">(-6,4595) = </w:t>
      </w:r>
      <w:r w:rsidR="00C360ED" w:rsidRPr="005948FC">
        <w:rPr>
          <w:rFonts w:ascii="Times New Roman"/>
        </w:rPr>
        <w:t>0.0015</w:t>
      </w:r>
    </w:p>
    <w:p w:rsidR="00C360ED" w:rsidRPr="005948FC" w:rsidRDefault="00C360ED" w:rsidP="00C360ED">
      <w:pPr>
        <w:pStyle w:val="ListParagraph"/>
        <w:numPr>
          <w:ilvl w:val="0"/>
          <w:numId w:val="2"/>
        </w:numPr>
        <w:rPr>
          <w:rFonts w:ascii="Times New Roman"/>
        </w:rPr>
      </w:pPr>
      <w:r w:rsidRPr="005948FC">
        <w:rPr>
          <w:rFonts w:ascii="Times New Roman"/>
          <w:lang w:val="pl-PL"/>
        </w:rPr>
        <w:t xml:space="preserve">β = 1/Skala </w:t>
      </w:r>
      <w:r w:rsidRPr="005948FC">
        <w:rPr>
          <w:rFonts w:ascii="Times New Roman"/>
          <w:lang w:val="pl-PL"/>
        </w:rPr>
        <w:tab/>
        <w:t xml:space="preserve">      </w:t>
      </w:r>
      <w:r w:rsidRPr="005948FC">
        <w:rPr>
          <w:rFonts w:ascii="Times New Roman"/>
          <w:lang w:val="pl-PL"/>
        </w:rPr>
        <w:sym w:font="Wingdings" w:char="F0E0"/>
      </w:r>
      <w:r w:rsidRPr="005948FC">
        <w:rPr>
          <w:rFonts w:ascii="Times New Roman"/>
          <w:lang w:val="pl-PL"/>
        </w:rPr>
        <w:t xml:space="preserve">  β = 1/1 = 1</w:t>
      </w:r>
    </w:p>
    <w:p w:rsidR="00C360ED" w:rsidRPr="005948FC" w:rsidRDefault="00C360ED" w:rsidP="00C360ED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Parametry funkcji gęstości, przeżycia i hazardu:</w:t>
      </w:r>
    </w:p>
    <w:p w:rsidR="00C360ED" w:rsidRPr="005948FC" w:rsidRDefault="00DD29FD" w:rsidP="00C360ED">
      <w:pPr>
        <w:pStyle w:val="ListParagraph"/>
        <w:numPr>
          <w:ilvl w:val="0"/>
          <w:numId w:val="3"/>
        </w:numPr>
        <w:rPr>
          <w:rFonts w:ascii="Times New Roman"/>
          <w:lang w:val="pl-PL"/>
        </w:rPr>
      </w:pPr>
      <m:oMath>
        <m:acc>
          <m:accPr>
            <m:ctrlPr>
              <w:rPr>
                <w:rFonts w:ascii="Cambria Math" w:hAnsi="Cambria Math"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=0,0015*exp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-0,0015t</m:t>
            </m:r>
          </m:e>
        </m:d>
      </m:oMath>
    </w:p>
    <w:p w:rsidR="00B455DC" w:rsidRPr="005948FC" w:rsidRDefault="00DD29FD" w:rsidP="00C360ED">
      <w:pPr>
        <w:pStyle w:val="ListParagraph"/>
        <w:numPr>
          <w:ilvl w:val="0"/>
          <w:numId w:val="3"/>
        </w:numPr>
        <w:rPr>
          <w:rFonts w:ascii="Times New Roman"/>
          <w:lang w:val="pl-PL"/>
        </w:rPr>
      </w:pPr>
      <m:oMath>
        <m:acc>
          <m:accPr>
            <m:ctrlPr>
              <w:rPr>
                <w:rFonts w:ascii="Cambria Math" w:hAnsi="Cambria Math"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=exp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-0,0015t</m:t>
            </m:r>
          </m:e>
        </m:d>
      </m:oMath>
    </w:p>
    <w:p w:rsidR="00B455DC" w:rsidRPr="005948FC" w:rsidRDefault="00DD29FD" w:rsidP="00B455DC">
      <w:pPr>
        <w:pStyle w:val="ListParagraph"/>
        <w:numPr>
          <w:ilvl w:val="0"/>
          <w:numId w:val="3"/>
        </w:numPr>
        <w:rPr>
          <w:rFonts w:ascii="Times New Roman"/>
          <w:lang w:val="pl-PL"/>
        </w:rPr>
      </w:pPr>
      <m:oMath>
        <m:acc>
          <m:accPr>
            <m:ctrlPr>
              <w:rPr>
                <w:rFonts w:ascii="Cambria Math" w:hAnsi="Cambria Math"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=0,0015</m:t>
        </m:r>
      </m:oMath>
    </w:p>
    <w:p w:rsidR="00B455DC" w:rsidRPr="005948FC" w:rsidRDefault="00B455DC" w:rsidP="00B455DC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Skala </w:t>
      </w:r>
      <w:proofErr w:type="spellStart"/>
      <w:r w:rsidRPr="005948FC">
        <w:rPr>
          <w:rFonts w:ascii="Times New Roman"/>
          <w:lang w:val="pl-PL"/>
        </w:rPr>
        <w:t>Weibulla</w:t>
      </w:r>
      <w:proofErr w:type="spellEnd"/>
      <w:r w:rsidRPr="005948FC">
        <w:rPr>
          <w:rFonts w:ascii="Times New Roman"/>
          <w:lang w:val="pl-PL"/>
        </w:rPr>
        <w:t xml:space="preserve"> to inaczej 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</w:t>
      </w:r>
      <w:proofErr w:type="spellStart"/>
      <w:r w:rsidRPr="005948FC">
        <w:rPr>
          <w:rFonts w:ascii="Times New Roman"/>
          <w:lang w:val="pl-PL"/>
        </w:rPr>
        <w:t>Intercept</w:t>
      </w:r>
      <w:proofErr w:type="spellEnd"/>
      <w:r w:rsidRPr="005948FC">
        <w:rPr>
          <w:rFonts w:ascii="Times New Roman"/>
          <w:lang w:val="pl-PL"/>
        </w:rPr>
        <w:t>)- interpretuje się tę wartość jako średni czas do zajścia zdarzenia (powrotu pacjenta do nałogu), który wynosi 638,75 dni.</w:t>
      </w:r>
    </w:p>
    <w:p w:rsidR="00B455DC" w:rsidRPr="005948FC" w:rsidRDefault="00B455DC" w:rsidP="00B455DC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Badana jest również istotność wyrazu wolnego (</w:t>
      </w:r>
      <w:proofErr w:type="spellStart"/>
      <w:r w:rsidRPr="005948FC">
        <w:rPr>
          <w:rFonts w:ascii="Times New Roman"/>
          <w:lang w:val="pl-PL"/>
        </w:rPr>
        <w:t>Intercept</w:t>
      </w:r>
      <w:proofErr w:type="spellEnd"/>
      <w:r w:rsidRPr="005948FC">
        <w:rPr>
          <w:rFonts w:ascii="Times New Roman"/>
          <w:lang w:val="pl-PL"/>
        </w:rPr>
        <w:t>):</w:t>
      </w:r>
    </w:p>
    <w:p w:rsidR="00B455DC" w:rsidRPr="005948FC" w:rsidRDefault="00B455DC" w:rsidP="00B455DC">
      <w:pPr>
        <w:pStyle w:val="ListParagraph"/>
        <w:numPr>
          <w:ilvl w:val="0"/>
          <w:numId w:val="4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H0 - nieistotny statystycznie</w:t>
      </w:r>
    </w:p>
    <w:p w:rsidR="00B455DC" w:rsidRPr="005948FC" w:rsidRDefault="00B455DC" w:rsidP="00B455DC">
      <w:pPr>
        <w:pStyle w:val="ListParagraph"/>
        <w:numPr>
          <w:ilvl w:val="0"/>
          <w:numId w:val="4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H1 - istotny statystycznie</w:t>
      </w:r>
    </w:p>
    <w:p w:rsidR="00B455DC" w:rsidRPr="005948FC" w:rsidRDefault="00B455DC" w:rsidP="00B455DC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Na poziomie istotności 5% można odrzucić H0 na rzecz hipotezy alternatywnej, która uznaje parametr za istotny statystycznie.</w:t>
      </w:r>
    </w:p>
    <w:p w:rsidR="00B455DC" w:rsidRPr="005948FC" w:rsidRDefault="00B455DC" w:rsidP="00B455DC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Test mnożników </w:t>
      </w:r>
      <w:proofErr w:type="spellStart"/>
      <w:r w:rsidRPr="005948FC">
        <w:rPr>
          <w:rFonts w:ascii="Times New Roman"/>
          <w:lang w:val="pl-PL"/>
        </w:rPr>
        <w:t>Lagrange’a</w:t>
      </w:r>
      <w:proofErr w:type="spellEnd"/>
      <w:r w:rsidRPr="005948FC">
        <w:rPr>
          <w:rFonts w:ascii="Times New Roman"/>
          <w:lang w:val="pl-PL"/>
        </w:rPr>
        <w:t xml:space="preserve"> - jest to test punktowy, który bada hipotezę, że parametr Skala (β) = 1. Zatem, test bada czy model wykładniczy jest dobrym </w:t>
      </w:r>
      <w:r w:rsidR="0040084C" w:rsidRPr="005948FC">
        <w:rPr>
          <w:rFonts w:ascii="Times New Roman"/>
          <w:lang w:val="pl-PL"/>
        </w:rPr>
        <w:t>modelem do dopasowania do empirycznego rozkładu zmiennej czasowej. Test ten weryfikuje, czy parametr powinien być równy 1.</w:t>
      </w:r>
    </w:p>
    <w:p w:rsidR="0040084C" w:rsidRPr="005948FC" w:rsidRDefault="0040084C" w:rsidP="0040084C">
      <w:pPr>
        <w:pStyle w:val="ListParagraph"/>
        <w:numPr>
          <w:ilvl w:val="0"/>
          <w:numId w:val="5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H0: β = 1</w:t>
      </w:r>
    </w:p>
    <w:p w:rsidR="0040084C" w:rsidRPr="005948FC" w:rsidRDefault="0040084C" w:rsidP="0040084C">
      <w:pPr>
        <w:pStyle w:val="ListParagraph"/>
        <w:numPr>
          <w:ilvl w:val="0"/>
          <w:numId w:val="5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H1: β ≠ 1</w:t>
      </w:r>
    </w:p>
    <w:p w:rsidR="0040084C" w:rsidRPr="005948FC" w:rsidRDefault="0040084C" w:rsidP="0040084C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Na poziomie istotności 5% można odrzucić H0 na rzecz hipotezy alternatywnej, zatem można stwierdzić że rozkład wykładniczy nie jest odpowiednim rozkładem z punktu widzenia dopasowania do zmiennej czasowej.</w:t>
      </w:r>
    </w:p>
    <w:p w:rsidR="000F712B" w:rsidRPr="005948FC" w:rsidRDefault="000F712B" w:rsidP="0040084C">
      <w:pPr>
        <w:rPr>
          <w:rFonts w:ascii="Times New Roman"/>
          <w:lang w:val="pl-PL"/>
        </w:rPr>
      </w:pPr>
    </w:p>
    <w:p w:rsidR="000F712B" w:rsidRPr="005948FC" w:rsidRDefault="000F712B" w:rsidP="0040084C">
      <w:pPr>
        <w:rPr>
          <w:rFonts w:ascii="Times New Roman"/>
          <w:lang w:val="pl-PL"/>
        </w:rPr>
      </w:pPr>
    </w:p>
    <w:p w:rsidR="000F712B" w:rsidRPr="005948FC" w:rsidRDefault="000F712B" w:rsidP="0040084C">
      <w:pPr>
        <w:rPr>
          <w:rFonts w:ascii="Times New Roman"/>
          <w:lang w:val="pl-PL"/>
        </w:rPr>
      </w:pPr>
    </w:p>
    <w:p w:rsidR="000F712B" w:rsidRPr="005948FC" w:rsidRDefault="000F712B" w:rsidP="0040084C">
      <w:pPr>
        <w:rPr>
          <w:rFonts w:ascii="Times New Roman"/>
          <w:lang w:val="pl-PL"/>
        </w:rPr>
      </w:pPr>
    </w:p>
    <w:p w:rsidR="000F712B" w:rsidRPr="005948FC" w:rsidRDefault="000F712B" w:rsidP="0040084C">
      <w:pPr>
        <w:rPr>
          <w:rFonts w:ascii="Times New Roman"/>
          <w:lang w:val="pl-PL"/>
        </w:rPr>
      </w:pPr>
    </w:p>
    <w:p w:rsidR="000F712B" w:rsidRPr="005948FC" w:rsidRDefault="000F712B" w:rsidP="0040084C">
      <w:pPr>
        <w:rPr>
          <w:rFonts w:ascii="Times New Roman"/>
          <w:lang w:val="pl-PL"/>
        </w:rPr>
      </w:pPr>
    </w:p>
    <w:p w:rsidR="000F712B" w:rsidRPr="005948FC" w:rsidRDefault="000F712B" w:rsidP="0040084C">
      <w:pPr>
        <w:rPr>
          <w:rFonts w:ascii="Times New Roman"/>
          <w:lang w:val="pl-PL"/>
        </w:rPr>
      </w:pPr>
    </w:p>
    <w:p w:rsidR="006C48D7" w:rsidRPr="005948FC" w:rsidRDefault="00287562" w:rsidP="00287562">
      <w:pPr>
        <w:pStyle w:val="Heading2"/>
        <w:spacing w:after="240"/>
        <w:rPr>
          <w:rFonts w:ascii="Times New Roman" w:hAnsi="Times New Roman" w:cs="Times New Roman"/>
          <w:lang w:val="pl-PL"/>
        </w:rPr>
      </w:pPr>
      <w:bookmarkStart w:id="5" w:name="_Toc507664495"/>
      <w:r w:rsidRPr="005948FC">
        <w:rPr>
          <w:rFonts w:ascii="Times New Roman" w:hAnsi="Times New Roman" w:cs="Times New Roman"/>
          <w:lang w:val="pl-PL"/>
        </w:rPr>
        <w:t xml:space="preserve">2.2. </w:t>
      </w:r>
      <w:r w:rsidR="000F712B" w:rsidRPr="005948FC">
        <w:rPr>
          <w:rFonts w:ascii="Times New Roman" w:hAnsi="Times New Roman" w:cs="Times New Roman"/>
          <w:lang w:val="pl-PL"/>
        </w:rPr>
        <w:t>Wyniki modelu z rozkładem wykładniczym ze zmiennymi objaśniającymi</w:t>
      </w:r>
      <w:bookmarkEnd w:id="5"/>
    </w:p>
    <w:p w:rsidR="006C48D7" w:rsidRPr="005948FC" w:rsidRDefault="00BE56D4" w:rsidP="00AE30D3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drawing>
          <wp:inline distT="0" distB="0" distL="0" distR="0" wp14:anchorId="4D9F1AE6" wp14:editId="4FBA8800">
            <wp:extent cx="4152900" cy="575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3" w:rsidRPr="005948FC" w:rsidRDefault="00AE30D3" w:rsidP="00AE30D3">
      <w:pPr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>Tabela 3. Podstawowe statystyki modelu z rozkładem wykładniczym ze zmiennymi</w:t>
      </w:r>
    </w:p>
    <w:p w:rsidR="000F712B" w:rsidRPr="005948FC" w:rsidRDefault="00F071B7" w:rsidP="00F071B7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Powyższe statystyki jak i sposób interpretacji są analogiczne </w:t>
      </w:r>
      <w:r w:rsidR="00B96B03" w:rsidRPr="005948FC">
        <w:rPr>
          <w:rFonts w:ascii="Times New Roman"/>
          <w:lang w:val="pl-PL"/>
        </w:rPr>
        <w:t xml:space="preserve">dla modelu bez zmiennych. Statystyki dopasowania zostaną porównane w dalszej części analizy. Dodatkową informacją jest tu informacja o poziomach klasyfikacji. Zmienna DAWKA posiada </w:t>
      </w:r>
      <w:r w:rsidR="00BE56D4" w:rsidRPr="005948FC">
        <w:rPr>
          <w:rFonts w:ascii="Times New Roman"/>
          <w:lang w:val="pl-PL"/>
        </w:rPr>
        <w:t>3</w:t>
      </w:r>
      <w:r w:rsidR="00B96B03" w:rsidRPr="005948FC">
        <w:rPr>
          <w:rFonts w:ascii="Times New Roman"/>
          <w:lang w:val="pl-PL"/>
        </w:rPr>
        <w:t xml:space="preserve"> poziom</w:t>
      </w:r>
      <w:r w:rsidR="00BE56D4" w:rsidRPr="005948FC">
        <w:rPr>
          <w:rFonts w:ascii="Times New Roman"/>
          <w:lang w:val="pl-PL"/>
        </w:rPr>
        <w:t>y</w:t>
      </w:r>
      <w:r w:rsidR="00B96B03" w:rsidRPr="005948FC">
        <w:rPr>
          <w:rFonts w:ascii="Times New Roman"/>
          <w:lang w:val="pl-PL"/>
        </w:rPr>
        <w:t xml:space="preserve"> </w:t>
      </w:r>
      <w:r w:rsidR="00BE56D4" w:rsidRPr="005948FC">
        <w:rPr>
          <w:rFonts w:ascii="Times New Roman"/>
          <w:lang w:val="pl-PL"/>
        </w:rPr>
        <w:t>po kategoryzacji</w:t>
      </w:r>
      <w:r w:rsidR="00B96B03" w:rsidRPr="005948FC">
        <w:rPr>
          <w:rFonts w:ascii="Times New Roman"/>
          <w:lang w:val="pl-PL"/>
        </w:rPr>
        <w:t>. Zmienne KLINIKA i WIĘZIENIE to zmienne binarne.</w:t>
      </w:r>
      <w:r w:rsidR="00E05F02" w:rsidRPr="005948FC">
        <w:rPr>
          <w:rFonts w:ascii="Times New Roman"/>
          <w:lang w:val="pl-PL"/>
        </w:rPr>
        <w:t xml:space="preserve"> Poziom 1 dla KLINIKA oznacza odbycie przez pacjenta</w:t>
      </w:r>
      <w:r w:rsidR="00BE56D4" w:rsidRPr="005948FC">
        <w:rPr>
          <w:rFonts w:ascii="Times New Roman"/>
          <w:lang w:val="pl-PL"/>
        </w:rPr>
        <w:t xml:space="preserve"> terapii</w:t>
      </w:r>
      <w:r w:rsidR="00E05F02" w:rsidRPr="005948FC">
        <w:rPr>
          <w:rFonts w:ascii="Times New Roman"/>
          <w:lang w:val="pl-PL"/>
        </w:rPr>
        <w:t xml:space="preserve"> w klinice nr 1, poziom 2- w klinice nr 2. Poziom 0 dla WIĘZIENIE oznacza, że pacjent nigdy nie przebywał w więzieniu, poziom 1- że przebywał.</w:t>
      </w:r>
    </w:p>
    <w:p w:rsidR="00D42C3C" w:rsidRPr="005948FC" w:rsidRDefault="00BE56D4" w:rsidP="00D42C3C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lastRenderedPageBreak/>
        <w:drawing>
          <wp:inline distT="0" distB="0" distL="0" distR="0" wp14:anchorId="75A2D113" wp14:editId="732CFA3E">
            <wp:extent cx="5760720" cy="3630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3C" w:rsidRPr="005948FC" w:rsidRDefault="00D42C3C" w:rsidP="00AE30D3">
      <w:pPr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>Tabela 4. Analiza parametrów i efektów modelu z rozkładem wykładniczym ze zmiennymi</w:t>
      </w:r>
    </w:p>
    <w:p w:rsidR="00B96B03" w:rsidRPr="005948FC" w:rsidRDefault="00B96B03" w:rsidP="00B96B03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Analiza efektów typu III- występują tu 3 zmienne: DAWKA (</w:t>
      </w:r>
      <w:r w:rsidR="00BE56D4" w:rsidRPr="005948FC">
        <w:rPr>
          <w:rFonts w:ascii="Times New Roman"/>
          <w:lang w:val="pl-PL"/>
        </w:rPr>
        <w:t>2</w:t>
      </w:r>
      <w:r w:rsidRPr="005948FC">
        <w:rPr>
          <w:rFonts w:ascii="Times New Roman"/>
          <w:lang w:val="pl-PL"/>
        </w:rPr>
        <w:t xml:space="preserve"> stopni</w:t>
      </w:r>
      <w:r w:rsidR="00BE56D4" w:rsidRPr="005948FC">
        <w:rPr>
          <w:rFonts w:ascii="Times New Roman"/>
          <w:lang w:val="pl-PL"/>
        </w:rPr>
        <w:t>e</w:t>
      </w:r>
      <w:r w:rsidRPr="005948FC">
        <w:rPr>
          <w:rFonts w:ascii="Times New Roman"/>
          <w:lang w:val="pl-PL"/>
        </w:rPr>
        <w:t xml:space="preserve"> swobody) oraz KLINIKA i WIĘZIENIE (po jednym stopniu swobody). Liczba kategorii to stopnie swobody + 1. Na podstawie tabeli efektów bada się istotność zmiennych:</w:t>
      </w:r>
    </w:p>
    <w:p w:rsidR="00B96B03" w:rsidRPr="005948FC" w:rsidRDefault="00B96B03" w:rsidP="00B96B03">
      <w:pPr>
        <w:pStyle w:val="ListParagraph"/>
        <w:numPr>
          <w:ilvl w:val="0"/>
          <w:numId w:val="6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H0 – nieistotna statystycznie</w:t>
      </w:r>
    </w:p>
    <w:p w:rsidR="00B96B03" w:rsidRPr="005948FC" w:rsidRDefault="00B96B03" w:rsidP="00B96B03">
      <w:pPr>
        <w:pStyle w:val="ListParagraph"/>
        <w:numPr>
          <w:ilvl w:val="0"/>
          <w:numId w:val="6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H1 –istotna statystycznie.</w:t>
      </w:r>
    </w:p>
    <w:p w:rsidR="00B96B03" w:rsidRPr="005948FC" w:rsidRDefault="00B96B03" w:rsidP="00B96B03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Na poziomie istotności 5% odrzuca się H0 na rzecz H1. Zatem zmienne KLINIKA i DAWKA są istotne statystycznie, natomiast zmienna WIĘZIENIE jest nieistotna. </w:t>
      </w:r>
    </w:p>
    <w:p w:rsidR="002066F3" w:rsidRPr="005948FC" w:rsidRDefault="002066F3" w:rsidP="00B96B03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Analiza ocen parametrów- do modelu zostały włączone 3 zmienne, ale jedna z nich- WIĘZIENIE jest nieistotna statystycznie, więc nie ma powodu aby interpretować jej wynik. </w:t>
      </w:r>
    </w:p>
    <w:p w:rsidR="002066F3" w:rsidRPr="005948FC" w:rsidRDefault="002066F3" w:rsidP="00B96B03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Interpretacja ocen zmiennej DAWKA: jest to zmienna klasyfikująca z trzema kategoriami. Wartością referencyjną jest tu ,,powyżej 60 mg/dzień metadonu”. Interpretacja wyników jest następująca:</w:t>
      </w:r>
    </w:p>
    <w:p w:rsidR="002066F3" w:rsidRPr="005948FC" w:rsidRDefault="002066F3" w:rsidP="002066F3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przeciętny czas powrotu do nałogu wśród pacjentów przyjmujących dawkę poniżej 60 mg/dzień jest 100%- 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(-0.7817)*100%= 54% krótszy niż w przypadku tych przyjmujących powyżej 60 mg/dzień</w:t>
      </w:r>
    </w:p>
    <w:p w:rsidR="001173F0" w:rsidRPr="005948FC" w:rsidRDefault="001173F0" w:rsidP="002066F3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ryzyko powrotu do nałogu u przyjmujących dawkę poniżej 60 mg/dzień jest o </w:t>
      </w:r>
    </w:p>
    <w:p w:rsidR="001173F0" w:rsidRPr="005948FC" w:rsidRDefault="001173F0" w:rsidP="001173F0">
      <w:pPr>
        <w:pStyle w:val="ListParagraph"/>
        <w:rPr>
          <w:rFonts w:ascii="Times New Roman"/>
          <w:lang w:val="pl-PL"/>
        </w:rPr>
      </w:pP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(-(-0.7818)-100% = 118% wyższe niż u osób przyjmujących powyżej 60 mg/dzień</w:t>
      </w:r>
    </w:p>
    <w:p w:rsidR="001173F0" w:rsidRPr="005948FC" w:rsidRDefault="001173F0" w:rsidP="002066F3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przeciętny czas powrotu do nałogu wśród pacjentów przyjmujących dawkę 60 mg/dzień jest 100%- 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(-0.4508)*100%= 36% krótszy niż w przypadku tych przyjmujących powyżej 60 mg/dzień</w:t>
      </w:r>
    </w:p>
    <w:p w:rsidR="001173F0" w:rsidRPr="005948FC" w:rsidRDefault="001173F0" w:rsidP="001173F0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ryzyko powrotu do nałogu u przyjmujących dawkę 60 mg/dzień jest o </w:t>
      </w:r>
    </w:p>
    <w:p w:rsidR="00F04B28" w:rsidRPr="005948FC" w:rsidRDefault="001173F0" w:rsidP="001173F0">
      <w:pPr>
        <w:pStyle w:val="ListParagraph"/>
        <w:rPr>
          <w:rFonts w:ascii="Times New Roman"/>
          <w:lang w:val="pl-PL"/>
        </w:rPr>
      </w:pP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(-(-0.4508)-100% = 57%% wyższe niż u osób przyjmujących powyżej 60 mg/dzień</w:t>
      </w:r>
    </w:p>
    <w:p w:rsidR="00F04B28" w:rsidRPr="005948FC" w:rsidRDefault="00F04B28" w:rsidP="00F04B28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Interpretacja wyników zmiennej KLINIKA (wartość referencyjna- klinika 2):</w:t>
      </w:r>
    </w:p>
    <w:p w:rsidR="00F04B28" w:rsidRPr="005948FC" w:rsidRDefault="00F04B28" w:rsidP="00F04B28">
      <w:pPr>
        <w:pStyle w:val="ListParagraph"/>
        <w:numPr>
          <w:ilvl w:val="0"/>
          <w:numId w:val="9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przeciętny czas powrotu do nałogu u pacjentów z kliniki 1 jest 100%-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(-0.9026)=59% krótszy niż u pacjentów z kliniki 2</w:t>
      </w:r>
    </w:p>
    <w:p w:rsidR="00F04B28" w:rsidRPr="005948FC" w:rsidRDefault="00F04B28" w:rsidP="00F04B28">
      <w:pPr>
        <w:pStyle w:val="ListParagraph"/>
        <w:numPr>
          <w:ilvl w:val="0"/>
          <w:numId w:val="9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lastRenderedPageBreak/>
        <w:t xml:space="preserve">ryzyko powrotu do nałogu u pacjentów z kliniki 1 jest o 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(-(-0.9026)-100%=147% wyższe niż u pacjentów z kliniki 2</w:t>
      </w:r>
    </w:p>
    <w:p w:rsidR="00D42C3C" w:rsidRPr="005948FC" w:rsidRDefault="00BE56D4" w:rsidP="001353D3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drawing>
          <wp:inline distT="0" distB="0" distL="0" distR="0" wp14:anchorId="1E92107B" wp14:editId="0C007EF3">
            <wp:extent cx="4400550" cy="325287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493" cy="32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D3" w:rsidRPr="005948FC" w:rsidRDefault="001353D3" w:rsidP="001353D3">
      <w:pPr>
        <w:spacing w:after="0"/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>Wykres 1. Wykres prawdopodobieństwa modelu z rozkładem wykładniczym ze zmiennymi</w:t>
      </w:r>
    </w:p>
    <w:p w:rsidR="001173F0" w:rsidRPr="005948FC" w:rsidRDefault="001173F0" w:rsidP="004E5083">
      <w:pPr>
        <w:spacing w:after="0"/>
        <w:rPr>
          <w:rFonts w:ascii="Times New Roman"/>
          <w:lang w:val="pl-PL"/>
        </w:rPr>
      </w:pPr>
    </w:p>
    <w:p w:rsidR="001173F0" w:rsidRPr="005948FC" w:rsidRDefault="001173F0" w:rsidP="004E5083">
      <w:pPr>
        <w:spacing w:after="0"/>
        <w:rPr>
          <w:rFonts w:ascii="Times New Roman"/>
          <w:lang w:val="pl-PL"/>
        </w:rPr>
      </w:pPr>
    </w:p>
    <w:p w:rsidR="00C308D1" w:rsidRPr="005948FC" w:rsidRDefault="00287562" w:rsidP="00287562">
      <w:pPr>
        <w:pStyle w:val="Heading2"/>
        <w:rPr>
          <w:rFonts w:ascii="Times New Roman" w:hAnsi="Times New Roman" w:cs="Times New Roman"/>
          <w:lang w:val="pl-PL"/>
        </w:rPr>
      </w:pPr>
      <w:bookmarkStart w:id="6" w:name="_Toc507664496"/>
      <w:r w:rsidRPr="005948FC">
        <w:rPr>
          <w:rFonts w:ascii="Times New Roman" w:hAnsi="Times New Roman" w:cs="Times New Roman"/>
          <w:lang w:val="pl-PL"/>
        </w:rPr>
        <w:t xml:space="preserve">2.3. </w:t>
      </w:r>
      <w:r w:rsidR="004E5083" w:rsidRPr="005948FC">
        <w:rPr>
          <w:rFonts w:ascii="Times New Roman" w:hAnsi="Times New Roman" w:cs="Times New Roman"/>
          <w:lang w:val="pl-PL"/>
        </w:rPr>
        <w:t xml:space="preserve">Wyniki modelu z rozkładem </w:t>
      </w:r>
      <w:proofErr w:type="spellStart"/>
      <w:r w:rsidR="004E5083" w:rsidRPr="005948FC">
        <w:rPr>
          <w:rFonts w:ascii="Times New Roman" w:hAnsi="Times New Roman" w:cs="Times New Roman"/>
          <w:lang w:val="pl-PL"/>
        </w:rPr>
        <w:t>Weibulla</w:t>
      </w:r>
      <w:bookmarkEnd w:id="6"/>
      <w:proofErr w:type="spellEnd"/>
    </w:p>
    <w:p w:rsidR="00C308D1" w:rsidRPr="005948FC" w:rsidRDefault="00C308D1" w:rsidP="00F04B28">
      <w:pPr>
        <w:spacing w:after="0"/>
        <w:rPr>
          <w:rFonts w:ascii="Times New Roman"/>
          <w:lang w:val="pl-PL"/>
        </w:rPr>
      </w:pPr>
    </w:p>
    <w:p w:rsidR="00F04B28" w:rsidRPr="005948FC" w:rsidRDefault="00F04B28" w:rsidP="00F04B28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Wyniki modelu z rozkładem </w:t>
      </w:r>
      <w:proofErr w:type="spellStart"/>
      <w:r w:rsidRPr="005948FC">
        <w:rPr>
          <w:rFonts w:ascii="Times New Roman"/>
          <w:lang w:val="pl-PL"/>
        </w:rPr>
        <w:t>Weibulla</w:t>
      </w:r>
      <w:proofErr w:type="spellEnd"/>
      <w:r w:rsidRPr="005948FC">
        <w:rPr>
          <w:rFonts w:ascii="Times New Roman"/>
          <w:lang w:val="pl-PL"/>
        </w:rPr>
        <w:t xml:space="preserve"> są podobne do tych z modelu z rozkładem wykładniczym. Występuj</w:t>
      </w:r>
      <w:r w:rsidR="009A0362" w:rsidRPr="005948FC">
        <w:rPr>
          <w:rFonts w:ascii="Times New Roman"/>
          <w:lang w:val="pl-PL"/>
        </w:rPr>
        <w:t>ą tu takie same zmienne objaśniające z taką samą liczbą stopni swobody. Inna jest wartość parametru Skala i oceny parametrów nieco się różnią od modelu wykładniczego. Interpretacja wyników informacji o modelu i statystyk dopasowania została opisana w poprzednich modelach. Wartości statystyk zostaną użyte do porównania w teście stosunku wiarygodności w dalszej części analizy.</w:t>
      </w:r>
    </w:p>
    <w:p w:rsidR="00C308D1" w:rsidRPr="005948FC" w:rsidRDefault="004E5083" w:rsidP="001353D3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lastRenderedPageBreak/>
        <w:drawing>
          <wp:inline distT="0" distB="0" distL="0" distR="0" wp14:anchorId="476A8CCA" wp14:editId="77D0E64F">
            <wp:extent cx="3457575" cy="45426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413" cy="45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F0" w:rsidRPr="005948FC" w:rsidRDefault="00C308D1" w:rsidP="009A0362">
      <w:pPr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 xml:space="preserve">Tabela 5. Podstawowe statystyki modelu z rozkładem </w:t>
      </w:r>
      <w:proofErr w:type="spellStart"/>
      <w:r w:rsidRPr="005948FC">
        <w:rPr>
          <w:rFonts w:ascii="Times New Roman"/>
          <w:i/>
          <w:color w:val="1F3864" w:themeColor="accent1" w:themeShade="80"/>
          <w:lang w:val="pl-PL"/>
        </w:rPr>
        <w:t>Weibulla</w:t>
      </w:r>
      <w:proofErr w:type="spellEnd"/>
      <w:r w:rsidRPr="005948FC">
        <w:rPr>
          <w:rFonts w:ascii="Times New Roman"/>
          <w:i/>
          <w:color w:val="1F3864" w:themeColor="accent1" w:themeShade="80"/>
          <w:lang w:val="pl-PL"/>
        </w:rPr>
        <w:t xml:space="preserve"> ze zmiennymi</w:t>
      </w:r>
    </w:p>
    <w:p w:rsidR="00AE30D3" w:rsidRPr="005948FC" w:rsidRDefault="004E5083" w:rsidP="00AE30D3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drawing>
          <wp:inline distT="0" distB="0" distL="0" distR="0" wp14:anchorId="788ECEE4" wp14:editId="5F941B80">
            <wp:extent cx="5760720" cy="3100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D1" w:rsidRPr="005948FC" w:rsidRDefault="00C308D1" w:rsidP="00C308D1">
      <w:pPr>
        <w:spacing w:after="0"/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 xml:space="preserve">Tabela 6. Analiza parametrów i efektów modelu z rozkładem </w:t>
      </w:r>
      <w:proofErr w:type="spellStart"/>
      <w:r w:rsidRPr="005948FC">
        <w:rPr>
          <w:rFonts w:ascii="Times New Roman"/>
          <w:i/>
          <w:color w:val="1F3864" w:themeColor="accent1" w:themeShade="80"/>
          <w:lang w:val="pl-PL"/>
        </w:rPr>
        <w:t>Weibulla</w:t>
      </w:r>
      <w:proofErr w:type="spellEnd"/>
      <w:r w:rsidRPr="005948FC">
        <w:rPr>
          <w:rFonts w:ascii="Times New Roman"/>
          <w:i/>
          <w:color w:val="1F3864" w:themeColor="accent1" w:themeShade="80"/>
          <w:lang w:val="pl-PL"/>
        </w:rPr>
        <w:t xml:space="preserve"> ze zmiennymi</w:t>
      </w:r>
    </w:p>
    <w:p w:rsidR="009A0362" w:rsidRPr="005948FC" w:rsidRDefault="009A0362" w:rsidP="009A0362">
      <w:pPr>
        <w:spacing w:after="0"/>
        <w:rPr>
          <w:rFonts w:ascii="Times New Roman"/>
          <w:lang w:val="pl-PL"/>
        </w:rPr>
      </w:pPr>
    </w:p>
    <w:p w:rsidR="009A0362" w:rsidRPr="005948FC" w:rsidRDefault="009A0362" w:rsidP="009A0362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Zmienna WIĘZIENIE ponownie nie jest istotna statystycznie, ale tym razem balansuje na granicy istotności. Zmienne DAWKA i KLINIKA są istotne statystycznie na poziomie 5%. </w:t>
      </w:r>
    </w:p>
    <w:p w:rsidR="009A0362" w:rsidRPr="005948FC" w:rsidRDefault="009A0362" w:rsidP="009A0362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lastRenderedPageBreak/>
        <w:t xml:space="preserve">Interpretacja ocen zmiennej DAWKA: </w:t>
      </w:r>
      <w:r w:rsidR="00826DAE" w:rsidRPr="005948FC">
        <w:rPr>
          <w:rFonts w:ascii="Times New Roman"/>
          <w:lang w:val="pl-PL"/>
        </w:rPr>
        <w:t>w</w:t>
      </w:r>
      <w:r w:rsidRPr="005948FC">
        <w:rPr>
          <w:rFonts w:ascii="Times New Roman"/>
          <w:lang w:val="pl-PL"/>
        </w:rPr>
        <w:t>artością referencyjną jest tu ,,powyżej 60 mg/dzień metadonu”. Interpretacja wyników jest następująca:</w:t>
      </w:r>
    </w:p>
    <w:p w:rsidR="009A0362" w:rsidRPr="005948FC" w:rsidRDefault="009A0362" w:rsidP="009A0362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przeciętny czas powrotu do nałogu wśród pacjentów przyjmujących dawkę poniżej 60 mg/dzień jest 100%- 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(-0.</w:t>
      </w:r>
      <w:r w:rsidR="00826DAE" w:rsidRPr="005948FC">
        <w:rPr>
          <w:rFonts w:ascii="Times New Roman"/>
          <w:lang w:val="pl-PL"/>
        </w:rPr>
        <w:t>6670</w:t>
      </w:r>
      <w:r w:rsidRPr="005948FC">
        <w:rPr>
          <w:rFonts w:ascii="Times New Roman"/>
          <w:lang w:val="pl-PL"/>
        </w:rPr>
        <w:t xml:space="preserve">)*100%= </w:t>
      </w:r>
      <w:r w:rsidR="00826DAE" w:rsidRPr="005948FC">
        <w:rPr>
          <w:rFonts w:ascii="Times New Roman"/>
          <w:lang w:val="pl-PL"/>
        </w:rPr>
        <w:t>49</w:t>
      </w:r>
      <w:r w:rsidRPr="005948FC">
        <w:rPr>
          <w:rFonts w:ascii="Times New Roman"/>
          <w:lang w:val="pl-PL"/>
        </w:rPr>
        <w:t>% krótszy niż w przypadku tych przyjmujących powyżej 60 mg/dzień</w:t>
      </w:r>
    </w:p>
    <w:p w:rsidR="009A0362" w:rsidRPr="005948FC" w:rsidRDefault="009A0362" w:rsidP="009A0362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ryzyko powrotu do nałogu u przyjmujących dawkę poniżej 60 mg/dzień jest o </w:t>
      </w:r>
    </w:p>
    <w:p w:rsidR="009A0362" w:rsidRPr="005948FC" w:rsidRDefault="009A0362" w:rsidP="009A0362">
      <w:pPr>
        <w:pStyle w:val="ListParagraph"/>
        <w:rPr>
          <w:rFonts w:ascii="Times New Roman"/>
          <w:lang w:val="pl-PL"/>
        </w:rPr>
      </w:pP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(-(-0.</w:t>
      </w:r>
      <w:r w:rsidR="00826DAE" w:rsidRPr="005948FC">
        <w:rPr>
          <w:rFonts w:ascii="Times New Roman"/>
          <w:lang w:val="pl-PL"/>
        </w:rPr>
        <w:t>6670</w:t>
      </w:r>
      <w:r w:rsidRPr="005948FC">
        <w:rPr>
          <w:rFonts w:ascii="Times New Roman"/>
          <w:lang w:val="pl-PL"/>
        </w:rPr>
        <w:t xml:space="preserve">)-100% = </w:t>
      </w:r>
      <w:r w:rsidR="00826DAE" w:rsidRPr="005948FC">
        <w:rPr>
          <w:rFonts w:ascii="Times New Roman"/>
          <w:lang w:val="pl-PL"/>
        </w:rPr>
        <w:t>95</w:t>
      </w:r>
      <w:r w:rsidRPr="005948FC">
        <w:rPr>
          <w:rFonts w:ascii="Times New Roman"/>
          <w:lang w:val="pl-PL"/>
        </w:rPr>
        <w:t>% wyższe niż u osób przyjmujących powyżej 60 mg/dzień</w:t>
      </w:r>
    </w:p>
    <w:p w:rsidR="009A0362" w:rsidRPr="005948FC" w:rsidRDefault="009A0362" w:rsidP="009A0362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przeciętny czas powrotu do nałogu wśród pacjentów przyjmujących dawkę 60 mg/dzień jest 100%- 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(-0.</w:t>
      </w:r>
      <w:r w:rsidR="00826DAE" w:rsidRPr="005948FC">
        <w:rPr>
          <w:rFonts w:ascii="Times New Roman"/>
          <w:lang w:val="pl-PL"/>
        </w:rPr>
        <w:t>3474</w:t>
      </w:r>
      <w:r w:rsidRPr="005948FC">
        <w:rPr>
          <w:rFonts w:ascii="Times New Roman"/>
          <w:lang w:val="pl-PL"/>
        </w:rPr>
        <w:t xml:space="preserve">)*100%= </w:t>
      </w:r>
      <w:r w:rsidR="00826DAE" w:rsidRPr="005948FC">
        <w:rPr>
          <w:rFonts w:ascii="Times New Roman"/>
          <w:lang w:val="pl-PL"/>
        </w:rPr>
        <w:t>29</w:t>
      </w:r>
      <w:r w:rsidRPr="005948FC">
        <w:rPr>
          <w:rFonts w:ascii="Times New Roman"/>
          <w:lang w:val="pl-PL"/>
        </w:rPr>
        <w:t>% krótszy niż w przypadku tych przyjmujących powyżej 60 mg/dzień</w:t>
      </w:r>
    </w:p>
    <w:p w:rsidR="009A0362" w:rsidRPr="005948FC" w:rsidRDefault="009A0362" w:rsidP="009A0362">
      <w:pPr>
        <w:pStyle w:val="ListParagraph"/>
        <w:numPr>
          <w:ilvl w:val="0"/>
          <w:numId w:val="8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ryzyko powrotu do nałogu u przyjmujących dawkę 60 mg/dzień jest o </w:t>
      </w:r>
    </w:p>
    <w:p w:rsidR="009A0362" w:rsidRPr="005948FC" w:rsidRDefault="009A0362" w:rsidP="009A0362">
      <w:pPr>
        <w:pStyle w:val="ListParagraph"/>
        <w:rPr>
          <w:rFonts w:ascii="Times New Roman"/>
          <w:lang w:val="pl-PL"/>
        </w:rPr>
      </w:pP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 xml:space="preserve">(-(-0.4508)-100% = </w:t>
      </w:r>
      <w:r w:rsidR="00826DAE" w:rsidRPr="005948FC">
        <w:rPr>
          <w:rFonts w:ascii="Times New Roman"/>
          <w:lang w:val="pl-PL"/>
        </w:rPr>
        <w:t>41</w:t>
      </w:r>
      <w:r w:rsidRPr="005948FC">
        <w:rPr>
          <w:rFonts w:ascii="Times New Roman"/>
          <w:lang w:val="pl-PL"/>
        </w:rPr>
        <w:t>% wyższe niż u osób przyjmujących powyżej 60 mg/dzień</w:t>
      </w:r>
    </w:p>
    <w:p w:rsidR="009A0362" w:rsidRPr="005948FC" w:rsidRDefault="009A0362" w:rsidP="009A0362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Interpretacja wyników zmiennej KLINIKA (wartość referencyjna- klinika 2):</w:t>
      </w:r>
    </w:p>
    <w:p w:rsidR="009A0362" w:rsidRPr="005948FC" w:rsidRDefault="009A0362" w:rsidP="009A0362">
      <w:pPr>
        <w:pStyle w:val="ListParagraph"/>
        <w:numPr>
          <w:ilvl w:val="0"/>
          <w:numId w:val="9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przeciętny czas powrotu do nałogu u pacjentów z kliniki 1 jest 100%-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(-0.</w:t>
      </w:r>
      <w:r w:rsidR="00826DAE" w:rsidRPr="005948FC">
        <w:rPr>
          <w:rFonts w:ascii="Times New Roman"/>
          <w:lang w:val="pl-PL"/>
        </w:rPr>
        <w:t>7357</w:t>
      </w:r>
      <w:r w:rsidRPr="005948FC">
        <w:rPr>
          <w:rFonts w:ascii="Times New Roman"/>
          <w:lang w:val="pl-PL"/>
        </w:rPr>
        <w:t>)=5</w:t>
      </w:r>
      <w:r w:rsidR="00826DAE" w:rsidRPr="005948FC">
        <w:rPr>
          <w:rFonts w:ascii="Times New Roman"/>
          <w:lang w:val="pl-PL"/>
        </w:rPr>
        <w:t>2</w:t>
      </w:r>
      <w:r w:rsidRPr="005948FC">
        <w:rPr>
          <w:rFonts w:ascii="Times New Roman"/>
          <w:lang w:val="pl-PL"/>
        </w:rPr>
        <w:t>% krótszy niż u pacjentów z kliniki 2</w:t>
      </w:r>
    </w:p>
    <w:p w:rsidR="009A0362" w:rsidRPr="005948FC" w:rsidRDefault="009A0362" w:rsidP="009A0362">
      <w:pPr>
        <w:pStyle w:val="ListParagraph"/>
        <w:numPr>
          <w:ilvl w:val="0"/>
          <w:numId w:val="9"/>
        </w:num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ryzyko powrotu do nałogu u pacjentów z kliniki 1 jest o </w:t>
      </w:r>
      <w:proofErr w:type="spellStart"/>
      <w:r w:rsidRPr="005948FC">
        <w:rPr>
          <w:rFonts w:ascii="Times New Roman"/>
          <w:lang w:val="pl-PL"/>
        </w:rPr>
        <w:t>exp</w:t>
      </w:r>
      <w:proofErr w:type="spellEnd"/>
      <w:r w:rsidRPr="005948FC">
        <w:rPr>
          <w:rFonts w:ascii="Times New Roman"/>
          <w:lang w:val="pl-PL"/>
        </w:rPr>
        <w:t>(-(-0.</w:t>
      </w:r>
      <w:r w:rsidR="00826DAE" w:rsidRPr="005948FC">
        <w:rPr>
          <w:rFonts w:ascii="Times New Roman"/>
          <w:lang w:val="pl-PL"/>
        </w:rPr>
        <w:t>7357</w:t>
      </w:r>
      <w:r w:rsidRPr="005948FC">
        <w:rPr>
          <w:rFonts w:ascii="Times New Roman"/>
          <w:lang w:val="pl-PL"/>
        </w:rPr>
        <w:t>)-100%=1</w:t>
      </w:r>
      <w:r w:rsidR="00826DAE" w:rsidRPr="005948FC">
        <w:rPr>
          <w:rFonts w:ascii="Times New Roman"/>
          <w:lang w:val="pl-PL"/>
        </w:rPr>
        <w:t>09</w:t>
      </w:r>
      <w:r w:rsidRPr="005948FC">
        <w:rPr>
          <w:rFonts w:ascii="Times New Roman"/>
          <w:lang w:val="pl-PL"/>
        </w:rPr>
        <w:t>% wyższe niż u pacjentów z kliniki 2</w:t>
      </w:r>
    </w:p>
    <w:p w:rsidR="009A0362" w:rsidRPr="005948FC" w:rsidRDefault="009A0362" w:rsidP="009A0362">
      <w:pPr>
        <w:spacing w:after="0"/>
        <w:rPr>
          <w:rFonts w:ascii="Times New Roman"/>
          <w:lang w:val="pl-PL"/>
        </w:rPr>
      </w:pPr>
    </w:p>
    <w:p w:rsidR="009A0362" w:rsidRPr="005948FC" w:rsidRDefault="009A0362" w:rsidP="009A0362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Wartość parametru </w:t>
      </w:r>
      <m:oMath>
        <m:r>
          <m:rPr>
            <m:sty m:val="p"/>
          </m:rPr>
          <w:rPr>
            <w:rFonts w:ascii="Cambria Math" w:hAnsi="Cambria Math"/>
            <w:lang w:val="pl-PL"/>
          </w:rPr>
          <m:t>β̂</m:t>
        </m:r>
      </m:oMath>
      <w:r w:rsidRPr="005948FC">
        <w:rPr>
          <w:rFonts w:ascii="Times New Roman"/>
          <w:lang w:val="pl-PL"/>
        </w:rPr>
        <w:t xml:space="preserve"> = </w:t>
      </w:r>
      <m:oMath>
        <m:f>
          <m:fPr>
            <m:ctrlPr>
              <w:rPr>
                <w:rFonts w:ascii="Cambria Math" w:hAnsi="Cambria Math"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Skala</m:t>
            </m:r>
          </m:den>
        </m:f>
      </m:oMath>
      <w:r w:rsidRPr="005948FC">
        <w:rPr>
          <w:rFonts w:ascii="Times New Roman"/>
          <w:lang w:val="pl-PL"/>
        </w:rPr>
        <w:t xml:space="preserve"> = </w:t>
      </w:r>
      <m:oMath>
        <m:f>
          <m:fPr>
            <m:ctrlPr>
              <w:rPr>
                <w:rFonts w:ascii="Cambria Math" w:hAnsi="Cambria Math"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0,7374</m:t>
            </m:r>
          </m:den>
        </m:f>
      </m:oMath>
      <w:r w:rsidRPr="005948FC">
        <w:rPr>
          <w:rFonts w:ascii="Times New Roman"/>
          <w:lang w:val="pl-PL"/>
        </w:rPr>
        <w:t xml:space="preserve"> = 1,35 jest większa od 1, a więc funkcja hazardu jest rosnąca.</w:t>
      </w:r>
    </w:p>
    <w:p w:rsidR="001D0243" w:rsidRPr="005948FC" w:rsidRDefault="001D0243" w:rsidP="001D0243">
      <w:pPr>
        <w:spacing w:after="0"/>
        <w:jc w:val="center"/>
        <w:rPr>
          <w:rFonts w:ascii="Times New Roman"/>
          <w:lang w:val="pl-PL"/>
        </w:rPr>
      </w:pPr>
      <w:r w:rsidRPr="005948FC">
        <w:rPr>
          <w:rFonts w:ascii="Times New Roman"/>
          <w:noProof/>
        </w:rPr>
        <w:drawing>
          <wp:inline distT="0" distB="0" distL="0" distR="0" wp14:anchorId="08CAB301" wp14:editId="7612BE00">
            <wp:extent cx="3648075" cy="271554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015" cy="27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3" w:rsidRPr="005948FC" w:rsidRDefault="001D0243" w:rsidP="001D0243">
      <w:pPr>
        <w:spacing w:after="0"/>
        <w:jc w:val="center"/>
        <w:rPr>
          <w:rFonts w:ascii="Times New Roman"/>
          <w:i/>
          <w:color w:val="1F3864" w:themeColor="accent1" w:themeShade="80"/>
          <w:lang w:val="pl-PL"/>
        </w:rPr>
      </w:pPr>
      <w:r w:rsidRPr="005948FC">
        <w:rPr>
          <w:rFonts w:ascii="Times New Roman"/>
          <w:i/>
          <w:color w:val="1F3864" w:themeColor="accent1" w:themeShade="80"/>
          <w:lang w:val="pl-PL"/>
        </w:rPr>
        <w:t xml:space="preserve">Wykres 2. Wykres prawdopodobieństwa dla modelu </w:t>
      </w:r>
      <w:proofErr w:type="spellStart"/>
      <w:r w:rsidRPr="005948FC">
        <w:rPr>
          <w:rFonts w:ascii="Times New Roman"/>
          <w:i/>
          <w:color w:val="1F3864" w:themeColor="accent1" w:themeShade="80"/>
          <w:lang w:val="pl-PL"/>
        </w:rPr>
        <w:t>Weibulla</w:t>
      </w:r>
      <w:proofErr w:type="spellEnd"/>
      <w:r w:rsidRPr="005948FC">
        <w:rPr>
          <w:rFonts w:ascii="Times New Roman"/>
          <w:i/>
          <w:color w:val="1F3864" w:themeColor="accent1" w:themeShade="80"/>
          <w:lang w:val="pl-PL"/>
        </w:rPr>
        <w:t xml:space="preserve"> ze zmiennymi</w:t>
      </w:r>
    </w:p>
    <w:p w:rsidR="001E778C" w:rsidRPr="005948FC" w:rsidRDefault="001E778C" w:rsidP="009A0362">
      <w:pPr>
        <w:spacing w:after="0"/>
        <w:rPr>
          <w:rFonts w:ascii="Times New Roman"/>
          <w:lang w:val="pl-PL"/>
        </w:rPr>
      </w:pPr>
    </w:p>
    <w:p w:rsidR="001E778C" w:rsidRPr="005948FC" w:rsidRDefault="00287562" w:rsidP="00287562">
      <w:pPr>
        <w:pStyle w:val="Heading2"/>
        <w:rPr>
          <w:rFonts w:ascii="Times New Roman" w:hAnsi="Times New Roman" w:cs="Times New Roman"/>
          <w:lang w:val="pl-PL"/>
        </w:rPr>
      </w:pPr>
      <w:bookmarkStart w:id="7" w:name="_Toc507664497"/>
      <w:r w:rsidRPr="005948FC">
        <w:rPr>
          <w:rFonts w:ascii="Times New Roman" w:hAnsi="Times New Roman" w:cs="Times New Roman"/>
          <w:lang w:val="pl-PL"/>
        </w:rPr>
        <w:t xml:space="preserve">2.4. </w:t>
      </w:r>
      <w:r w:rsidR="001E778C" w:rsidRPr="005948FC">
        <w:rPr>
          <w:rFonts w:ascii="Times New Roman" w:hAnsi="Times New Roman" w:cs="Times New Roman"/>
          <w:lang w:val="pl-PL"/>
        </w:rPr>
        <w:t>Test stosunku wiarygodności</w:t>
      </w:r>
      <w:r w:rsidR="00AC3942" w:rsidRPr="005948FC">
        <w:rPr>
          <w:rFonts w:ascii="Times New Roman" w:hAnsi="Times New Roman" w:cs="Times New Roman"/>
          <w:lang w:val="pl-PL"/>
        </w:rPr>
        <w:t xml:space="preserve"> (TSW)</w:t>
      </w:r>
      <w:bookmarkEnd w:id="7"/>
    </w:p>
    <w:p w:rsidR="001E778C" w:rsidRPr="005948FC" w:rsidRDefault="001E778C" w:rsidP="009A0362">
      <w:pPr>
        <w:spacing w:after="0"/>
        <w:rPr>
          <w:rFonts w:ascii="Times New Roman"/>
          <w:lang w:val="pl-PL"/>
        </w:rPr>
      </w:pPr>
    </w:p>
    <w:p w:rsidR="001E778C" w:rsidRPr="005948FC" w:rsidRDefault="001E778C" w:rsidP="009A0362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Korzystając </w:t>
      </w:r>
      <w:r w:rsidR="00AC3942" w:rsidRPr="005948FC">
        <w:rPr>
          <w:rFonts w:ascii="Times New Roman"/>
          <w:lang w:val="pl-PL"/>
        </w:rPr>
        <w:t xml:space="preserve">z testu stosunku wiarygodności autor dokona teraz porównania modelu wykładniczego ze zmiennymi objaśniającymi i modelu </w:t>
      </w:r>
      <w:proofErr w:type="spellStart"/>
      <w:r w:rsidR="00AC3942" w:rsidRPr="005948FC">
        <w:rPr>
          <w:rFonts w:ascii="Times New Roman"/>
          <w:lang w:val="pl-PL"/>
        </w:rPr>
        <w:t>Weibulla</w:t>
      </w:r>
      <w:proofErr w:type="spellEnd"/>
      <w:r w:rsidR="00AC3942" w:rsidRPr="005948FC">
        <w:rPr>
          <w:rFonts w:ascii="Times New Roman"/>
          <w:lang w:val="pl-PL"/>
        </w:rPr>
        <w:t xml:space="preserve"> ze zmiennymi. </w:t>
      </w:r>
    </w:p>
    <w:p w:rsidR="00AC3942" w:rsidRPr="005948FC" w:rsidRDefault="00AC3942" w:rsidP="009A0362">
      <w:pPr>
        <w:spacing w:after="0"/>
        <w:rPr>
          <w:rFonts w:ascii="Times New Roman"/>
          <w:lang w:val="pl-PL"/>
        </w:rPr>
      </w:pPr>
    </w:p>
    <w:p w:rsidR="00AC3942" w:rsidRPr="005948FC" w:rsidRDefault="00AC3942" w:rsidP="00AC3942">
      <w:pPr>
        <w:pStyle w:val="ListParagraph"/>
        <w:numPr>
          <w:ilvl w:val="0"/>
          <w:numId w:val="10"/>
        </w:num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Model 1- model wykładniczy ze zmiennymi (liczba parametrów: 5); - log </w:t>
      </w:r>
      <w:proofErr w:type="spellStart"/>
      <w:r w:rsidRPr="005948FC">
        <w:rPr>
          <w:rFonts w:ascii="Times New Roman"/>
          <w:lang w:val="pl-PL"/>
        </w:rPr>
        <w:t>likelihood</w:t>
      </w:r>
      <w:proofErr w:type="spellEnd"/>
      <w:r w:rsidRPr="005948FC">
        <w:rPr>
          <w:rFonts w:ascii="Times New Roman"/>
          <w:lang w:val="pl-PL"/>
        </w:rPr>
        <w:t>= -273</w:t>
      </w:r>
    </w:p>
    <w:p w:rsidR="00AC3942" w:rsidRPr="005948FC" w:rsidRDefault="00AC3942" w:rsidP="00AC3942">
      <w:pPr>
        <w:pStyle w:val="ListParagraph"/>
        <w:numPr>
          <w:ilvl w:val="0"/>
          <w:numId w:val="10"/>
        </w:num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Model 2- model </w:t>
      </w:r>
      <w:proofErr w:type="spellStart"/>
      <w:r w:rsidRPr="005948FC">
        <w:rPr>
          <w:rFonts w:ascii="Times New Roman"/>
          <w:lang w:val="pl-PL"/>
        </w:rPr>
        <w:t>Weibulla</w:t>
      </w:r>
      <w:proofErr w:type="spellEnd"/>
      <w:r w:rsidRPr="005948FC">
        <w:rPr>
          <w:rFonts w:ascii="Times New Roman"/>
          <w:lang w:val="pl-PL"/>
        </w:rPr>
        <w:t xml:space="preserve"> ze zmiennymi (liczba parametrów: 6); - log </w:t>
      </w:r>
      <w:proofErr w:type="spellStart"/>
      <w:r w:rsidRPr="005948FC">
        <w:rPr>
          <w:rFonts w:ascii="Times New Roman"/>
          <w:lang w:val="pl-PL"/>
        </w:rPr>
        <w:t>likelihood</w:t>
      </w:r>
      <w:proofErr w:type="spellEnd"/>
      <w:r w:rsidRPr="005948FC">
        <w:rPr>
          <w:rFonts w:ascii="Times New Roman"/>
          <w:lang w:val="pl-PL"/>
        </w:rPr>
        <w:t>= -264</w:t>
      </w:r>
    </w:p>
    <w:p w:rsidR="00AC3942" w:rsidRPr="005948FC" w:rsidRDefault="00AC3942" w:rsidP="00AC3942">
      <w:pPr>
        <w:spacing w:after="0"/>
        <w:rPr>
          <w:rFonts w:ascii="Times New Roman"/>
          <w:lang w:val="pl-PL"/>
        </w:rPr>
      </w:pPr>
    </w:p>
    <w:p w:rsidR="00AC3942" w:rsidRPr="005948FC" w:rsidRDefault="00AC3942" w:rsidP="00AC3942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Hipotezy:</w:t>
      </w:r>
    </w:p>
    <w:p w:rsidR="00AC3942" w:rsidRPr="005948FC" w:rsidRDefault="00AC3942" w:rsidP="00AC3942">
      <w:pPr>
        <w:pStyle w:val="ListParagraph"/>
        <w:numPr>
          <w:ilvl w:val="0"/>
          <w:numId w:val="11"/>
        </w:num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H0: </w:t>
      </w:r>
      <w:r w:rsidR="00216D72" w:rsidRPr="005948FC">
        <w:rPr>
          <w:rFonts w:ascii="Times New Roman"/>
          <w:lang w:val="pl-PL"/>
        </w:rPr>
        <w:t>M</w:t>
      </w:r>
      <w:r w:rsidRPr="005948FC">
        <w:rPr>
          <w:rFonts w:ascii="Times New Roman"/>
          <w:lang w:val="pl-PL"/>
        </w:rPr>
        <w:t>odel</w:t>
      </w:r>
      <w:r w:rsidR="00216D72" w:rsidRPr="005948FC">
        <w:rPr>
          <w:rFonts w:ascii="Times New Roman"/>
          <w:lang w:val="pl-PL"/>
        </w:rPr>
        <w:t xml:space="preserve"> </w:t>
      </w:r>
      <w:r w:rsidRPr="005948FC">
        <w:rPr>
          <w:rFonts w:ascii="Times New Roman"/>
          <w:lang w:val="pl-PL"/>
        </w:rPr>
        <w:t xml:space="preserve">1 jest lepszy niż </w:t>
      </w:r>
      <w:r w:rsidR="00216D72" w:rsidRPr="005948FC">
        <w:rPr>
          <w:rFonts w:ascii="Times New Roman"/>
          <w:lang w:val="pl-PL"/>
        </w:rPr>
        <w:t>M</w:t>
      </w:r>
      <w:r w:rsidRPr="005948FC">
        <w:rPr>
          <w:rFonts w:ascii="Times New Roman"/>
          <w:lang w:val="pl-PL"/>
        </w:rPr>
        <w:t>odel</w:t>
      </w:r>
      <w:r w:rsidR="00216D72" w:rsidRPr="005948FC">
        <w:rPr>
          <w:rFonts w:ascii="Times New Roman"/>
          <w:lang w:val="pl-PL"/>
        </w:rPr>
        <w:t xml:space="preserve"> </w:t>
      </w:r>
      <w:r w:rsidRPr="005948FC">
        <w:rPr>
          <w:rFonts w:ascii="Times New Roman"/>
          <w:lang w:val="pl-PL"/>
        </w:rPr>
        <w:t>2 – parametry w 2 modelu przy zmiennej są równe 0</w:t>
      </w:r>
    </w:p>
    <w:p w:rsidR="00AC3942" w:rsidRPr="005948FC" w:rsidRDefault="00AC3942" w:rsidP="00AC3942">
      <w:pPr>
        <w:pStyle w:val="ListParagraph"/>
        <w:numPr>
          <w:ilvl w:val="0"/>
          <w:numId w:val="11"/>
        </w:num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H1: </w:t>
      </w:r>
      <w:r w:rsidR="00216D72" w:rsidRPr="005948FC">
        <w:rPr>
          <w:rFonts w:ascii="Times New Roman"/>
          <w:lang w:val="pl-PL"/>
        </w:rPr>
        <w:t>M</w:t>
      </w:r>
      <w:r w:rsidRPr="005948FC">
        <w:rPr>
          <w:rFonts w:ascii="Times New Roman"/>
          <w:lang w:val="pl-PL"/>
        </w:rPr>
        <w:t>odel</w:t>
      </w:r>
      <w:r w:rsidR="00216D72" w:rsidRPr="005948FC">
        <w:rPr>
          <w:rFonts w:ascii="Times New Roman"/>
          <w:lang w:val="pl-PL"/>
        </w:rPr>
        <w:t xml:space="preserve"> </w:t>
      </w:r>
      <w:r w:rsidRPr="005948FC">
        <w:rPr>
          <w:rFonts w:ascii="Times New Roman"/>
          <w:lang w:val="pl-PL"/>
        </w:rPr>
        <w:t>2 jest lepszy niż model</w:t>
      </w:r>
    </w:p>
    <w:p w:rsidR="00AC3942" w:rsidRPr="005948FC" w:rsidRDefault="00AC3942" w:rsidP="009A0362">
      <w:pPr>
        <w:spacing w:after="0"/>
        <w:rPr>
          <w:rFonts w:ascii="Times New Roman"/>
          <w:lang w:val="pl-PL"/>
        </w:rPr>
      </w:pPr>
    </w:p>
    <w:p w:rsidR="00AC3942" w:rsidRPr="005948FC" w:rsidRDefault="00AC3942" w:rsidP="009A0362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TSW=−2*(</w:t>
      </w:r>
      <w:r w:rsidRPr="005948FC">
        <w:rPr>
          <w:rFonts w:ascii="Cambria Math" w:hAnsi="Cambria Math" w:cs="Cambria Math"/>
          <w:lang w:val="pl-PL"/>
        </w:rPr>
        <w:t>𝐿𝑜𝑔𝐿𝑖𝑘𝑒𝑙𝑖</w:t>
      </w:r>
      <w:r w:rsidRPr="005948FC">
        <w:rPr>
          <w:rFonts w:ascii="Times New Roman"/>
          <w:lang w:val="pl-PL"/>
        </w:rPr>
        <w:t>ℎ</w:t>
      </w:r>
      <w:r w:rsidRPr="005948FC">
        <w:rPr>
          <w:rFonts w:ascii="Cambria Math" w:hAnsi="Cambria Math" w:cs="Cambria Math"/>
          <w:lang w:val="pl-PL"/>
        </w:rPr>
        <w:t>𝑜𝑜𝑑</w:t>
      </w:r>
      <w:r w:rsidRPr="005948FC">
        <w:rPr>
          <w:rFonts w:ascii="Times New Roman"/>
          <w:lang w:val="pl-PL"/>
        </w:rPr>
        <w:t>(</w:t>
      </w:r>
      <w:r w:rsidRPr="005948FC">
        <w:rPr>
          <w:rFonts w:ascii="Cambria Math" w:hAnsi="Cambria Math" w:cs="Cambria Math"/>
          <w:lang w:val="pl-PL"/>
        </w:rPr>
        <w:t>𝑚𝑜𝑑𝑒𝑙</w:t>
      </w:r>
      <w:r w:rsidRPr="005948FC">
        <w:rPr>
          <w:rFonts w:ascii="Times New Roman"/>
          <w:lang w:val="pl-PL"/>
        </w:rPr>
        <w:t xml:space="preserve"> 1)− </w:t>
      </w:r>
      <w:r w:rsidRPr="005948FC">
        <w:rPr>
          <w:rFonts w:ascii="Cambria Math" w:hAnsi="Cambria Math" w:cs="Cambria Math"/>
          <w:lang w:val="pl-PL"/>
        </w:rPr>
        <w:t>𝐿𝑜𝑔𝐿𝑖𝑘𝑒𝑙𝑖</w:t>
      </w:r>
      <w:r w:rsidRPr="005948FC">
        <w:rPr>
          <w:rFonts w:ascii="Times New Roman"/>
          <w:lang w:val="pl-PL"/>
        </w:rPr>
        <w:t>ℎ</w:t>
      </w:r>
      <w:r w:rsidRPr="005948FC">
        <w:rPr>
          <w:rFonts w:ascii="Cambria Math" w:hAnsi="Cambria Math" w:cs="Cambria Math"/>
          <w:lang w:val="pl-PL"/>
        </w:rPr>
        <w:t>𝑜𝑜𝑑</w:t>
      </w:r>
      <w:r w:rsidRPr="005948FC">
        <w:rPr>
          <w:rFonts w:ascii="Times New Roman"/>
          <w:lang w:val="pl-PL"/>
        </w:rPr>
        <w:t>(</w:t>
      </w:r>
      <w:r w:rsidRPr="005948FC">
        <w:rPr>
          <w:rFonts w:ascii="Cambria Math" w:hAnsi="Cambria Math" w:cs="Cambria Math"/>
          <w:lang w:val="pl-PL"/>
        </w:rPr>
        <w:t>𝑚𝑜𝑑𝑒𝑙</w:t>
      </w:r>
      <w:r w:rsidRPr="005948FC">
        <w:rPr>
          <w:rFonts w:ascii="Times New Roman"/>
          <w:lang w:val="pl-PL"/>
        </w:rPr>
        <w:t xml:space="preserve"> 2))</w:t>
      </w:r>
    </w:p>
    <w:p w:rsidR="00AC3942" w:rsidRPr="005948FC" w:rsidRDefault="00AC3942" w:rsidP="009A0362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TSW= -2*(</w:t>
      </w:r>
      <w:r w:rsidR="00216D72" w:rsidRPr="005948FC">
        <w:rPr>
          <w:rFonts w:ascii="Times New Roman"/>
          <w:lang w:val="pl-PL"/>
        </w:rPr>
        <w:t>-272,9892 + 264,1164) = 17,74</w:t>
      </w:r>
    </w:p>
    <w:p w:rsidR="00DC75CA" w:rsidRPr="005948FC" w:rsidRDefault="00DC75CA" w:rsidP="009A0362">
      <w:pPr>
        <w:spacing w:after="0"/>
        <w:rPr>
          <w:rFonts w:ascii="Times New Roman"/>
          <w:lang w:val="pl-PL"/>
        </w:rPr>
      </w:pPr>
    </w:p>
    <w:p w:rsidR="00DC75CA" w:rsidRPr="005948FC" w:rsidRDefault="00DC75CA" w:rsidP="009A0362">
      <w:pPr>
        <w:spacing w:after="0"/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>W tym porównaniu liczba stopni swobody wynosi: 6-2 = 4.</w:t>
      </w:r>
    </w:p>
    <w:p w:rsidR="00DC75CA" w:rsidRPr="005948FC" w:rsidRDefault="00DC75CA" w:rsidP="009A0362">
      <w:pPr>
        <w:spacing w:after="0"/>
        <w:rPr>
          <w:rFonts w:ascii="Times New Roman"/>
          <w:color w:val="000000"/>
          <w:sz w:val="21"/>
          <w:szCs w:val="21"/>
          <w:shd w:val="clear" w:color="auto" w:fill="FFFFFF"/>
          <w:lang w:val="pl-PL"/>
        </w:rPr>
      </w:pPr>
      <w:r w:rsidRPr="005948FC">
        <w:rPr>
          <w:rFonts w:ascii="Times New Roman"/>
          <w:lang w:val="pl-PL"/>
        </w:rPr>
        <w:t>Na poziomie istotności α=0,05 wartość krytyczna testu wynosi X</w:t>
      </w:r>
      <w:r w:rsidRPr="005948FC">
        <w:rPr>
          <w:rFonts w:ascii="Times New Roman"/>
          <w:vertAlign w:val="superscript"/>
          <w:lang w:val="pl-PL"/>
        </w:rPr>
        <w:t>2</w:t>
      </w:r>
      <w:r w:rsidRPr="005948FC">
        <w:rPr>
          <w:rFonts w:ascii="Times New Roman"/>
          <w:vertAlign w:val="subscript"/>
          <w:lang w:val="pl-PL"/>
        </w:rPr>
        <w:t>0,05;4</w:t>
      </w:r>
      <w:r w:rsidRPr="005948FC">
        <w:rPr>
          <w:rFonts w:ascii="Times New Roman"/>
          <w:lang w:val="pl-PL"/>
        </w:rPr>
        <w:t>=</w:t>
      </w:r>
      <w:r w:rsidRPr="005948FC">
        <w:rPr>
          <w:rFonts w:ascii="Times New Roman"/>
          <w:color w:val="000000"/>
          <w:sz w:val="21"/>
          <w:szCs w:val="21"/>
          <w:shd w:val="clear" w:color="auto" w:fill="FFFFFF"/>
          <w:lang w:val="pl-PL"/>
        </w:rPr>
        <w:t xml:space="preserve">9,488. Wartość 17,74 wpada w obszar odrzuceń. </w:t>
      </w:r>
      <w:r w:rsidR="00201614" w:rsidRPr="005948FC">
        <w:rPr>
          <w:rFonts w:ascii="Times New Roman"/>
          <w:color w:val="000000"/>
          <w:sz w:val="21"/>
          <w:szCs w:val="21"/>
          <w:shd w:val="clear" w:color="auto" w:fill="FFFFFF"/>
          <w:lang w:val="pl-PL"/>
        </w:rPr>
        <w:t>Odrzuca się H0 na korzyść H1. Model 2 jest lepszy niż Model 1.</w:t>
      </w:r>
    </w:p>
    <w:p w:rsidR="00287562" w:rsidRPr="005948FC" w:rsidRDefault="00287562" w:rsidP="009A0362">
      <w:pPr>
        <w:spacing w:after="0"/>
        <w:rPr>
          <w:rFonts w:ascii="Times New Roman"/>
          <w:lang w:val="pl-PL"/>
        </w:rPr>
      </w:pPr>
    </w:p>
    <w:p w:rsidR="00287562" w:rsidRPr="005948FC" w:rsidRDefault="00287562" w:rsidP="00287562">
      <w:pPr>
        <w:pStyle w:val="Heading1"/>
        <w:rPr>
          <w:rFonts w:ascii="Times New Roman" w:hAnsi="Times New Roman" w:cs="Times New Roman"/>
          <w:lang w:val="pl-PL"/>
        </w:rPr>
      </w:pPr>
      <w:bookmarkStart w:id="8" w:name="_Toc507664498"/>
      <w:r w:rsidRPr="005948FC">
        <w:rPr>
          <w:rFonts w:ascii="Times New Roman" w:hAnsi="Times New Roman" w:cs="Times New Roman"/>
          <w:lang w:val="pl-PL"/>
        </w:rPr>
        <w:t>3. Wnioski</w:t>
      </w:r>
      <w:bookmarkEnd w:id="8"/>
    </w:p>
    <w:p w:rsidR="00287562" w:rsidRDefault="00287562" w:rsidP="00287562">
      <w:pPr>
        <w:rPr>
          <w:rFonts w:ascii="Times New Roman"/>
          <w:lang w:val="pl-PL"/>
        </w:rPr>
      </w:pPr>
      <w:r w:rsidRPr="005948FC">
        <w:rPr>
          <w:rFonts w:ascii="Times New Roman"/>
          <w:lang w:val="pl-PL"/>
        </w:rPr>
        <w:t xml:space="preserve">Najlepiej dopasowanym okazał się model z rozkładem </w:t>
      </w:r>
      <w:proofErr w:type="spellStart"/>
      <w:r w:rsidRPr="005948FC">
        <w:rPr>
          <w:rFonts w:ascii="Times New Roman"/>
          <w:lang w:val="pl-PL"/>
        </w:rPr>
        <w:t>Weibulla</w:t>
      </w:r>
      <w:proofErr w:type="spellEnd"/>
      <w:r w:rsidRPr="005948FC">
        <w:rPr>
          <w:rFonts w:ascii="Times New Roman"/>
          <w:lang w:val="pl-PL"/>
        </w:rPr>
        <w:t xml:space="preserve"> ze zmiennymi objaśniającymi. </w:t>
      </w:r>
      <w:r w:rsidR="001D0243" w:rsidRPr="005948FC">
        <w:rPr>
          <w:rFonts w:ascii="Times New Roman"/>
          <w:lang w:val="pl-PL"/>
        </w:rPr>
        <w:t>Oszacował on, że dawka powyżej 60 mg/dzień jest najkorzystniejsza dla pacjentów walczących z narkomanią, a pobyt w klinice 2 jest korzystniejszy niż w klinice 1 oraz, że pobyt w więzieniu na poziomie istotności 5% nie ma wpływu na powrót do nałogu. Model oszacował, że funkcja hazardu rośnie, więc ryzyko powrotu do nałogu rośnie w czasem.</w:t>
      </w:r>
    </w:p>
    <w:p w:rsidR="005948FC" w:rsidRDefault="005948FC" w:rsidP="00287562">
      <w:pPr>
        <w:rPr>
          <w:rFonts w:ascii="Times New Roman"/>
          <w:lang w:val="pl-PL"/>
        </w:rPr>
      </w:pPr>
    </w:p>
    <w:p w:rsidR="005948FC" w:rsidRPr="00E45446" w:rsidRDefault="005948FC" w:rsidP="005948FC">
      <w:pPr>
        <w:pStyle w:val="Heading1"/>
        <w:rPr>
          <w:rFonts w:ascii="Times New Roman" w:hAnsi="Times New Roman" w:cs="Times New Roman"/>
        </w:rPr>
      </w:pPr>
      <w:bookmarkStart w:id="9" w:name="_Toc507664499"/>
      <w:r w:rsidRPr="00E45446">
        <w:rPr>
          <w:rFonts w:ascii="Times New Roman" w:hAnsi="Times New Roman" w:cs="Times New Roman"/>
        </w:rPr>
        <w:t xml:space="preserve">4. </w:t>
      </w:r>
      <w:proofErr w:type="spellStart"/>
      <w:r w:rsidRPr="00E45446">
        <w:rPr>
          <w:rFonts w:ascii="Times New Roman" w:hAnsi="Times New Roman" w:cs="Times New Roman"/>
        </w:rPr>
        <w:t>Kod</w:t>
      </w:r>
      <w:proofErr w:type="spellEnd"/>
      <w:r w:rsidRPr="00E45446">
        <w:rPr>
          <w:rFonts w:ascii="Times New Roman" w:hAnsi="Times New Roman" w:cs="Times New Roman"/>
        </w:rPr>
        <w:t xml:space="preserve"> SAS</w:t>
      </w:r>
      <w:bookmarkEnd w:id="9"/>
    </w:p>
    <w:p w:rsidR="005948FC" w:rsidRPr="00E45446" w:rsidRDefault="005948FC" w:rsidP="005948FC"/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LIB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=WORK;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dawka</w:t>
      </w:r>
      <w:proofErr w:type="spellEnd"/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"&lt;60"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"60"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"&gt;60"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WORK.QUERY_FOR_ADDICTS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Pr="005948FC">
        <w:rPr>
          <w:rFonts w:ascii="Courier New" w:hAnsi="Courier New" w:cs="Courier New"/>
          <w:color w:val="0000FF"/>
          <w:shd w:val="clear" w:color="auto" w:fill="FFFFFF"/>
          <w:lang w:val="de-DE"/>
        </w:rPr>
        <w:t>SELECT</w:t>
      </w: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t1.Dawka FORMAT=</w:t>
      </w:r>
      <w:r w:rsidRPr="005948FC">
        <w:rPr>
          <w:rFonts w:ascii="Courier New" w:hAnsi="Courier New" w:cs="Courier New"/>
          <w:color w:val="008080"/>
          <w:shd w:val="clear" w:color="auto" w:fill="FFFFFF"/>
          <w:lang w:val="de-DE"/>
        </w:rPr>
        <w:t>DAWKA.</w:t>
      </w: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</w:t>
      </w:r>
      <w:r w:rsidRPr="005948FC">
        <w:rPr>
          <w:rFonts w:ascii="Courier New" w:hAnsi="Courier New" w:cs="Courier New"/>
          <w:color w:val="0000FF"/>
          <w:shd w:val="clear" w:color="auto" w:fill="FFFFFF"/>
          <w:lang w:val="de-DE"/>
        </w:rPr>
        <w:t>AS</w:t>
      </w: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</w:t>
      </w:r>
      <w:proofErr w:type="spellStart"/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>Dawka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,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         t1.Klinika,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         t1.Status,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         t1.'Więzienie'n,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         t1.'Dni </w:t>
      </w:r>
      <w:proofErr w:type="spellStart"/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>przeżycia'n</w:t>
      </w:r>
      <w:proofErr w:type="spellEnd"/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     </w:t>
      </w:r>
      <w:r w:rsidRPr="005948FC">
        <w:rPr>
          <w:rFonts w:ascii="Courier New" w:hAnsi="Courier New" w:cs="Courier New"/>
          <w:color w:val="0000FF"/>
          <w:shd w:val="clear" w:color="auto" w:fill="FFFFFF"/>
          <w:lang w:val="de-DE"/>
        </w:rPr>
        <w:t>FROM</w:t>
      </w:r>
      <w:r w:rsidRPr="005948FC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 WORK.ADDICTS t1;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b/>
          <w:bCs/>
          <w:color w:val="000080"/>
          <w:shd w:val="clear" w:color="auto" w:fill="FFFFFF"/>
          <w:lang w:val="pl-PL"/>
        </w:rPr>
        <w:t>QUIT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ODS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</w:t>
      </w: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GRAPHICS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</w:t>
      </w: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ON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title1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"model z rozkładem wykładniczym bez zmiennych"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WORK.ADDICTS;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Dni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przeżycia"n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*STATUS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=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=exponential;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proofErr w:type="spellStart"/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title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title1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"model z rozkładem wykładniczym ze zmiennymi"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WORK.QUERY_FOR_ADDICTS;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CLASS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DAWKA Klinika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'</w:t>
      </w:r>
      <w:proofErr w:type="spellStart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Więzienie'n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;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MODEL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 xml:space="preserve">"Dni </w:t>
      </w:r>
      <w:proofErr w:type="spellStart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przeżycia"n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*STATUS (</w:t>
      </w:r>
      <w:r w:rsidRPr="005948FC">
        <w:rPr>
          <w:rFonts w:ascii="Courier New" w:hAnsi="Courier New" w:cs="Courier New"/>
          <w:b/>
          <w:bCs/>
          <w:color w:val="008080"/>
          <w:shd w:val="clear" w:color="auto" w:fill="FFFFFF"/>
          <w:lang w:val="pl-PL"/>
        </w:rPr>
        <w:t>0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) = DAWKA klinika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'</w:t>
      </w:r>
      <w:proofErr w:type="spellStart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Więzienie'n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/ </w:t>
      </w:r>
      <w:proofErr w:type="spellStart"/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dist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=</w:t>
      </w:r>
      <w:proofErr w:type="spellStart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exponential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proofErr w:type="spellStart"/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probplot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b/>
          <w:bCs/>
          <w:color w:val="000080"/>
          <w:shd w:val="clear" w:color="auto" w:fill="FFFFFF"/>
          <w:lang w:val="pl-PL"/>
        </w:rPr>
        <w:t>RUN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;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lastRenderedPageBreak/>
        <w:t>TITLE1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 xml:space="preserve">"model </w:t>
      </w:r>
      <w:proofErr w:type="spellStart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Weibulla</w:t>
      </w:r>
      <w:proofErr w:type="spellEnd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 xml:space="preserve"> ze zmiennymi"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;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lifereg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=WORK.QUERY_FOR_ADDICTS;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proofErr w:type="spellStart"/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class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DAWKA Klinika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'</w:t>
      </w:r>
      <w:proofErr w:type="spellStart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Więzienie'n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; </w:t>
      </w:r>
    </w:p>
    <w:p w:rsidR="005948FC" w:rsidRP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pl-PL"/>
        </w:rPr>
      </w:pPr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model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 xml:space="preserve">"Dni </w:t>
      </w:r>
      <w:proofErr w:type="spellStart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przeżycia"n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*STATUS (</w:t>
      </w:r>
      <w:r w:rsidRPr="005948FC">
        <w:rPr>
          <w:rFonts w:ascii="Courier New" w:hAnsi="Courier New" w:cs="Courier New"/>
          <w:b/>
          <w:bCs/>
          <w:color w:val="008080"/>
          <w:shd w:val="clear" w:color="auto" w:fill="FFFFFF"/>
          <w:lang w:val="pl-PL"/>
        </w:rPr>
        <w:t>0</w:t>
      </w:r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)=DAWKA Klinika </w:t>
      </w:r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'</w:t>
      </w:r>
      <w:proofErr w:type="spellStart"/>
      <w:r w:rsidRPr="005948FC">
        <w:rPr>
          <w:rFonts w:ascii="Courier New" w:hAnsi="Courier New" w:cs="Courier New"/>
          <w:color w:val="800080"/>
          <w:shd w:val="clear" w:color="auto" w:fill="FFFFFF"/>
          <w:lang w:val="pl-PL"/>
        </w:rPr>
        <w:t>Więzienie'n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/</w:t>
      </w:r>
      <w:proofErr w:type="spellStart"/>
      <w:r w:rsidRPr="005948FC">
        <w:rPr>
          <w:rFonts w:ascii="Courier New" w:hAnsi="Courier New" w:cs="Courier New"/>
          <w:color w:val="0000FF"/>
          <w:shd w:val="clear" w:color="auto" w:fill="FFFFFF"/>
          <w:lang w:val="pl-PL"/>
        </w:rPr>
        <w:t>dist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=</w:t>
      </w:r>
      <w:proofErr w:type="spellStart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>weibull</w:t>
      </w:r>
      <w:proofErr w:type="spellEnd"/>
      <w:r w:rsidRPr="005948FC">
        <w:rPr>
          <w:rFonts w:ascii="Courier New" w:hAnsi="Courier New" w:cs="Courier New"/>
          <w:color w:val="000000"/>
          <w:shd w:val="clear" w:color="auto" w:fill="FFFFFF"/>
          <w:lang w:val="pl-PL"/>
        </w:rPr>
        <w:t xml:space="preserve">;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probplot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948FC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948FC" w:rsidRPr="00E45446" w:rsidRDefault="005948FC" w:rsidP="005948FC"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5948FC" w:rsidRPr="00E45446" w:rsidSect="003720B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9FD" w:rsidRDefault="00DD29FD" w:rsidP="005948FC">
      <w:pPr>
        <w:spacing w:after="0" w:line="240" w:lineRule="auto"/>
      </w:pPr>
      <w:r>
        <w:separator/>
      </w:r>
    </w:p>
  </w:endnote>
  <w:endnote w:type="continuationSeparator" w:id="0">
    <w:p w:rsidR="00DD29FD" w:rsidRDefault="00DD29FD" w:rsidP="0059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951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8FC" w:rsidRDefault="005948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23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948FC" w:rsidRDefault="00594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9FD" w:rsidRDefault="00DD29FD" w:rsidP="005948FC">
      <w:pPr>
        <w:spacing w:after="0" w:line="240" w:lineRule="auto"/>
      </w:pPr>
      <w:r>
        <w:separator/>
      </w:r>
    </w:p>
  </w:footnote>
  <w:footnote w:type="continuationSeparator" w:id="0">
    <w:p w:rsidR="00DD29FD" w:rsidRDefault="00DD29FD" w:rsidP="0059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071"/>
    <w:multiLevelType w:val="hybridMultilevel"/>
    <w:tmpl w:val="3C329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6638"/>
    <w:multiLevelType w:val="hybridMultilevel"/>
    <w:tmpl w:val="99E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AC8"/>
    <w:multiLevelType w:val="hybridMultilevel"/>
    <w:tmpl w:val="AD9A7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B3A6A"/>
    <w:multiLevelType w:val="hybridMultilevel"/>
    <w:tmpl w:val="6A0A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19A8"/>
    <w:multiLevelType w:val="hybridMultilevel"/>
    <w:tmpl w:val="27D8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43CB6"/>
    <w:multiLevelType w:val="hybridMultilevel"/>
    <w:tmpl w:val="9F72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395"/>
    <w:multiLevelType w:val="hybridMultilevel"/>
    <w:tmpl w:val="AADE8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F7B86"/>
    <w:multiLevelType w:val="hybridMultilevel"/>
    <w:tmpl w:val="27B82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E6E88"/>
    <w:multiLevelType w:val="hybridMultilevel"/>
    <w:tmpl w:val="345E6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F44B5"/>
    <w:multiLevelType w:val="hybridMultilevel"/>
    <w:tmpl w:val="2FECCC0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156AF"/>
    <w:multiLevelType w:val="hybridMultilevel"/>
    <w:tmpl w:val="9352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A"/>
    <w:rsid w:val="00041235"/>
    <w:rsid w:val="00095D72"/>
    <w:rsid w:val="000F712B"/>
    <w:rsid w:val="00104905"/>
    <w:rsid w:val="001173F0"/>
    <w:rsid w:val="001353D3"/>
    <w:rsid w:val="001D0243"/>
    <w:rsid w:val="001E778C"/>
    <w:rsid w:val="00201614"/>
    <w:rsid w:val="002066F3"/>
    <w:rsid w:val="00216D72"/>
    <w:rsid w:val="00220502"/>
    <w:rsid w:val="00287431"/>
    <w:rsid w:val="00287562"/>
    <w:rsid w:val="00314ABA"/>
    <w:rsid w:val="003720BB"/>
    <w:rsid w:val="003B0A8C"/>
    <w:rsid w:val="0040084C"/>
    <w:rsid w:val="004E5083"/>
    <w:rsid w:val="004F79E2"/>
    <w:rsid w:val="00533D20"/>
    <w:rsid w:val="005948FC"/>
    <w:rsid w:val="005D151A"/>
    <w:rsid w:val="006C48D7"/>
    <w:rsid w:val="00703D6C"/>
    <w:rsid w:val="0075689A"/>
    <w:rsid w:val="007E4A6C"/>
    <w:rsid w:val="00826DAE"/>
    <w:rsid w:val="00892CEB"/>
    <w:rsid w:val="009A0362"/>
    <w:rsid w:val="00AC3942"/>
    <w:rsid w:val="00AE30D3"/>
    <w:rsid w:val="00B455DC"/>
    <w:rsid w:val="00B65BAF"/>
    <w:rsid w:val="00B96B03"/>
    <w:rsid w:val="00BE56D4"/>
    <w:rsid w:val="00BE756F"/>
    <w:rsid w:val="00C308D1"/>
    <w:rsid w:val="00C360ED"/>
    <w:rsid w:val="00D42C3C"/>
    <w:rsid w:val="00D90D90"/>
    <w:rsid w:val="00DC75CA"/>
    <w:rsid w:val="00DD29FD"/>
    <w:rsid w:val="00E05F02"/>
    <w:rsid w:val="00E45446"/>
    <w:rsid w:val="00F04B28"/>
    <w:rsid w:val="00F071B7"/>
    <w:rsid w:val="00F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2294"/>
  <w15:chartTrackingRefBased/>
  <w15:docId w15:val="{6CEB0E2F-CC83-4BF4-955E-A328F2A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AB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7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A6C"/>
    <w:rPr>
      <w:color w:val="808080"/>
    </w:rPr>
  </w:style>
  <w:style w:type="paragraph" w:styleId="ListParagraph">
    <w:name w:val="List Paragraph"/>
    <w:basedOn w:val="Normal"/>
    <w:uiPriority w:val="34"/>
    <w:qFormat/>
    <w:rsid w:val="00287431"/>
    <w:pPr>
      <w:ind w:left="720"/>
      <w:contextualSpacing/>
    </w:pPr>
  </w:style>
  <w:style w:type="character" w:customStyle="1" w:styleId="mi">
    <w:name w:val="mi"/>
    <w:basedOn w:val="DefaultParagraphFont"/>
    <w:rsid w:val="00DC75CA"/>
  </w:style>
  <w:style w:type="character" w:customStyle="1" w:styleId="mn">
    <w:name w:val="mn"/>
    <w:basedOn w:val="DefaultParagraphFont"/>
    <w:rsid w:val="00DC75CA"/>
  </w:style>
  <w:style w:type="character" w:customStyle="1" w:styleId="Heading1Char">
    <w:name w:val="Heading 1 Char"/>
    <w:basedOn w:val="DefaultParagraphFont"/>
    <w:link w:val="Heading1"/>
    <w:uiPriority w:val="9"/>
    <w:rsid w:val="0028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948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FC"/>
  </w:style>
  <w:style w:type="paragraph" w:styleId="Footer">
    <w:name w:val="footer"/>
    <w:basedOn w:val="Normal"/>
    <w:link w:val="FooterChar"/>
    <w:uiPriority w:val="99"/>
    <w:unhideWhenUsed/>
    <w:rsid w:val="005948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FC"/>
  </w:style>
  <w:style w:type="paragraph" w:styleId="TOCHeading">
    <w:name w:val="TOC Heading"/>
    <w:basedOn w:val="Heading1"/>
    <w:next w:val="Normal"/>
    <w:uiPriority w:val="39"/>
    <w:unhideWhenUsed/>
    <w:qFormat/>
    <w:rsid w:val="005948F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48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8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48F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45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515B-F1BC-4236-A745-1C8078A2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BORUCH</dc:creator>
  <cp:keywords/>
  <dc:description/>
  <cp:lastModifiedBy>Sebastian BORUCH</cp:lastModifiedBy>
  <cp:revision>2</cp:revision>
  <dcterms:created xsi:type="dcterms:W3CDTF">2018-04-09T11:29:00Z</dcterms:created>
  <dcterms:modified xsi:type="dcterms:W3CDTF">2018-04-09T11:29:00Z</dcterms:modified>
</cp:coreProperties>
</file>