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bookmarkStart w:id="0" w:name="_GoBack"/>
      <w:bookmarkEnd w:id="0"/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10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30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PAT实验、NAT实验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PAT实验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(1)验证过滤内部网络路由项的过程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(2)理解“内部网络对于Internet是透明的”的含义。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(3)验证动态PAT实现过程。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(4)验证静态PAT实现过程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(5)验证动态PAT配置过程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(6)验证静态PAT配置过程。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(7)验证PAT的安全性。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完成设备放置和连接后的逻辑工作区。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886710"/>
            <wp:effectExtent l="0" t="0" r="9525" b="8890"/>
            <wp:docPr id="1" name="图片 1" descr="6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完成路由器Routerl、Router2各个接口的IP地址和子网掩码配置过程。完成路由器 Routerl、 Router2的RIP配置过程。需要指出的是,在完成路由器 Routerl的iP配置过程时,直接连接的网络中不包括内部网络192.168.1.0/24和192.168.2.0/24。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完成配置后，路由器 Routerl、 Router22别生成如图所示的路由表。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41275</wp:posOffset>
            </wp:positionV>
            <wp:extent cx="4978400" cy="4432300"/>
            <wp:effectExtent l="0" t="0" r="0" b="0"/>
            <wp:wrapNone/>
            <wp:docPr id="2" name="图片 2" descr="6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完成各个终端和服务器网络信息配置。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CL(命令行接口)配置方式下,完成路由器 Routerl动态paT和静态PAT配置过程,启动PCO和PC1与PC3之间的ICMP报文传输过程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71950" cy="3073400"/>
            <wp:effectExtent l="0" t="0" r="6350" b="0"/>
            <wp:docPr id="4" name="图片 4" descr="6.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4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启动PCO和PC1通过浏览器访问Web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Server3的过程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106045</wp:posOffset>
            </wp:positionV>
            <wp:extent cx="4502150" cy="4432300"/>
            <wp:effectExtent l="0" t="0" r="6350" b="0"/>
            <wp:wrapNone/>
            <wp:docPr id="5" name="图片 5" descr="6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4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完成上述传输过程后,路由Routerl1的网络地址转换表(naTable)如图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34230" cy="1913255"/>
            <wp:effectExtent l="0" t="0" r="1270" b="4445"/>
            <wp:docPr id="3" name="图片 3" descr="6.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4.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内部私有地址和内部本地标识符,如192.168.1.1:2,其中192.68.1.1是内部私有地址,2是内部本地标识符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Inside Global列中给出表6.3中的内部全球地址和内部全球标识符,如192.1.1.254:2,其192.1.1.24是内部全球地址,2是内部全球标识符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由于配置了静态地址转换项,允许PC3通 Routerl过连接外部网络的接口的地址192.1.1.254访问内部网络中的 Web Serverl和 Web Server2.配置静态地址转换项时,用内部全球标识符80唯一标识 Web Serverl1,用内部全球标识符8080唯一标识 Web Server22.因此,当在PC3浏览器地址栏中输入192.1.1.254时(80端口号是默认端口号),PC3访问到 Web Server1,如图所示。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201670" cy="1612900"/>
            <wp:effectExtent l="0" t="0" r="11430" b="0"/>
            <wp:docPr id="9" name="图片 9" descr="IMG_7924(20221204-1526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7924(20221204-15264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当在PC3浏览器地址栏中输入192.1.1.254:8080时,PC3访问到 Web Server2。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36195</wp:posOffset>
            </wp:positionV>
            <wp:extent cx="3350260" cy="1816100"/>
            <wp:effectExtent l="0" t="0" r="2540" b="0"/>
            <wp:wrapNone/>
            <wp:docPr id="10" name="图片 10" descr="IMG_7925(20221204-1528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7925(20221204-15285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切换到模拟操作模式,启动PCO至PC3ICMP报文传输过程,PCO至 Routerl传输的用于封装ICMP报文的IP分组格式如图6.36所示,源IP地址是PC0的私有IP地址192.168.1.1. Routerl1至PC3传输的用于封装ICMP报文的IP分组格式如图所示,源IP地址 Routerl是连接外部网络的接口的全球IP地址192.1.1.254。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59250" cy="3670300"/>
            <wp:effectExtent l="0" t="0" r="6350" b="0"/>
            <wp:docPr id="11" name="图片 11" descr="6.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.4.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启动PC3通过览器访问 Web Server2的过程,PC3至 Routerl传输的用于封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装TCP报文的IP分组格式如图所示。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202565</wp:posOffset>
            </wp:positionV>
            <wp:extent cx="4273550" cy="1784350"/>
            <wp:effectExtent l="0" t="0" r="6350" b="6350"/>
            <wp:wrapNone/>
            <wp:docPr id="12" name="图片 12" descr="6.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.4.9"/>
                    <pic:cNvPicPr>
                      <a:picLocks noChangeAspect="1"/>
                    </pic:cNvPicPr>
                  </pic:nvPicPr>
                  <pic:blipFill>
                    <a:blip r:embed="rId15"/>
                    <a:srcRect t="54383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目的IP地址是 Routerl连接外部网络的接口的全球IP地址192.1.1.254,TCP报文的目的端口号是8080(内部全球标识符)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 xml:space="preserve"> 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Routerl至 Web Server2传输的用于封装TCP报文的IP分组格式如图所示。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4025900" cy="3816350"/>
            <wp:effectExtent l="0" t="0" r="0" b="6350"/>
            <wp:docPr id="13" name="图片 13" descr="6.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.4.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目的IP地址是 Web Server2的私有1P地址192168.2.7,TCP报文的目的端口号是80(内部本地标识符)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NAT实验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(1)理解“内部网络对于外部网络是透明的”的含义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(2)验证动态NAT实现过程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(3)验证静态NAT实现过程。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(4)验证动态NAT配置过程。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(5)验证静态NAT配置过程。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(6)验证NAT的安全性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（1）完成设备放置和连接后的逻辑工作区。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918460"/>
            <wp:effectExtent l="0" t="0" r="10795" b="2540"/>
            <wp:docPr id="14" name="图片 14" descr="6.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.5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完成路由器Routerl、 Router22 Router3个接口的IP地址和子网掩码配置过程,完成路由器Routerl、 Router22、 Router3RIP配置过程,需要指出的是,完成路由器 Routerl、 Router2的RP配置过程时,直接连接的网络中不包括内部网络192.168.1.0/24,完成路由器 Routerl、 Router2、 Router3静态路由项配置过程,静态路由项中的目的网络是路由器 Routerl、 Router2配置的全球IP地址池,完成上述配置过程后,路由器 Routerl、 Router2、 Router3分别生成如图所示的路由表。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016500" cy="4610100"/>
            <wp:effectExtent l="0" t="0" r="0" b="0"/>
            <wp:docPr id="15" name="图片 15" descr="6.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.5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对于路由器 Routerl,路由器 Router2连接的内部网络192.168.1.0/24是不可见的。对于路由器 Router3,路由器 Routerl1和 Router2连接的内部网络192.168.1.0/24都是不可见的192.1.3.0/28是路由器 Routerl1配置的全球IP地址池。192.1.3.16/28是路由器 Router2配置的全球IP地址池。因此,这两个目的网络的下一跳分别是路由器 Routerl和 Router2连接外部网络的接口的IP地址。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完成各个终端和服务器的网络信息配置过程。在CIL完成相应NAT功能配置。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PC0用全球IP地址192.1.3.29访问私有IP地址为192.168.1.3的Web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Server3的界面如图。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63415" cy="3120390"/>
            <wp:effectExtent l="0" t="0" r="6985" b="3810"/>
            <wp:docPr id="16" name="图片 16" descr="6.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.5.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用全球IP地址192.1.3.30访问私有IP地址为192.168.1.7的 Web Server4的界面如图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46320" cy="2951480"/>
            <wp:effectExtent l="0" t="0" r="5080" b="7620"/>
            <wp:docPr id="17" name="图片 17" descr="6.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.5.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用全球IP地址192.1.3.29和19.1.3.30分别访问私有IP地址为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192.168.1.3和192.168.1.7的Web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Server33和Web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Server4后,路由器 Routerl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和Router1</w:t>
      </w:r>
      <w:r>
        <w:rPr>
          <w:rFonts w:ascii="宋体" w:hAnsi="宋体" w:eastAsia="宋体" w:cs="宋体"/>
          <w:sz w:val="24"/>
          <w:szCs w:val="24"/>
        </w:rPr>
        <w:t>的NAT表如图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876550"/>
            <wp:effectExtent l="0" t="0" r="10795" b="6350"/>
            <wp:docPr id="18" name="图片 18" descr="6.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.5.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PC0通过览器访问 Web Server33产生的IP分组分别由路由器 Routerl和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Router2完成NAT过程,PCo至路由器 Routerl的IP分组格式如图。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3766185" cy="3376295"/>
            <wp:effectExtent l="0" t="0" r="5715" b="1905"/>
            <wp:docPr id="20" name="图片 20" descr="IMG_7934(20221204-1552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7934(20221204-15521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该IP分组的源IP地址是PCO私有P地址192.18.1.1,目的1P地址是在浏览器地址栏中输入的全球IP地址192.1.3.29,路由器 Routerl至路由器 Router22的IP分组格式如图6.50所示,该IP分组的源IP地址是 Router路由器全球P地址池中的其中一个全球IP地址192.1.3.1,目的IP地址依然是全球IP地址192.1.3.29,由路由器 Routerl完成该IP分组的源IP地址从私有IP地址192.168.1.1到全球IP地址192.1.3.1的转换过程。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路由器R2到Web Sever3的IP分组格式如下。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3759835" cy="1870710"/>
            <wp:effectExtent l="0" t="0" r="12065" b="8890"/>
            <wp:docPr id="21" name="图片 21" descr="IMG_7935(20221204-1556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7935(20221204-155603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E102E"/>
    <w:multiLevelType w:val="singleLevel"/>
    <w:tmpl w:val="0A5E102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A505A69"/>
    <w:multiLevelType w:val="singleLevel"/>
    <w:tmpl w:val="3A505A6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363277FF"/>
    <w:rsid w:val="3DA94805"/>
    <w:rsid w:val="4D0E41B0"/>
    <w:rsid w:val="534A4FF5"/>
    <w:rsid w:val="57EE0449"/>
    <w:rsid w:val="7FA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1607</Words>
  <Characters>2660</Characters>
  <Lines>2</Lines>
  <Paragraphs>1</Paragraphs>
  <TotalTime>4</TotalTime>
  <ScaleCrop>false</ScaleCrop>
  <LinksUpToDate>false</LinksUpToDate>
  <CharactersWithSpaces>2830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2022-12-04T07:58:40Z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88032947668B4EA3A3CC69D049304003</vt:lpwstr>
  </property>
</Properties>
</file>