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ascii="Times New Roman" w:hAnsi="Times New Roman" w:eastAsia="黑体"/>
          <w:sz w:val="32"/>
        </w:rPr>
      </w:pPr>
      <w:r>
        <w:rPr>
          <w:rFonts w:hint="eastAsia" w:ascii="Times New Roman" w:hAnsi="Times New Roman" w:eastAsia="黑体"/>
          <w:sz w:val="32"/>
        </w:rPr>
        <w:t>《信息安全及实践》课程实验报告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</w:rPr>
        <w:t>学院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信息学院</w:t>
      </w:r>
      <w:r>
        <w:rPr>
          <w:rFonts w:ascii="Times New Roman" w:hAnsi="Times New Roman" w:eastAsia="宋体"/>
          <w:sz w:val="24"/>
          <w:u w:val="single"/>
        </w:rPr>
        <w:t xml:space="preserve">    </w:t>
      </w:r>
      <w:r>
        <w:rPr>
          <w:rFonts w:hint="eastAsia" w:ascii="Times New Roman" w:hAnsi="Times New Roman" w:eastAsia="宋体"/>
          <w:sz w:val="24"/>
        </w:rPr>
        <w:t>专业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计算机科学与技术</w:t>
      </w:r>
      <w:bookmarkStart w:id="0" w:name="_GoBack"/>
      <w:bookmarkEnd w:id="0"/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</w:rPr>
        <w:t>年级</w:t>
      </w:r>
      <w:r>
        <w:rPr>
          <w:rFonts w:ascii="Times New Roman" w:hAnsi="Times New Roman" w:eastAsia="宋体"/>
          <w:sz w:val="24"/>
          <w:u w:val="single"/>
        </w:rPr>
        <w:t xml:space="preserve"> 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2020级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</w:rPr>
        <w:t>姓名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黄珀芝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</w:rPr>
        <w:t>学号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20201050331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  <w:r>
        <w:rPr>
          <w:rFonts w:hint="eastAsia" w:ascii="Times New Roman" w:hAnsi="Times New Roman" w:eastAsia="宋体"/>
          <w:sz w:val="24"/>
        </w:rPr>
        <w:t>实验时间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2022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</w:rPr>
        <w:t>年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11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</w:rPr>
        <w:t>月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5</w:t>
      </w:r>
      <w:r>
        <w:rPr>
          <w:rFonts w:ascii="Times New Roman" w:hAnsi="Times New Roman" w:eastAsia="宋体"/>
          <w:sz w:val="24"/>
          <w:u w:val="single"/>
        </w:rPr>
        <w:t xml:space="preserve"> </w:t>
      </w:r>
      <w:r>
        <w:rPr>
          <w:rFonts w:hint="eastAsia" w:ascii="Times New Roman" w:hAnsi="Times New Roman" w:eastAsia="宋体"/>
          <w:sz w:val="24"/>
        </w:rPr>
        <w:t>日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实验名称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</w:t>
      </w:r>
      <w:r>
        <w:rPr>
          <w:rFonts w:hint="eastAsia" w:ascii="Times New Roman" w:hAnsi="Times New Roman" w:eastAsia="宋体"/>
          <w:sz w:val="24"/>
          <w:u w:val="single"/>
          <w:lang w:val="en-US" w:eastAsia="zh-CN"/>
        </w:rPr>
        <w:t>点对点IP隧道实验、IOS路由器IP Sec VPN实验</w:t>
      </w:r>
      <w:r>
        <w:rPr>
          <w:rFonts w:ascii="Times New Roman" w:hAnsi="Times New Roman" w:eastAsia="宋体"/>
          <w:sz w:val="24"/>
          <w:u w:val="single"/>
        </w:rPr>
        <w:t xml:space="preserve">         </w:t>
      </w:r>
    </w:p>
    <w:p>
      <w:pPr>
        <w:spacing w:line="360" w:lineRule="auto"/>
        <w:jc w:val="left"/>
        <w:rPr>
          <w:rFonts w:ascii="Times New Roman" w:hAnsi="Times New Roman" w:eastAsia="宋体"/>
          <w:sz w:val="24"/>
          <w:u w:val="single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实验成绩</w:t>
      </w:r>
      <w:r>
        <w:rPr>
          <w:rFonts w:hint="eastAsia" w:ascii="Times New Roman" w:hAnsi="Times New Roman" w:eastAsia="宋体"/>
          <w:sz w:val="24"/>
          <w:u w:val="single"/>
        </w:rPr>
        <w:t xml:space="preserve"> </w:t>
      </w:r>
      <w:r>
        <w:rPr>
          <w:rFonts w:ascii="Times New Roman" w:hAnsi="Times New Roman" w:eastAsia="宋体"/>
          <w:sz w:val="24"/>
          <w:u w:val="single"/>
        </w:rPr>
        <w:t xml:space="preserve">                                 </w:t>
      </w: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u w:val="single"/>
          <w:lang w:val="en-US" w:eastAsia="zh-CN"/>
        </w:rPr>
      </w:pPr>
    </w:p>
    <w:p>
      <w:pPr>
        <w:spacing w:line="360" w:lineRule="auto"/>
        <w:jc w:val="left"/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点对点IP隧道实验</w:t>
      </w:r>
    </w:p>
    <w:p>
      <w:pPr>
        <w:spacing w:line="360" w:lineRule="auto"/>
        <w:jc w:val="left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一、实验目的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(1)拿握VPN设计过程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(2)掌握点对点IP融道配置过程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(3)握公共网络路由项建立过程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(4)握内部网络路由项建立过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(5)验证公共网络離道两端之间的传输路径的建立过程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(6)验证基于隧道实现的内部子网之向IP分组传输过程</w:t>
      </w:r>
    </w:p>
    <w:p>
      <w:pPr>
        <w:spacing w:line="360" w:lineRule="auto"/>
        <w:jc w:val="left"/>
        <w:rPr>
          <w:rFonts w:hint="eastAsia" w:ascii="Times New Roman" w:hAnsi="Times New Roman" w:eastAsia="宋体"/>
          <w:sz w:val="24"/>
        </w:rPr>
      </w:pPr>
    </w:p>
    <w:p>
      <w:pPr>
        <w:numPr>
          <w:ilvl w:val="0"/>
          <w:numId w:val="1"/>
        </w:numPr>
        <w:spacing w:line="360" w:lineRule="auto"/>
        <w:jc w:val="left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实验步骤(含程序清单)</w:t>
      </w:r>
    </w:p>
    <w:p>
      <w:pPr>
        <w:widowControl w:val="0"/>
        <w:numPr>
          <w:ilvl w:val="0"/>
          <w:numId w:val="2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完成设备放置和连接。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2550795"/>
            <wp:effectExtent l="0" t="0" r="10160" b="1905"/>
            <wp:docPr id="1" name="图片 1" descr="7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.1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为每一台路由器的各个接口配置ip地址和子网掩码，如图给出配置了router6的。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154305</wp:posOffset>
            </wp:positionV>
            <wp:extent cx="4349750" cy="2273300"/>
            <wp:effectExtent l="0" t="0" r="6350" b="0"/>
            <wp:wrapNone/>
            <wp:docPr id="3" name="图片 3" descr="7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.1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（3）在命令行接口配置方式下,完成以下功能的配置过程：定义路由器R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389890</wp:posOffset>
            </wp:positionH>
            <wp:positionV relativeFrom="paragraph">
              <wp:posOffset>835660</wp:posOffset>
            </wp:positionV>
            <wp:extent cx="3962400" cy="2378075"/>
            <wp:effectExtent l="0" t="0" r="0" b="9525"/>
            <wp:wrapNone/>
            <wp:docPr id="4" name="图片 4" descr="7.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.1.3"/>
                    <pic:cNvPicPr>
                      <a:picLocks noChangeAspect="1"/>
                    </pic:cNvPicPr>
                  </pic:nvPicPr>
                  <pic:blipFill>
                    <a:blip r:embed="rId9"/>
                    <a:srcRect t="446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Rouet2和 Router3连接公共网络的接口之间的IP隧道:为隧道接口配置私有IP地址。路由器 Router, Router2和 Router3在直接连接的网络中,选内部网络和道接口连接的网络作为参与RIP创建动态路由项过程的网络。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完成上述配置过程后,每一台路由器建立了完整路由表。各个路由器的完整路由表如下：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38700" cy="3790950"/>
            <wp:effectExtent l="0" t="0" r="0" b="6350"/>
            <wp:docPr id="5" name="图片 5" descr="7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.1.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33900" cy="3625850"/>
            <wp:effectExtent l="0" t="0" r="0" b="6350"/>
            <wp:docPr id="6" name="图片 6" descr="7.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.1.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02150" cy="2851150"/>
            <wp:effectExtent l="0" t="0" r="6350" b="6350"/>
            <wp:docPr id="7" name="图片 7" descr="7.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.1.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30750" cy="2768600"/>
            <wp:effectExtent l="0" t="0" r="6350" b="0"/>
            <wp:docPr id="8" name="图片 8" descr="7.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.1.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191770</wp:posOffset>
            </wp:positionV>
            <wp:extent cx="4660900" cy="2806700"/>
            <wp:effectExtent l="0" t="0" r="0" b="0"/>
            <wp:wrapNone/>
            <wp:docPr id="9" name="图片 9" descr="7.1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.1.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</w:rPr>
        <w:t>三、实验结果及分析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切换到模拟操作模式,启动PC0至Sever2的ICMP文传输过程,内部子中ICMP报文封装过程如图所示,ICMP报文封装成以PC0的私有IP地址192.168.1.1为源IP地址、以 Server2的私有IP地址192,168.3.3为目的IP地址的IP分组,公共网塔中ICMP报文封装过程如图7.10所示,以0的私有IP地址192.168.1.1为源IP地址、以 Server2的私有IP地址8.3.3为日的IP地址的1P分组封装成RE格式,并以GRE格式为净荷,封装成以R连接公共网络的接口的IP地址192.1.1.1为源IP地址,以 Router3连接公共格的接口的IP地址192.1.3.1为日的IP地址的IP分组,为了区分,将以PC0的私有IP地址192.168.1.1为源IP地址,以Server2的私有IP地址192.168.3.3为目的IP地址的IP分组称为内层IP分组,将以Routerl连接公共网落的接口的IP地址192.1.1.1为源IP地址,以 Router3连接公共网络的接口的IP地址192.1.3.1为日的IP地址的IP分组称为外层IP分组,内部网络内传输内层IP分组,公共网内传输外层IP分组。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内层ip分组格式如图：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72390</wp:posOffset>
            </wp:positionV>
            <wp:extent cx="4311650" cy="668020"/>
            <wp:effectExtent l="0" t="0" r="6350" b="5080"/>
            <wp:wrapNone/>
            <wp:docPr id="2" name="图片 2" descr="IMG_7734(20221130-1449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7734(20221130-144904)"/>
                    <pic:cNvPicPr>
                      <a:picLocks noChangeAspect="1"/>
                    </pic:cNvPicPr>
                  </pic:nvPicPr>
                  <pic:blipFill>
                    <a:blip r:embed="rId15"/>
                    <a:srcRect b="8467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130810</wp:posOffset>
            </wp:positionV>
            <wp:extent cx="4431030" cy="2705735"/>
            <wp:effectExtent l="0" t="0" r="1270" b="12065"/>
            <wp:wrapNone/>
            <wp:docPr id="10" name="图片 10" descr="IMG_7734(20221130-1449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7734(20221130-144904)"/>
                    <pic:cNvPicPr>
                      <a:picLocks noChangeAspect="1"/>
                    </pic:cNvPicPr>
                  </pic:nvPicPr>
                  <pic:blipFill>
                    <a:blip r:embed="rId15"/>
                    <a:srcRect t="3961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ind w:firstLine="480" w:firstLineChars="200"/>
        <w:jc w:val="left"/>
        <w:rPr>
          <w:rFonts w:hint="eastAsia" w:ascii="Times New Roman" w:hAnsi="Times New Roman" w:eastAsia="宋体"/>
          <w:sz w:val="24"/>
          <w:lang w:eastAsia="zh-CN"/>
        </w:rPr>
      </w:pPr>
    </w:p>
    <w:p>
      <w:pPr>
        <w:spacing w:line="360" w:lineRule="auto"/>
        <w:ind w:firstLine="480" w:firstLineChars="200"/>
        <w:jc w:val="left"/>
        <w:rPr>
          <w:rFonts w:hint="eastAsia" w:ascii="Times New Roman" w:hAnsi="Times New Roman" w:eastAsia="宋体"/>
          <w:sz w:val="24"/>
          <w:lang w:eastAsia="zh-CN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ascii="Times New Roman" w:hAnsi="Times New Roman" w:eastAsia="宋体"/>
          <w:sz w:val="24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IOS路由器IP Sec VPN实验</w:t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实验目的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 ISAKMP策略配置过程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掌握</w:t>
      </w:r>
      <w:r>
        <w:rPr>
          <w:rFonts w:hint="eastAsia" w:ascii="宋体" w:hAnsi="宋体" w:eastAsia="宋体" w:cs="宋体"/>
          <w:sz w:val="24"/>
          <w:szCs w:val="24"/>
        </w:rPr>
        <w:t xml:space="preserve"> IP Sec参数配置过程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(3)验证 IP See安全关联建立过程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(4)验证封装安全净荷( Encapsulating Security Payload,ESP)报文的封装过程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(5)验证族于 IP Sec VPN的数据传输过程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实验步骤(含程序清单)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(1)在第7.1节中的点对点IP隧道实验基磁上进行本实验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(2)在CLI(命令行接口)配置方式下,道两端完成安全策略配置过程,指定建立安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全传输通道使用的加密算法3DES、报文摘要算法MD5、共享密钥鉴别机制和DH组号DH2.道每一端可以配置多个安全策略,但两端必須存在匹配的安全策略,否则会终止 IP Sec安全关联建立过程。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（3)由于双方采用共享密钥鉴别方式,離道两端需要在CLI(命令行接口)配置方式下完成共享密钥配置过程, Packet Tracer只能用单个共享密钥第定所有采用共享密钥鉴别机制的隧道两端。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（4)在CLI(命令行接口)配置方式下,隧道两端完成变换集配置过程。隧道两端通过指定变换集确定 IP See安全关联使用的安全协议及各种相关算法。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(5)在CLI(命令行接口)配置方式下,通过配置分组过器指定隧道两端需要进行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安全传输的IP分组范围。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(6)在CLI(命令行接口)配置方式下,隧道两端完成加密映射配置过程。加密映射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中将 IP Sec安全关联另一端的IP地址,为 IP See配置的变换集及用于控制需要安全传输的IP分组范围的分组过器挪定在一起,如果某个端口作为多条隧道的源端口,则需要创建多个名字相同但序号不同的加密映射,每一个加密映射对应不同的隧道。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(7)在CL(命令行接口)配置方式下,完成将创建的加密映射作用到某个接口的过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程,加密映射一且作用到某个接口上,则按照加密映射的配置,自动建立 IP See安全关联,并通过 IP Sec安全关联安全传输分组过器指定的IP分组分集。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三、实验结果及分析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在道两端的接口各自创建加密映射后,離道两端通过 ISAKMP自动创建IP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Sec安全关联,内层IP分组经过陸道传输时,封装成外层IP分组,外层IP分组经过安全关联传输时,封装成ESP报文。图7.11所示是图7.2中PCO至 Server2的内层IP分组以内部网络本地IP地址192.168.1.1和192.168.3.3为源和目的IP地址,图7.12所示是该内层IP分组封装成外层IP分组的过程,它首先被封装成GRE格式,GRE格式被封装成外层IP分组。图7.13所示是外层IP分组封装成ESP报文的过程,外层IP分组作为ESP报文的净荷,ESP采用的加密算法是3DES,采用的HMAC算法是HMAC-MD5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315595</wp:posOffset>
            </wp:positionV>
            <wp:extent cx="4461510" cy="451485"/>
            <wp:effectExtent l="0" t="0" r="8890" b="5715"/>
            <wp:wrapNone/>
            <wp:docPr id="12" name="图片 12" descr="7.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.1.12"/>
                    <pic:cNvPicPr>
                      <a:picLocks noChangeAspect="1"/>
                    </pic:cNvPicPr>
                  </pic:nvPicPr>
                  <pic:blipFill>
                    <a:blip r:embed="rId16"/>
                    <a:srcRect t="33519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419600" cy="281305"/>
            <wp:effectExtent l="0" t="0" r="0" b="10795"/>
            <wp:docPr id="14" name="图片 14" descr="7.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.1.10"/>
                    <pic:cNvPicPr>
                      <a:picLocks noChangeAspect="1"/>
                    </pic:cNvPicPr>
                  </pic:nvPicPr>
                  <pic:blipFill>
                    <a:blip r:embed="rId17"/>
                    <a:srcRect b="9369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71755</wp:posOffset>
            </wp:positionV>
            <wp:extent cx="4481195" cy="2734945"/>
            <wp:effectExtent l="0" t="0" r="1905" b="8255"/>
            <wp:wrapNone/>
            <wp:docPr id="18" name="图片 18" descr="IMG_7743(20221130-1517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7743(20221130-15175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292100</wp:posOffset>
            </wp:positionV>
            <wp:extent cx="4464050" cy="3469640"/>
            <wp:effectExtent l="0" t="0" r="6350" b="10160"/>
            <wp:wrapNone/>
            <wp:docPr id="17" name="图片 17" descr="IMG_7741(20221130-1516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7741(20221130-15163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spacing w:line="360" w:lineRule="auto"/>
        <w:jc w:val="left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内层ip分组封装成外层ip分组。</w:t>
      </w: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134442377" o:spid="_x0000_s4098" o:spt="75" type="#_x0000_t75" style="position:absolute;left:0pt;height:412.55pt;width:41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4442376" o:spid="_x0000_s4099" o:spt="75" type="#_x0000_t75" style="position:absolute;left:0pt;height:412.55pt;width:41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4442375" o:spid="_x0000_s4097" o:spt="75" type="#_x0000_t75" style="position:absolute;left:0pt;height:412.55pt;width:41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11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0F234F"/>
    <w:multiLevelType w:val="singleLevel"/>
    <w:tmpl w:val="540F234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757365A"/>
    <w:multiLevelType w:val="singleLevel"/>
    <w:tmpl w:val="6757365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D43154C"/>
    <w:multiLevelType w:val="singleLevel"/>
    <w:tmpl w:val="6D43154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NkYTVjMDAzMDUwMzJjNjQ1OTQ0Y2M5ZTFiYzQ3MWMifQ=="/>
  </w:docVars>
  <w:rsids>
    <w:rsidRoot w:val="00983DD2"/>
    <w:rsid w:val="00053356"/>
    <w:rsid w:val="000A7A39"/>
    <w:rsid w:val="00142D9C"/>
    <w:rsid w:val="0015006E"/>
    <w:rsid w:val="001815E9"/>
    <w:rsid w:val="00250A87"/>
    <w:rsid w:val="00264A76"/>
    <w:rsid w:val="003B04A3"/>
    <w:rsid w:val="004230F1"/>
    <w:rsid w:val="00490659"/>
    <w:rsid w:val="004A54FA"/>
    <w:rsid w:val="00586809"/>
    <w:rsid w:val="00653E3D"/>
    <w:rsid w:val="006622FC"/>
    <w:rsid w:val="007F44BA"/>
    <w:rsid w:val="008060CB"/>
    <w:rsid w:val="00983DD2"/>
    <w:rsid w:val="00AA2D77"/>
    <w:rsid w:val="00AC3B9E"/>
    <w:rsid w:val="00BA4DC6"/>
    <w:rsid w:val="00D37389"/>
    <w:rsid w:val="00E1450E"/>
    <w:rsid w:val="00F26774"/>
    <w:rsid w:val="00F44469"/>
    <w:rsid w:val="00FD5D39"/>
    <w:rsid w:val="233C4F59"/>
    <w:rsid w:val="363277FF"/>
    <w:rsid w:val="3DA94805"/>
    <w:rsid w:val="443671C7"/>
    <w:rsid w:val="4D0E41B0"/>
    <w:rsid w:val="57EE0449"/>
    <w:rsid w:val="7610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1626</Words>
  <Characters>2123</Characters>
  <Lines>2</Lines>
  <Paragraphs>1</Paragraphs>
  <TotalTime>6</TotalTime>
  <ScaleCrop>false</ScaleCrop>
  <LinksUpToDate>false</LinksUpToDate>
  <CharactersWithSpaces>2258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2019-03-21T12:17:00Z</dcterms:created>
  <dc:creator>王 津</dc:creator>
  <cp:lastModifiedBy>Siamese kitten.</cp:lastModifiedBy>
  <dcterms:modified xsi:type="dcterms:W3CDTF">2022-12-04T07:58:55Z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D540F0E19F404C41B3A5ED0A5C83E081</vt:lpwstr>
  </property>
</Properties>
</file>