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16"/>
        </w:rPr>
        <w:t>MVA WORK PRODUCT · ARCHIMATE MOTIVATIELAAG</w:t>
      </w:r>
    </w:p>
    <w:p>
      <w:pPr>
        <w:pStyle w:val="Heading1"/>
      </w:pPr>
      <w:r>
        <w:rPr>
          <w:color w:val="1C1A16"/>
          <w:sz w:val="40"/>
        </w:rPr>
        <w:t>Architecture Vision</w:t>
      </w:r>
    </w:p>
    <w:p>
      <w:r>
        <w:rPr>
          <w:i/>
          <w:color w:val="0F6E63"/>
          <w:sz w:val="22"/>
        </w:rPr>
        <w:t>de kleinste gedeelde intentie die verkeerde keuzes voorkomt</w:t>
      </w:r>
    </w:p>
    <w:p/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Dit document beschrijft de doelrichting, scope en waarde op één pagina. In COTS-context: de eerste deliverable vóór enige vendor geselecteerd wordt. Raakt alle ArchiMate-lagen op richtinggevend niveau: Motivatie (drivers, doelen, principes, uitsluitingscriteria) → Bedrijfslaag (scope) → Applicatielaag (COTS-richting, integratiepatroon) → Technologielaag (platform, paved road).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0F6E63"/>
          </w:tcPr>
          <w:p>
            <w:r>
              <w:rPr>
                <w:b/>
                <w:color w:val="FFFFFF"/>
                <w:sz w:val="18"/>
              </w:rPr>
              <w:t>Veld</w:t>
            </w:r>
          </w:p>
        </w:tc>
        <w:tc>
          <w:tcPr>
            <w:tcW w:type="dxa" w:w="4844"/>
            <w:shd w:val="clear" w:fill="0F6E63"/>
          </w:tcPr>
          <w:p>
            <w:r>
              <w:rPr>
                <w:b/>
                <w:color w:val="FFFFFF"/>
                <w:sz w:val="18"/>
              </w:rPr>
              <w:t>Waarde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Systeem / project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[naam van het systeem of project]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Versie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1.0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[JJJJ-MM-DD]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Eigenaar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[Lead/Enterprise Architect]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Concept | Overeengekomen | Gepubliceerd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Goedgekeurd door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[naam sponsorende stakeholder]</w:t>
            </w:r>
          </w:p>
        </w:tc>
      </w:tr>
    </w:tbl>
    <w:p/>
    <w:p>
      <w:pPr>
        <w:pStyle w:val="Heading2"/>
      </w:pPr>
      <w:r>
        <w:rPr>
          <w:color w:val="0F6E63"/>
        </w:rPr>
        <w:t>1. Waardeverklaring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Formuleer in één alinea voor een manager, niet voor een architect. Structuur: Voor [doelgroep] die [behoefte] heeft, biedt dit systeem [kernoplossing] die, anders dan [alternatief], [onderscheidend voordeel] levert.</w:t>
      </w:r>
    </w:p>
    <w:p>
      <w:pPr>
        <w:spacing w:after="120"/>
      </w:pPr>
      <w:r>
        <w:rPr>
          <w:i/>
          <w:color w:val="8A93A2"/>
          <w:sz w:val="20"/>
        </w:rPr>
        <w:t>[Waardeverklaring — max. 3 zinnen, geen jargon]</w:t>
      </w:r>
    </w:p>
    <w:p/>
    <w:p>
      <w:pPr>
        <w:pStyle w:val="Heading2"/>
      </w:pPr>
      <w:r>
        <w:rPr>
          <w:color w:val="0F6E63"/>
        </w:rPr>
        <w:t>2.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Dimensie</w:t>
            </w:r>
          </w:p>
        </w:tc>
        <w:tc>
          <w:tcPr>
            <w:tcW w:type="dxa" w:w="3969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Binnen scope</w:t>
            </w:r>
          </w:p>
        </w:tc>
        <w:tc>
          <w:tcPr>
            <w:tcW w:type="dxa" w:w="3969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Buiten scope</w:t>
            </w:r>
          </w:p>
        </w:tc>
      </w:tr>
      <w:tr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Organisatie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[welke afdelingen/entiteiten]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[expliciet uitgesloten]</w:t>
            </w:r>
          </w:p>
        </w:tc>
      </w:tr>
      <w:tr>
        <w:tc>
          <w:tcPr>
            <w:tcW w:type="dxa" w:w="2268"/>
            <w:shd w:val="clear" w:fill="F3EFE6"/>
          </w:tcPr>
          <w:p>
            <w:r>
              <w:rPr>
                <w:color w:val="1C1A16"/>
                <w:sz w:val="18"/>
              </w:rPr>
              <w:t>Processen</w:t>
            </w:r>
          </w:p>
        </w:tc>
        <w:tc>
          <w:tcPr>
            <w:tcW w:type="dxa" w:w="3969"/>
            <w:shd w:val="clear" w:fill="F3EFE6"/>
          </w:tcPr>
          <w:p>
            <w:r>
              <w:rPr>
                <w:color w:val="524D42"/>
                <w:sz w:val="18"/>
              </w:rPr>
              <w:t>[welke primaire processen]</w:t>
            </w:r>
          </w:p>
        </w:tc>
        <w:tc>
          <w:tcPr>
            <w:tcW w:type="dxa" w:w="3969"/>
            <w:shd w:val="clear" w:fill="F3EFE6"/>
          </w:tcPr>
          <w:p>
            <w:r>
              <w:rPr>
                <w:color w:val="524D42"/>
                <w:sz w:val="18"/>
              </w:rPr>
              <w:t>[buiten scope processen]</w:t>
            </w:r>
          </w:p>
        </w:tc>
      </w:tr>
      <w:tr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Systemen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[welke systemen]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[niet in scope systemen]</w:t>
            </w:r>
          </w:p>
        </w:tc>
      </w:tr>
      <w:tr>
        <w:tc>
          <w:tcPr>
            <w:tcW w:type="dxa" w:w="2268"/>
            <w:shd w:val="clear" w:fill="F3EFE6"/>
          </w:tcPr>
          <w:p>
            <w:r>
              <w:rPr>
                <w:color w:val="1C1A16"/>
                <w:sz w:val="18"/>
              </w:rPr>
              <w:t>Data</w:t>
            </w:r>
          </w:p>
        </w:tc>
        <w:tc>
          <w:tcPr>
            <w:tcW w:type="dxa" w:w="3969"/>
            <w:shd w:val="clear" w:fill="F3EFE6"/>
          </w:tcPr>
          <w:p>
            <w:r>
              <w:rPr>
                <w:color w:val="524D42"/>
                <w:sz w:val="18"/>
              </w:rPr>
              <w:t>[welke datagebieden]</w:t>
            </w:r>
          </w:p>
        </w:tc>
        <w:tc>
          <w:tcPr>
            <w:tcW w:type="dxa" w:w="3969"/>
            <w:shd w:val="clear" w:fill="F3EFE6"/>
          </w:tcPr>
          <w:p>
            <w:r>
              <w:rPr>
                <w:color w:val="524D42"/>
                <w:sz w:val="18"/>
              </w:rPr>
              <w:t>[niet in scope data]</w:t>
            </w:r>
          </w:p>
        </w:tc>
      </w:tr>
      <w:tr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Tijdhorizon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[periode en fases]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[wat volgt later]</w:t>
            </w:r>
          </w:p>
        </w:tc>
      </w:tr>
    </w:tbl>
    <w:p/>
    <w:p>
      <w:pPr>
        <w:pStyle w:val="Heading2"/>
      </w:pPr>
      <w:r>
        <w:rPr>
          <w:color w:val="0F6E63"/>
        </w:rPr>
        <w:t>3. Architecturele drivers (top 5)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Formuleer elk driver falsifieerbaar: niet 'verbeter efficiëntie' maar 'reduceer verwerkingstijd van 48 naar 6 uur'. Deze criteria zijn tevens de selectiecriteria voor COTS-componenten. Types: Strategisch doel · Kwaliteitsattribuut · Beperking · Principe.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Driver</w:t>
            </w:r>
          </w:p>
        </w:tc>
        <w:tc>
          <w:tcPr>
            <w:tcW w:type="dxa" w:w="198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969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Falsifieerbaar criterium (meting)</w:t>
            </w:r>
          </w:p>
        </w:tc>
        <w:tc>
          <w:tcPr>
            <w:tcW w:type="dxa" w:w="141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Prioriteit</w:t>
            </w:r>
          </w:p>
        </w:tc>
      </w:tr>
      <w:tr>
        <w:tc>
          <w:tcPr>
            <w:tcW w:type="dxa" w:w="567"/>
            <w:shd w:val="clear" w:fill="FBF9F3"/>
          </w:tcPr>
          <w:p>
            <w:r>
              <w:rPr>
                <w:color w:val="1C1A16"/>
                <w:sz w:val="18"/>
              </w:rPr>
              <w:t>D1</w:t>
            </w:r>
          </w:p>
        </w:tc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[naam driver]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524D42"/>
                <w:sz w:val="18"/>
              </w:rPr>
              <w:t>[type]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[criterium + meting + drempelwaarde]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Hoog</w:t>
            </w:r>
          </w:p>
        </w:tc>
      </w:tr>
      <w:tr>
        <w:tc>
          <w:tcPr>
            <w:tcW w:type="dxa" w:w="567"/>
            <w:shd w:val="clear" w:fill="F3EFE6"/>
          </w:tcPr>
          <w:p>
            <w:r>
              <w:rPr>
                <w:color w:val="1C1A16"/>
                <w:sz w:val="18"/>
              </w:rPr>
              <w:t>D2</w:t>
            </w:r>
          </w:p>
        </w:tc>
        <w:tc>
          <w:tcPr>
            <w:tcW w:type="dxa" w:w="2551"/>
            <w:shd w:val="clear" w:fill="F3EFE6"/>
          </w:tcPr>
          <w:p>
            <w:r>
              <w:rPr>
                <w:color w:val="524D42"/>
                <w:sz w:val="18"/>
              </w:rPr>
              <w:t>[naam driver]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524D42"/>
                <w:sz w:val="18"/>
              </w:rPr>
              <w:t>[type]</w:t>
            </w:r>
          </w:p>
        </w:tc>
        <w:tc>
          <w:tcPr>
            <w:tcW w:type="dxa" w:w="3969"/>
            <w:shd w:val="clear" w:fill="F3EFE6"/>
          </w:tcPr>
          <w:p>
            <w:r>
              <w:rPr>
                <w:color w:val="524D42"/>
                <w:sz w:val="18"/>
              </w:rPr>
              <w:t>[criterium + meting + drempelwaarde]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1C1A16"/>
                <w:sz w:val="18"/>
              </w:rPr>
              <w:t>Hoog</w:t>
            </w:r>
          </w:p>
        </w:tc>
      </w:tr>
      <w:tr>
        <w:tc>
          <w:tcPr>
            <w:tcW w:type="dxa" w:w="567"/>
            <w:shd w:val="clear" w:fill="FBF9F3"/>
          </w:tcPr>
          <w:p>
            <w:r>
              <w:rPr>
                <w:color w:val="1C1A16"/>
                <w:sz w:val="18"/>
              </w:rPr>
              <w:t>D3</w:t>
            </w:r>
          </w:p>
        </w:tc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[naam driver]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524D42"/>
                <w:sz w:val="18"/>
              </w:rPr>
              <w:t>[type]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[criterium + meting + drempelwaarde]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Middel</w:t>
            </w:r>
          </w:p>
        </w:tc>
      </w:tr>
      <w:tr>
        <w:tc>
          <w:tcPr>
            <w:tcW w:type="dxa" w:w="567"/>
            <w:shd w:val="clear" w:fill="F3EFE6"/>
          </w:tcPr>
          <w:p>
            <w:r>
              <w:rPr>
                <w:color w:val="1C1A16"/>
                <w:sz w:val="18"/>
              </w:rPr>
              <w:t>D4</w:t>
            </w:r>
          </w:p>
        </w:tc>
        <w:tc>
          <w:tcPr>
            <w:tcW w:type="dxa" w:w="2551"/>
            <w:shd w:val="clear" w:fill="F3EFE6"/>
          </w:tcPr>
          <w:p>
            <w:r>
              <w:rPr>
                <w:color w:val="524D42"/>
                <w:sz w:val="18"/>
              </w:rPr>
              <w:t>[naam driver]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524D42"/>
                <w:sz w:val="18"/>
              </w:rPr>
              <w:t>[type]</w:t>
            </w:r>
          </w:p>
        </w:tc>
        <w:tc>
          <w:tcPr>
            <w:tcW w:type="dxa" w:w="3969"/>
            <w:shd w:val="clear" w:fill="F3EFE6"/>
          </w:tcPr>
          <w:p>
            <w:r>
              <w:rPr>
                <w:color w:val="524D42"/>
                <w:sz w:val="18"/>
              </w:rPr>
              <w:t>[criterium + meting + drempelwaarde]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1C1A16"/>
                <w:sz w:val="18"/>
              </w:rPr>
              <w:t>Middel</w:t>
            </w:r>
          </w:p>
        </w:tc>
      </w:tr>
      <w:tr>
        <w:tc>
          <w:tcPr>
            <w:tcW w:type="dxa" w:w="567"/>
            <w:shd w:val="clear" w:fill="FBF9F3"/>
          </w:tcPr>
          <w:p>
            <w:r>
              <w:rPr>
                <w:color w:val="1C1A16"/>
                <w:sz w:val="18"/>
              </w:rPr>
              <w:t>D5</w:t>
            </w:r>
          </w:p>
        </w:tc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[naam driver]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524D42"/>
                <w:sz w:val="18"/>
              </w:rPr>
              <w:t>[type]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[criterium + meting + drempelwaarde]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Laag</w:t>
            </w:r>
          </w:p>
        </w:tc>
      </w:tr>
    </w:tbl>
    <w:p/>
    <w:p>
      <w:pPr>
        <w:pStyle w:val="Heading2"/>
      </w:pPr>
      <w:r>
        <w:rPr>
          <w:color w:val="0F6E63"/>
        </w:rPr>
        <w:t>4. Leidende architectuurprincipes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Principes zijn keuzeregels, geen waarden. Een principe helpt een dilemma te beslechten — als het altijd waar is, is het geen principe maar een feit. Gebruik principes actief om componentopties af te wijzen.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P#</w:t>
            </w:r>
          </w:p>
        </w:tc>
        <w:tc>
          <w:tcPr>
            <w:tcW w:type="dxa" w:w="3969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Principe</w:t>
            </w:r>
          </w:p>
        </w:tc>
        <w:tc>
          <w:tcPr>
            <w:tcW w:type="dxa" w:w="510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Consequentie voor ontwerp</w:t>
            </w:r>
          </w:p>
        </w:tc>
      </w:tr>
      <w:tr>
        <w:tc>
          <w:tcPr>
            <w:tcW w:type="dxa" w:w="850"/>
            <w:shd w:val="clear" w:fill="FBF9F3"/>
          </w:tcPr>
          <w:p>
            <w:r>
              <w:rPr>
                <w:color w:val="1C1A16"/>
                <w:sz w:val="18"/>
              </w:rPr>
              <w:t>P1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1C1A16"/>
                <w:sz w:val="18"/>
              </w:rPr>
              <w:t>Configureer, customiseer niet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1C1A16"/>
                <w:sz w:val="18"/>
              </w:rPr>
              <w:t>COTS-aanpassingen buiten vendor-API vereisen een ADR</w:t>
            </w:r>
          </w:p>
        </w:tc>
      </w:tr>
      <w:tr>
        <w:tc>
          <w:tcPr>
            <w:tcW w:type="dxa" w:w="850"/>
            <w:shd w:val="clear" w:fill="F3EFE6"/>
          </w:tcPr>
          <w:p>
            <w:r>
              <w:rPr>
                <w:color w:val="1C1A16"/>
                <w:sz w:val="18"/>
              </w:rPr>
              <w:t>P2</w:t>
            </w:r>
          </w:p>
        </w:tc>
        <w:tc>
          <w:tcPr>
            <w:tcW w:type="dxa" w:w="3969"/>
            <w:shd w:val="clear" w:fill="F3EFE6"/>
          </w:tcPr>
          <w:p>
            <w:r>
              <w:rPr>
                <w:color w:val="1C1A16"/>
                <w:sz w:val="18"/>
              </w:rPr>
              <w:t>Standaarden boven maatwerk</w:t>
            </w:r>
          </w:p>
        </w:tc>
        <w:tc>
          <w:tcPr>
            <w:tcW w:type="dxa" w:w="5102"/>
            <w:shd w:val="clear" w:fill="F3EFE6"/>
          </w:tcPr>
          <w:p>
            <w:r>
              <w:rPr>
                <w:color w:val="1C1A16"/>
                <w:sz w:val="18"/>
              </w:rPr>
              <w:t>Waar een open standaard bestaat, is die leidend</w:t>
            </w:r>
          </w:p>
        </w:tc>
      </w:tr>
      <w:tr>
        <w:tc>
          <w:tcPr>
            <w:tcW w:type="dxa" w:w="850"/>
            <w:shd w:val="clear" w:fill="FBF9F3"/>
          </w:tcPr>
          <w:p>
            <w:r>
              <w:rPr>
                <w:color w:val="1C1A16"/>
                <w:sz w:val="18"/>
              </w:rPr>
              <w:t>P3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1C1A16"/>
                <w:sz w:val="18"/>
              </w:rPr>
              <w:t>Exitstrategie vóór adoptie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1C1A16"/>
                <w:sz w:val="18"/>
              </w:rPr>
              <w:t>Elk COTS-product heeft een gedocumenteerde migratieroute</w:t>
            </w:r>
          </w:p>
        </w:tc>
      </w:tr>
      <w:tr>
        <w:tc>
          <w:tcPr>
            <w:tcW w:type="dxa" w:w="850"/>
            <w:shd w:val="clear" w:fill="F3EFE6"/>
          </w:tcPr>
          <w:p>
            <w:r>
              <w:rPr>
                <w:color w:val="1C1A16"/>
                <w:sz w:val="18"/>
              </w:rPr>
              <w:t>P4</w:t>
            </w:r>
          </w:p>
        </w:tc>
        <w:tc>
          <w:tcPr>
            <w:tcW w:type="dxa" w:w="3969"/>
            <w:shd w:val="clear" w:fill="F3EFE6"/>
          </w:tcPr>
          <w:p>
            <w:r>
              <w:rPr>
                <w:color w:val="1C1A16"/>
                <w:sz w:val="18"/>
              </w:rPr>
              <w:t>Interoperabiliteit by design</w:t>
            </w:r>
          </w:p>
        </w:tc>
        <w:tc>
          <w:tcPr>
            <w:tcW w:type="dxa" w:w="5102"/>
            <w:shd w:val="clear" w:fill="F3EFE6"/>
          </w:tcPr>
          <w:p>
            <w:r>
              <w:rPr>
                <w:color w:val="1C1A16"/>
                <w:sz w:val="18"/>
              </w:rPr>
              <w:t>Elk systeem exposeert een gedocumenteerde API</w:t>
            </w:r>
          </w:p>
        </w:tc>
      </w:tr>
      <w:tr>
        <w:tc>
          <w:tcPr>
            <w:tcW w:type="dxa" w:w="850"/>
            <w:shd w:val="clear" w:fill="FBF9F3"/>
          </w:tcPr>
          <w:p>
            <w:r>
              <w:rPr>
                <w:color w:val="1C1A16"/>
                <w:sz w:val="18"/>
              </w:rPr>
              <w:t>P5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[eigen principe]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[consequentie]</w:t>
            </w:r>
          </w:p>
        </w:tc>
      </w:tr>
    </w:tbl>
    <w:p/>
    <w:p>
      <w:pPr>
        <w:pStyle w:val="Heading2"/>
      </w:pPr>
      <w:r>
        <w:rPr>
          <w:color w:val="0F6E63"/>
        </w:rPr>
        <w:t>5. Uitsluitingscriteria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Technologieën, leveranciers, architectuurpatronen of licentiemodellen die expliciet buiten beschouwing worden gelaten. In COTS essentieel: maakt verkeerde vendor-selecties onmogelijk vóórdat er ook maar één demo plaatsvindt.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Categorie</w:t>
            </w:r>
          </w:p>
        </w:tc>
        <w:tc>
          <w:tcPr>
            <w:tcW w:type="dxa" w:w="340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Uitgesloten</w:t>
            </w:r>
          </w:p>
        </w:tc>
        <w:tc>
          <w:tcPr>
            <w:tcW w:type="dxa" w:w="510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Reden</w:t>
            </w:r>
          </w:p>
        </w:tc>
      </w:tr>
      <w:tr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Leverancier</w:t>
            </w:r>
          </w:p>
        </w:tc>
        <w:tc>
          <w:tcPr>
            <w:tcW w:type="dxa" w:w="3402"/>
            <w:shd w:val="clear" w:fill="FBF9F3"/>
          </w:tcPr>
          <w:p>
            <w:r>
              <w:rPr>
                <w:color w:val="524D42"/>
                <w:sz w:val="18"/>
              </w:rPr>
              <w:t>[naam leverancier/product]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[reden: lock-in / compliance / licentiemodel]</w:t>
            </w:r>
          </w:p>
        </w:tc>
      </w:tr>
      <w:tr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Architectuurpatroon</w:t>
            </w:r>
          </w:p>
        </w:tc>
        <w:tc>
          <w:tcPr>
            <w:tcW w:type="dxa" w:w="3402"/>
            <w:shd w:val="clear" w:fill="F3EFE6"/>
          </w:tcPr>
          <w:p>
            <w:r>
              <w:rPr>
                <w:color w:val="524D42"/>
                <w:sz w:val="18"/>
              </w:rPr>
              <w:t>[patroon, bijv. point-to-point DB]</w:t>
            </w:r>
          </w:p>
        </w:tc>
        <w:tc>
          <w:tcPr>
            <w:tcW w:type="dxa" w:w="5102"/>
            <w:shd w:val="clear" w:fill="F3EFE6"/>
          </w:tcPr>
          <w:p>
            <w:r>
              <w:rPr>
                <w:color w:val="524D42"/>
                <w:sz w:val="18"/>
              </w:rPr>
              <w:t>[reden]</w:t>
            </w:r>
          </w:p>
        </w:tc>
      </w:tr>
      <w:tr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Licentiemodel</w:t>
            </w:r>
          </w:p>
        </w:tc>
        <w:tc>
          <w:tcPr>
            <w:tcW w:type="dxa" w:w="3402"/>
            <w:shd w:val="clear" w:fill="FBF9F3"/>
          </w:tcPr>
          <w:p>
            <w:r>
              <w:rPr>
                <w:color w:val="524D42"/>
                <w:sz w:val="18"/>
              </w:rPr>
              <w:t>[bijv. per-CPU perpetueel]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[reden]</w:t>
            </w:r>
          </w:p>
        </w:tc>
      </w:tr>
      <w:tr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</w:r>
          </w:p>
        </w:tc>
        <w:tc>
          <w:tcPr>
            <w:tcW w:type="dxa" w:w="3402"/>
            <w:shd w:val="clear" w:fill="F3EFE6"/>
          </w:tcPr>
          <w:p>
            <w:r>
              <w:rPr>
                <w:color w:val="1C1A16"/>
                <w:sz w:val="18"/>
              </w:rPr>
            </w:r>
          </w:p>
        </w:tc>
        <w:tc>
          <w:tcPr>
            <w:tcW w:type="dxa" w:w="5102"/>
            <w:shd w:val="clear" w:fill="F3EFE6"/>
          </w:tcPr>
          <w:p>
            <w:r>
              <w:rPr>
                <w:color w:val="1C1A16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F6E63"/>
        </w:rPr>
        <w:t>6. Architectuurrichting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Eén zin per ArchiMate-laag: welk platform, welk integratiepatroon, welke paved road. Geen details — die volgen in de Architecture Definition.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Laag</w:t>
            </w:r>
          </w:p>
        </w:tc>
        <w:tc>
          <w:tcPr>
            <w:tcW w:type="dxa" w:w="793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Richting (één zin)</w:t>
            </w:r>
          </w:p>
        </w:tc>
      </w:tr>
      <w:tr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Bedrijfslaag</w:t>
            </w:r>
          </w:p>
        </w:tc>
        <w:tc>
          <w:tcPr>
            <w:tcW w:type="dxa" w:w="7937"/>
            <w:shd w:val="clear" w:fill="FBF9F3"/>
          </w:tcPr>
          <w:p>
            <w:r>
              <w:rPr>
                <w:color w:val="524D42"/>
                <w:sz w:val="18"/>
              </w:rPr>
              <w:t>[welke processen worden ondersteund]</w:t>
            </w:r>
          </w:p>
        </w:tc>
      </w:tr>
      <w:tr>
        <w:tc>
          <w:tcPr>
            <w:tcW w:type="dxa" w:w="2268"/>
            <w:shd w:val="clear" w:fill="F3EFE6"/>
          </w:tcPr>
          <w:p>
            <w:r>
              <w:rPr>
                <w:color w:val="1C1A16"/>
                <w:sz w:val="18"/>
              </w:rPr>
              <w:t>Applicatielaag</w:t>
            </w:r>
          </w:p>
        </w:tc>
        <w:tc>
          <w:tcPr>
            <w:tcW w:type="dxa" w:w="7937"/>
            <w:shd w:val="clear" w:fill="F3EFE6"/>
          </w:tcPr>
          <w:p>
            <w:r>
              <w:rPr>
                <w:color w:val="524D42"/>
                <w:sz w:val="18"/>
              </w:rPr>
              <w:t>[COTS-selectierichting en integratiepatroon]</w:t>
            </w:r>
          </w:p>
        </w:tc>
      </w:tr>
      <w:tr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Technologielaag</w:t>
            </w:r>
          </w:p>
        </w:tc>
        <w:tc>
          <w:tcPr>
            <w:tcW w:type="dxa" w:w="7937"/>
            <w:shd w:val="clear" w:fill="FBF9F3"/>
          </w:tcPr>
          <w:p>
            <w:r>
              <w:rPr>
                <w:color w:val="524D42"/>
                <w:sz w:val="18"/>
              </w:rPr>
              <w:t>[platform en paved road-richting]</w:t>
            </w:r>
          </w:p>
        </w:tc>
      </w:tr>
    </w:tbl>
    <w:p/>
    <w:p>
      <w:pPr>
        <w:pStyle w:val="Heading2"/>
      </w:pPr>
      <w:r>
        <w:rPr>
          <w:color w:val="0F6E63"/>
        </w:rPr>
        <w:t>7. Signalering onomkeerbare beslissingen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Benoem welke beslissingen in dit initiatief kostbaar zijn om terug te draaien. Dit zijn aandachtspunten voor ADR's — ook als ze nog niet genomen zijn. Focus op: vendor lock-in, datamodel, integratie-API, licentiemodel.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Beslissing (nog te nemen)</w:t>
            </w:r>
          </w:p>
        </w:tc>
        <w:tc>
          <w:tcPr>
            <w:tcW w:type="dxa" w:w="198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Categorie</w:t>
            </w:r>
          </w:p>
        </w:tc>
        <w:tc>
          <w:tcPr>
            <w:tcW w:type="dxa" w:w="510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Risico bij terugdraaien</w:t>
            </w:r>
          </w:p>
        </w:tc>
      </w:tr>
      <w:tr>
        <w:tc>
          <w:tcPr>
            <w:tcW w:type="dxa" w:w="3402"/>
            <w:shd w:val="clear" w:fill="FBF9F3"/>
          </w:tcPr>
          <w:p>
            <w:r>
              <w:rPr>
                <w:color w:val="524D42"/>
                <w:sz w:val="18"/>
              </w:rPr>
              <w:t>[bijv. keuze cloudplatform]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Vendor lock-in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[hoog / middel / laag — toelichting]</w:t>
            </w:r>
          </w:p>
        </w:tc>
      </w:tr>
      <w:tr>
        <w:tc>
          <w:tcPr>
            <w:tcW w:type="dxa" w:w="3402"/>
            <w:shd w:val="clear" w:fill="F3EFE6"/>
          </w:tcPr>
          <w:p>
            <w:r>
              <w:rPr>
                <w:color w:val="524D42"/>
                <w:sz w:val="18"/>
              </w:rPr>
              <w:t>[bijv. datamodelkeuze]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Datamodel</w:t>
            </w:r>
          </w:p>
        </w:tc>
        <w:tc>
          <w:tcPr>
            <w:tcW w:type="dxa" w:w="5102"/>
            <w:shd w:val="clear" w:fill="F3EFE6"/>
          </w:tcPr>
          <w:p>
            <w:r>
              <w:rPr>
                <w:color w:val="524D42"/>
                <w:sz w:val="18"/>
              </w:rPr>
              <w:t>[toelichting]</w:t>
            </w:r>
          </w:p>
        </w:tc>
      </w:tr>
      <w:tr>
        <w:tc>
          <w:tcPr>
            <w:tcW w:type="dxa" w:w="3402"/>
            <w:shd w:val="clear" w:fill="FBF9F3"/>
          </w:tcPr>
          <w:p>
            <w:r>
              <w:rPr>
                <w:color w:val="524D42"/>
                <w:sz w:val="18"/>
              </w:rPr>
              <w:t>[bijv. SSO-protocol]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Integratie-API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[toelichting]</w:t>
            </w:r>
          </w:p>
        </w:tc>
      </w:tr>
    </w:tbl>
    <w:p/>
    <w:p>
      <w:pPr>
        <w:pStyle w:val="Heading2"/>
      </w:pPr>
      <w:r>
        <w:rPr>
          <w:color w:val="0F6E63"/>
        </w:rPr>
        <w:t>8. Controle vóór publicatie</w:t>
      </w:r>
    </w:p>
    <w:p>
      <w:pPr>
        <w:pStyle w:val="ListBullet"/>
      </w:pPr>
      <w:r>
        <w:rPr>
          <w:sz w:val="18"/>
        </w:rPr>
        <w:t>☐  Waardeverklaring is begrijpelijk voor een niet-technisch publiek</w:t>
      </w:r>
    </w:p>
    <w:p>
      <w:pPr>
        <w:pStyle w:val="ListBullet"/>
      </w:pPr>
      <w:r>
        <w:rPr>
          <w:sz w:val="18"/>
        </w:rPr>
        <w:t>☐  Scope is expliciet: in én buiten scope benoemd</w:t>
      </w:r>
    </w:p>
    <w:p>
      <w:pPr>
        <w:pStyle w:val="ListBullet"/>
      </w:pPr>
      <w:r>
        <w:rPr>
          <w:sz w:val="18"/>
        </w:rPr>
        <w:t>☐  Elke driver heeft een falsifieerbaar succescriterium</w:t>
      </w:r>
    </w:p>
    <w:p>
      <w:pPr>
        <w:pStyle w:val="ListBullet"/>
      </w:pPr>
      <w:r>
        <w:rPr>
          <w:sz w:val="18"/>
        </w:rPr>
        <w:t>☐  Uitsluitingscriteria zijn benoemd — verkeerde vendor-selecties zijn onmogelijk</w:t>
      </w:r>
    </w:p>
    <w:p>
      <w:pPr>
        <w:pStyle w:val="ListBullet"/>
      </w:pPr>
      <w:r>
        <w:rPr>
          <w:sz w:val="18"/>
        </w:rPr>
        <w:t>☐  Architectuurrichting is per laag beschreven en herleidbaar naar drivers</w:t>
      </w:r>
    </w:p>
    <w:p>
      <w:pPr>
        <w:pStyle w:val="ListBullet"/>
      </w:pPr>
      <w:r>
        <w:rPr>
          <w:sz w:val="18"/>
        </w:rPr>
        <w:t>☐  Onomkeerbare beslissingen zijn gesignaleerd als aandachtspunten</w:t>
      </w:r>
    </w:p>
    <w:p>
      <w:pPr>
        <w:pStyle w:val="ListBullet"/>
      </w:pPr>
      <w:r>
        <w:rPr>
          <w:sz w:val="18"/>
        </w:rPr>
        <w:t>☐  Principes zijn overeengekomen met de sponsorende stakeholder</w:t>
      </w:r>
    </w:p>
    <w:p>
      <w:pPr>
        <w:pStyle w:val="ListBullet"/>
      </w:pPr>
      <w:r>
        <w:rPr>
          <w:sz w:val="18"/>
        </w:rPr>
        <w:t>☐  Sponsorende stakeholder heeft document formeel geaccordeerd</w:t>
      </w:r>
    </w:p>
    <w:p>
      <w:pPr>
        <w:pStyle w:val="ListBullet"/>
      </w:pPr>
      <w:r>
        <w:rPr>
          <w:sz w:val="18"/>
        </w:rPr>
        <w:t>☐  Document past op één A3 of twee A4-pagina's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