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6" w:space="4"/>
        </w:pBdr>
        <w:spacing w:after="4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Paved road</w:t>
      </w:r>
    </w:p>
    <w:p>
      <w:pPr>
        <w:spacing w:after="200" w:before="80"/>
      </w:pPr>
      <w:r>
        <w:rPr>
          <w:rFonts w:ascii="Calibri" w:cs="Calibri" w:eastAsia="Calibri" w:hAnsi="Calibri"/>
          <w:b/>
          <w:bCs/>
          <w:color w:val="1F3864"/>
          <w:sz w:val="15"/>
          <w:szCs w:val="15"/>
        </w:rPr>
        <w:t xml:space="preserve">ENTERPRISE ARCHITECTUUR  ·  </w:t>
      </w:r>
      <w:r>
        <w:rPr>
          <w:rFonts w:ascii="Calibri" w:cs="Calibri" w:eastAsia="Calibri" w:hAnsi="Calibri"/>
          <w:i/>
          <w:iCs/>
          <w:color w:val="767676"/>
          <w:sz w:val="18"/>
          <w:szCs w:val="18"/>
        </w:rPr>
        <w:t xml:space="preserve">De paved road is de vooraf goedgekeurde catalogus van producten, patronen en instellingen waarmee teams zelfstandig en zonder review kunnen bouwen, met een expliciete route voor wie ervan afwijkt.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Onderwerp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Opgesteld door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Eigenaar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Versie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Datum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Status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</w:tbl>
    <w:p>
      <w:pPr>
        <w:spacing w:after="200" w:before="12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Beschrijf niet meer dan nodig is voor het doel van dit stuk. Laat een sectie leeg of verwijder haar wanneer ze in dit geval niets toevoegt.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Herkomst en gebruik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Waar dit werkproduct in de werkwijze vandaan komt en wie het verderop gebruikt. Deze tabel komt uit de methode zelf en hoeft niet te worden ingevuld.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Ontstaat bij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Beschrijf de gebaande weg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Wordt bijgewerkt door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Wordt gelezen door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Bestuur de architectuurverandering, Bestuur levering, Identificeer architectuurbepalende eisen, Maak high-level design, Maak low-level design, Toets werking governance</w:t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Reikwijdte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Welke architectuurlagen en domeinen deze route dekt, en voor welke teams ze bedoeld is.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On-road en off-road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Wat het betekent om de route te volgen: on-road is gewoon gebruiken zonder review, off-road vraagt een architectuurbeslissing vóór gebruik.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Catalogus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Per item het goedgekeurde product, patroon of protocol, met de voorwaarden waaronder het geldt. De onderbouwing staat niet hier maar in de bijbehorende architectuurbeslissing.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rPr>
          <w:tblHeader/>
        </w:trPr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Item</w:t>
            </w:r>
          </w:p>
        </w:tc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Laag</w:t>
            </w:r>
          </w:p>
        </w:tc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Status</w:t>
            </w:r>
          </w:p>
        </w:tc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Voorwaarden en beperkingen</w:t>
            </w:r>
          </w:p>
        </w:tc>
        <w:tc>
          <w:tcPr>
            <w:tcW w:type="dxa" w:w="19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Onderhouden door</w:t>
            </w:r>
          </w:p>
        </w:tc>
      </w:tr>
      <w:tr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27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3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Statussen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Wat de gebruikte statussen betekenen en wat een team eraan heeft — bijvoorbeeld hoeveel ondersteuning erbij hoort en hoe stabiel een item is.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Ondersteuning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Wat een team krijgt bij het volgen van de route: voorbeelden, standaardinstellingen, sjablonen, aanspreekpunt.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Afwijken van de route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De off-road-procedure: wie meldt, wat er wordt vastgelegd, wie besluit, en hoe lang de afwijking geldt.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Wat hiermee aan toetsing vervalt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Welke reviews een team niet meer hoeft te doorlopen zolang het on-road blijft. Dit is de winst van de route; maak hem expliciet.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Onderhoud en levenscyclus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Wie de catalogus bijhoudt, hoe vaak, en hoe een item wordt toegevoegd, van status verandert of verdwijnt.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Gereed wanneer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Elk item heeft een status en een eigenaar.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Bij elk item staan de voorwaarden en beperkingen.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Een team kan zelf bepalen of het on-road of off-road zit.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 off-road-procedure is beschreven.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Vastgelegd is welke toetsing vervalt bij on-road gebruik.</w:t>
      </w:r>
    </w:p>
    <w:sectPr>
      <w:footerReference w:type="default" r:id="rId7"/>
      <w:pgSz w:w="11906" w:h="16838" w:orient="portrait"/>
      <w:pgMar w:top="1133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2" w:space="4"/>
      </w:pBdr>
      <w:jc w:val="right"/>
    </w:pPr>
    <w:r>
      <w:rPr>
        <w:rFonts w:ascii="Calibri" w:cs="Calibri" w:eastAsia="Calibri" w:hAnsi="Calibri"/>
        <w:color w:val="767676"/>
        <w:sz w:val="15"/>
        <w:szCs w:val="15"/>
      </w:rPr>
      <w:t xml:space="preserve">Paved road  ·  sjabloon  ·  </w:t>
    </w:r>
    <w:r>
      <w:rPr>
        <w:rFonts w:ascii="Calibri" w:cs="Calibri" w:eastAsia="Calibri" w:hAnsi="Calibri"/>
        <w:color w:val="76767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Architectuurvisie</dc:title>
  <dc:creator>Essence werkwijze</dc:creator>
  <cp:lastModifiedBy>Un-named</cp:lastModifiedBy>
  <cp:revision>1</cp:revision>
  <dcterms:created xsi:type="dcterms:W3CDTF">2026-08-14T21:17:56.420Z</dcterms:created>
  <dcterms:modified xsi:type="dcterms:W3CDTF">2026-08-14T21:17:56.420Z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