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864" w:sz="6" w:space="4"/>
        </w:pBdr>
        <w:spacing w:after="4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Reviewresultaten</w:t>
      </w:r>
    </w:p>
    <w:p>
      <w:pPr>
        <w:spacing w:after="200" w:before="80"/>
      </w:pPr>
      <w:r>
        <w:rPr>
          <w:rFonts w:ascii="Calibri" w:cs="Calibri" w:eastAsia="Calibri" w:hAnsi="Calibri"/>
          <w:b/>
          <w:bCs/>
          <w:color w:val="1F3864"/>
          <w:sz w:val="15"/>
          <w:szCs w:val="15"/>
        </w:rPr>
        <w:t xml:space="preserve">ARCHITECTUURSTURING  ·  </w:t>
      </w:r>
      <w:r>
        <w:rPr>
          <w:rFonts w:ascii="Calibri" w:cs="Calibri" w:eastAsia="Calibri" w:hAnsi="Calibri"/>
          <w:i/>
          <w:iCs/>
          <w:color w:val="767676"/>
          <w:sz w:val="18"/>
          <w:szCs w:val="18"/>
        </w:rPr>
        <w:t xml:space="preserve">Een reviewresultaat legt vast of een concreet geval voldoet aan de afgesproken drivers, principes en paved-road-normen — conform, met condities, of als toegestane uitzondering.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Getoetst object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Getoetst door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Beslisser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Versie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Datum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767676"/>
                <w:sz w:val="18"/>
                <w:szCs w:val="18"/>
              </w:rPr>
              <w:t xml:space="preserve">Status</w:t>
            </w:r>
          </w:p>
        </w:tc>
        <w:tc>
          <w:tcPr>
            <w:tcW w:type="dxa" w:w="703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404040"/>
                <w:sz w:val="19"/>
                <w:szCs w:val="19"/>
              </w:rPr>
              <w:t xml:space="preserve">[ … ]</w:t>
            </w:r>
          </w:p>
        </w:tc>
      </w:tr>
    </w:tbl>
    <w:p>
      <w:pPr>
        <w:spacing w:after="200" w:before="12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Beschrijf niet meer dan nodig is voor het doel van dit stuk. Laat een sectie leeg of verwijder haar wanneer ze in dit geval niets toevoegt.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Herkomst en gebruik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Waar dit werkproduct in de werkwijze vandaan komt en wie het verderop gebruikt. Deze tabel komt uit de methode zelf en hoeft niet te worden ingevuld.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Ontstaat bij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Bestuur levering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bijgewerkt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Wordt gelezen door</w:t>
            </w:r>
          </w:p>
        </w:tc>
        <w:tc>
          <w:tcPr>
            <w:tcW w:type="dxa" w:w="703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Toets werking governance</w:t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Wat is getoetst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Het systeem, product, de leverancier, interface of het besluit dat is beoordeeld. Benoem het zo dat er geen verwarring over kan bestaan welk geval dit betreft.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Waaraan is getoetst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Tegen welke paved-road-items, principes en drivers is gehouden. Alleen de criteria die daadwerkelijk zijn toegepast.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Bevindingen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Per bevinding waar ze op slaat, hoe zwaar ze weegt en wat ermee gebeurt. Bevindingen zonder eigenaar verdwijnen.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6"/>
        <w:gridCol w:w="1606"/>
        <w:gridCol w:w="1606"/>
        <w:gridCol w:w="1606"/>
        <w:gridCol w:w="1606"/>
        <w:gridCol w:w="1608"/>
      </w:tblGrid>
      <w:tr>
        <w:trPr>
          <w:tblHeader/>
        </w:trPr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Nr</w:t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Bevinding</w:t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Ernst</w:t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Actie</w:t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Eigenaar</w:t>
            </w:r>
          </w:p>
        </w:tc>
        <w:tc>
          <w:tcPr>
            <w:tcW w:type="dxa" w:w="16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shd w:fill="EFF2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3864"/>
                <w:sz w:val="19"/>
                <w:szCs w:val="19"/>
              </w:rPr>
              <w:t xml:space="preserve">Uiterlijk</w:t>
            </w:r>
          </w:p>
        </w:tc>
      </w:tr>
      <w:tr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6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  <w:tc>
          <w:tcPr>
            <w:tcW w:type="dxa" w:w="1608"/>
            <w:tcBorders>
              <w:top w:val="single" w:color="BFBFBF" w:sz="2"/>
              <w:left w:val="single" w:color="BFBFBF" w:sz="2"/>
              <w:bottom w:val="single" w:color="BFBFBF" w:sz="2"/>
              <w:right w:val="single" w:color="BFBFBF" w:sz="2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Oordeel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Conform, conform met condities, afgekeurd, of uitzondering toegestaan. Eén oordeel, met de onderbouwing erbij.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Condities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Als het oordeel condities kent: welke, en wat er gebeurt als er niet aan wordt voldaan. Laat leeg bij een onvoorwaardelijk oordeel.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Geldigheid en herbeoordeling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Tot wanneer dit oordeel geldt en op welke datum opnieuw moet worden beoordeeld.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Signaal voor de governance</w:t>
      </w:r>
    </w:p>
    <w:p>
      <w:pPr>
        <w:spacing w:after="60"/>
      </w:pPr>
      <w:r>
        <w:rPr>
          <w:rFonts w:ascii="Calibri" w:cs="Calibri" w:eastAsia="Calibri" w:hAnsi="Calibri"/>
          <w:i/>
          <w:iCs/>
          <w:color w:val="767676"/>
          <w:sz w:val="17"/>
          <w:szCs w:val="17"/>
        </w:rPr>
        <w:t xml:space="preserve">Wat dit geval zegt over de werkwijze zelf — een principe dat vaak wordt omzeild, een paved-road-item dat niet voldoet. Toets werking governance telt deze signalen op.</w:t>
      </w:r>
    </w:p>
    <w:p>
      <w:pPr>
        <w:spacing w:after="40"/>
      </w:pPr>
      <w:r>
        <w:rPr>
          <w:rFonts w:ascii="Calibri" w:cs="Calibri" w:eastAsia="Calibri" w:hAnsi="Calibri"/>
          <w:color w:val="404040"/>
          <w:sz w:val="20"/>
          <w:szCs w:val="20"/>
        </w:rPr>
        <w:t xml:space="preserve">[ … ]</w:t>
      </w:r>
    </w:p>
    <w:p>
      <w:pPr>
        <w:spacing w:after="20" w:before="260"/>
      </w:pPr>
      <w:r>
        <w:rPr>
          <w:rFonts w:ascii="Calibri" w:cs="Calibri" w:eastAsia="Calibri" w:hAnsi="Calibri"/>
          <w:b/>
          <w:bCs/>
          <w:color w:val="1F3864"/>
          <w:sz w:val="21"/>
          <w:szCs w:val="21"/>
        </w:rPr>
        <w:t xml:space="preserve">Gereed wanneer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Het getoetste object is eenduidig benoemd.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toegepaste criteria staan erbij.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Er is één oordeel, met onderbouwing.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Elke bevinding heeft een eigenaar en een termijn.</w:t>
      </w:r>
    </w:p>
    <w:p>
      <w:pPr>
        <w:pStyle w:val="ListParagraph"/>
        <w:numPr>
          <w:ilvl w:val="0"/>
          <w:numId w:val="2"/>
        </w:numPr>
        <w:spacing w:after="20"/>
      </w:pPr>
      <w:r>
        <w:rPr>
          <w:rFonts w:ascii="Calibri" w:cs="Calibri" w:eastAsia="Calibri" w:hAnsi="Calibri"/>
          <w:sz w:val="20"/>
          <w:szCs w:val="20"/>
        </w:rPr>
        <w:t xml:space="preserve">De herbeoordelingsdatum ligt vast.</w:t>
      </w:r>
    </w:p>
    <w:sectPr>
      <w:footerReference w:type="default" r:id="rId7"/>
      <w:pgSz w:w="11906" w:h="16838" w:orient="portrait"/>
      <w:pgMar w:top="1133" w:right="1133" w:bottom="1020" w:left="113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2" w:space="4"/>
      </w:pBdr>
      <w:jc w:val="right"/>
    </w:pPr>
    <w:r>
      <w:rPr>
        <w:rFonts w:ascii="Calibri" w:cs="Calibri" w:eastAsia="Calibri" w:hAnsi="Calibri"/>
        <w:color w:val="767676"/>
        <w:sz w:val="15"/>
        <w:szCs w:val="15"/>
      </w:rPr>
      <w:t xml:space="preserve">Reviewresultaten  ·  sjabloon  ·  </w:t>
    </w:r>
    <w:r>
      <w:rPr>
        <w:rFonts w:ascii="Calibri" w:cs="Calibri" w:eastAsia="Calibri" w:hAnsi="Calibri"/>
        <w:color w:val="767676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2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Architectuurvisie</dc:title>
  <dc:creator>Essence werkwijze</dc:creator>
  <cp:lastModifiedBy>Un-named</cp:lastModifiedBy>
  <cp:revision>1</cp:revision>
  <dcterms:created xsi:type="dcterms:W3CDTF">2026-08-14T21:17:56.420Z</dcterms:created>
  <dcterms:modified xsi:type="dcterms:W3CDTF">2026-08-14T21:17:56.420Z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