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16"/>
        </w:rPr>
        <w:t>MVA WORK PRODUCT · ARCHITECTURE DECISION RECORD</w:t>
      </w:r>
    </w:p>
    <w:p>
      <w:pPr>
        <w:pStyle w:val="Heading1"/>
      </w:pPr>
      <w:r>
        <w:rPr>
          <w:color w:val="1C1A16"/>
          <w:sz w:val="40"/>
        </w:rPr>
        <w:t>ADR-[NUMMER]: [Beslissingstitel]</w:t>
      </w:r>
    </w:p>
    <w:p>
      <w:r>
        <w:rPr>
          <w:i/>
          <w:color w:val="0F6E63"/>
          <w:sz w:val="22"/>
        </w:rPr>
        <w:t>een beredeneerde keuze</w:t>
      </w:r>
    </w:p>
    <w:p/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Eén ADR per significante, kostbaar-om-terug-te-draaien beslissing (Nygard 2011). De ADR is nooit de Paved Road zelf — hij stelt een Paved Road-element in, verantwoordt een off-road-afwijking, of herziet een bestaande standaard. Leg de redenering vast — niet alleen de uitkomst.</w:t>
      </w:r>
    </w:p>
    <w:p>
      <w:pPr>
        <w:pStyle w:val="Heading2"/>
      </w:pPr>
      <w:r>
        <w:rPr>
          <w:color w:val="0F6E63"/>
        </w:rPr>
        <w:t>Y-Statement (kernformulering)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Formuleer de beslissing in één zin vóórdat je de rest invult. Als dit niet lukt, is de beslissing nog niet scherp genoeg. Structuur: In de context van [use case], geconfronteerd met [zorg], hebben we gekozen voor [optie] om [kwaliteit] te bereiken, waarbij we [nadeel] accepteren.</w:t>
      </w:r>
    </w:p>
    <w:p>
      <w:pPr>
        <w:spacing w:after="120"/>
      </w:pPr>
      <w:r>
        <w:rPr>
          <w:i/>
          <w:color w:val="8A93A2"/>
          <w:sz w:val="20"/>
        </w:rPr>
        <w:t>[Y-Statement — één zin]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Veld</w:t>
            </w:r>
          </w:p>
        </w:tc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Waarde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ADR-nummer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ADR-[xx]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[JJJJ-MM-DD]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Proposed | Accepted | Rejected | Deprecated | Superseded by ADR-xx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Eigenaar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[Lead/Enterprise Architect]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Beslissers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[namen en rollen]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Onomkeerbaarheidscategorie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Vendor lock-in | Datamodel | Integratie-API | Licentiemodel | Overig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Paved Road-relatie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Stelt SR in | Herziet SR-[xx] | Off-road afwijking van SR-[xx] | Geen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Laatste verantwoord moment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[JJJJ-MM-DD of trigger]</w:t>
            </w:r>
          </w:p>
        </w:tc>
      </w:tr>
    </w:tbl>
    <w:p/>
    <w:p>
      <w:pPr>
        <w:pStyle w:val="Heading2"/>
      </w:pPr>
      <w:r>
        <w:rPr>
          <w:color w:val="0F6E63"/>
        </w:rPr>
        <w:t>1. Context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Beschrijf WHY, niet WHAT. Welke situatie maakt deze beslissing urgent? Welke krachten spelen mee, welke beperkingen gelden, waarom nu? Bevat ook: is dit een onomkeerbare beslissing en waarom?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Gerelateerde driver(s)</w:t>
            </w:r>
          </w:p>
        </w:tc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Gerelateerde ASR('s)</w:t>
            </w:r>
          </w:p>
        </w:tc>
        <w:tc>
          <w:tcPr>
            <w:tcW w:type="dxa" w:w="425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Gerelateerde ADR's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[D1, D3]</w:t>
            </w:r>
          </w:p>
        </w:tc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[ASR-01, ASR-02]</w:t>
            </w:r>
          </w:p>
        </w:tc>
        <w:tc>
          <w:tcPr>
            <w:tcW w:type="dxa" w:w="4252"/>
            <w:shd w:val="clear" w:fill="FBF9F3"/>
          </w:tcPr>
          <w:p>
            <w:r>
              <w:rPr>
                <w:color w:val="524D42"/>
                <w:sz w:val="18"/>
              </w:rPr>
              <w:t>[ADR-02 (afhankelijk van deze)]</w:t>
            </w:r>
          </w:p>
        </w:tc>
      </w:tr>
    </w:tbl>
    <w:p/>
    <w:p>
      <w:pPr>
        <w:spacing w:after="120"/>
      </w:pPr>
      <w:r>
        <w:rPr>
          <w:i/>
          <w:color w:val="8A93A2"/>
          <w:sz w:val="20"/>
        </w:rPr>
        <w:t>[Beschrijving van de context — 3–6 zinnen. Wat is er aan de hand? Welke keuze moet worden gemaakt en waarom nu? Is dit een onomkeerbare beslissing (vendor lock-in / datamodel / integratie-API)?]</w:t>
      </w:r>
    </w:p>
    <w:p>
      <w:pPr>
        <w:pStyle w:val="Heading2"/>
      </w:pPr>
      <w:r>
        <w:rPr>
          <w:color w:val="0F6E63"/>
        </w:rPr>
        <w:t>2. Overwogen opties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Minimaal drie opties, inclusief de nul-optie (niets doen). Normaliseer criteria naar hetzelfde abstractieniveau — vergelijk niet een technisch voordeel van A met een organisatorisch nadeel van B. Voeg voor COTS-beslissingen de glueware-kosten per optie toe.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Optie</w:t>
            </w:r>
          </w:p>
        </w:tc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Omschrijving</w:t>
            </w:r>
          </w:p>
        </w:tc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Voordelen</w:t>
            </w:r>
          </w:p>
        </w:tc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Nadelen / risico's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Glueware-kosten</w:t>
            </w:r>
          </w:p>
        </w:tc>
      </w:tr>
      <w:tr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A (gekozen)</w:t>
            </w:r>
          </w:p>
        </w:tc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[omschrijving]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524D42"/>
                <w:sz w:val="18"/>
              </w:rPr>
              <w:t>[voordelen]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524D42"/>
                <w:sz w:val="18"/>
              </w:rPr>
              <w:t>[risico's]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Laag / Middel / Hoog</w:t>
            </w:r>
          </w:p>
        </w:tc>
      </w:tr>
      <w:tr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B</w:t>
            </w:r>
          </w:p>
        </w:tc>
        <w:tc>
          <w:tcPr>
            <w:tcW w:type="dxa" w:w="2835"/>
            <w:shd w:val="clear" w:fill="F3EFE6"/>
          </w:tcPr>
          <w:p>
            <w:r>
              <w:rPr>
                <w:color w:val="524D42"/>
                <w:sz w:val="18"/>
              </w:rPr>
              <w:t>[alternatief]</w:t>
            </w:r>
          </w:p>
        </w:tc>
        <w:tc>
          <w:tcPr>
            <w:tcW w:type="dxa" w:w="2268"/>
            <w:shd w:val="clear" w:fill="F3EFE6"/>
          </w:tcPr>
          <w:p>
            <w:r>
              <w:rPr>
                <w:color w:val="524D42"/>
                <w:sz w:val="18"/>
              </w:rPr>
              <w:t>[voordelen]</w:t>
            </w:r>
          </w:p>
        </w:tc>
        <w:tc>
          <w:tcPr>
            <w:tcW w:type="dxa" w:w="2268"/>
            <w:shd w:val="clear" w:fill="F3EFE6"/>
          </w:tcPr>
          <w:p>
            <w:r>
              <w:rPr>
                <w:color w:val="524D42"/>
                <w:sz w:val="18"/>
              </w:rPr>
              <w:t>[nadelen]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Laag / Middel / Hoog</w:t>
            </w:r>
          </w:p>
        </w:tc>
      </w:tr>
      <w:tr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C (nul-optie)</w:t>
            </w:r>
          </w:p>
        </w:tc>
        <w:tc>
          <w:tcPr>
            <w:tcW w:type="dxa" w:w="2835"/>
            <w:shd w:val="clear" w:fill="FBF9F3"/>
          </w:tcPr>
          <w:p>
            <w:r>
              <w:rPr>
                <w:color w:val="1C1A16"/>
                <w:sz w:val="18"/>
              </w:rPr>
              <w:t>Status quo handhaven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Geen kosten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Driver niet geadresseerd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0F6E63"/>
        </w:rPr>
        <w:t>3. Beslissing</w:t>
      </w:r>
    </w:p>
    <w:p>
      <w:pPr>
        <w:spacing w:after="120"/>
      </w:pPr>
      <w:r>
        <w:rPr>
          <w:i/>
          <w:color w:val="8A93A2"/>
          <w:sz w:val="20"/>
        </w:rPr>
        <w:t>[Wij kiezen optie A omdat ... Geef de volledige redenering. Vermeld trade-offs die bewust worden geaccepteerd. Verwijzing naar de drivers en principes die de keuze sturen.]</w:t>
      </w:r>
    </w:p>
    <w:p>
      <w:pPr>
        <w:pStyle w:val="Heading2"/>
      </w:pPr>
      <w:r>
        <w:rPr>
          <w:color w:val="0F6E63"/>
        </w:rPr>
        <w:t>4. Consequenties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In COTS: benoem expliciet de integratieafhankelijkheden die deze beslissing creëert.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96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Positieve consequenties</w:t>
            </w:r>
          </w:p>
        </w:tc>
        <w:tc>
          <w:tcPr>
            <w:tcW w:type="dxa" w:w="496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 beheren consequenties</w:t>
            </w:r>
          </w:p>
        </w:tc>
      </w:tr>
      <w:tr>
        <w:tc>
          <w:tcPr>
            <w:tcW w:type="dxa" w:w="4961"/>
            <w:shd w:val="clear" w:fill="FBF9F3"/>
          </w:tcPr>
          <w:p>
            <w:r>
              <w:rPr>
                <w:color w:val="1C1A16"/>
                <w:sz w:val="18"/>
              </w:rPr>
              <w:t>• [voordeel / oplossing van probleem]</w:t>
              <w:br/>
              <w:t>• [voordeel 2]</w:t>
            </w:r>
          </w:p>
        </w:tc>
        <w:tc>
          <w:tcPr>
            <w:tcW w:type="dxa" w:w="4961"/>
            <w:shd w:val="clear" w:fill="FBF9F3"/>
          </w:tcPr>
          <w:p>
            <w:r>
              <w:rPr>
                <w:color w:val="1C1A16"/>
                <w:sz w:val="18"/>
              </w:rPr>
              <w:t>• [risico / nieuwe afhankelijkheid]</w:t>
              <w:br/>
              <w:t>• Integratieafhankelijkheid: [beschrijving]</w:t>
              <w:br/>
              <w:t>• Beheersmaatregel: [actie]</w:t>
            </w:r>
          </w:p>
        </w:tc>
      </w:tr>
    </w:tbl>
    <w:p/>
    <w:p>
      <w:pPr>
        <w:pStyle w:val="Heading2"/>
      </w:pPr>
      <w:r>
        <w:rPr>
          <w:color w:val="0F6E63"/>
        </w:rPr>
        <w:t>5. Falsifieerbaarheidscriterium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Hoe en wanneer weten we dat deze beslissing juist was? Formuleer als meetbaar criterium — het ASR dat door deze beslissing wordt vervuld. Dit is de basis voor validatie in Prove the Risky Parts.</w:t>
      </w:r>
    </w:p>
    <w:p>
      <w:pPr>
        <w:spacing w:after="120"/>
      </w:pPr>
      <w:r>
        <w:rPr>
          <w:i/>
          <w:color w:val="8A93A2"/>
          <w:sz w:val="20"/>
        </w:rPr>
        <w:t>[Wanneer [meting X] uitkomst Y toont, is deze beslissing gevalideerd. Uitvoerder: [naam]. Streefdatum: [datum].]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25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Falsifieerbaarheidscriterium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Uitvoerder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Streefdatum</w:t>
            </w:r>
          </w:p>
        </w:tc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252"/>
            <w:shd w:val="clear" w:fill="FBF9F3"/>
          </w:tcPr>
          <w:p>
            <w:r>
              <w:rPr>
                <w:color w:val="524D42"/>
                <w:sz w:val="18"/>
              </w:rPr>
              <w:t>[meetbaar criterium + drempelwaarde]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[naam]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[datum]</w:t>
            </w:r>
          </w:p>
        </w:tc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Open | Lopend | Afgerond</w:t>
            </w:r>
          </w:p>
        </w:tc>
      </w:tr>
    </w:tbl>
    <w:p/>
    <w:p>
      <w:pPr>
        <w:pStyle w:val="Heading2"/>
      </w:pPr>
      <w:r>
        <w:rPr>
          <w:color w:val="0F6E63"/>
        </w:rPr>
        <w:t>6. Verwijzingen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765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Verwijzing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Driver</w:t>
            </w:r>
          </w:p>
        </w:tc>
        <w:tc>
          <w:tcPr>
            <w:tcW w:type="dxa" w:w="7654"/>
            <w:shd w:val="clear" w:fill="FBF9F3"/>
          </w:tcPr>
          <w:p>
            <w:r>
              <w:rPr>
                <w:color w:val="1C1A16"/>
                <w:sz w:val="18"/>
              </w:rPr>
              <w:t>D1 · [naam]</w:t>
            </w:r>
          </w:p>
        </w:tc>
      </w:tr>
      <w:tr>
        <w:tc>
          <w:tcPr>
            <w:tcW w:type="dxa" w:w="2268"/>
            <w:shd w:val="clear" w:fill="F3EFE6"/>
          </w:tcPr>
          <w:p>
            <w:r>
              <w:rPr>
                <w:color w:val="1C1A16"/>
                <w:sz w:val="18"/>
              </w:rPr>
              <w:t>ASR</w:t>
            </w:r>
          </w:p>
        </w:tc>
        <w:tc>
          <w:tcPr>
            <w:tcW w:type="dxa" w:w="7654"/>
            <w:shd w:val="clear" w:fill="F3EFE6"/>
          </w:tcPr>
          <w:p>
            <w:r>
              <w:rPr>
                <w:color w:val="1C1A16"/>
                <w:sz w:val="18"/>
              </w:rPr>
              <w:t>ASR-01 · [naam kwaliteitsattribuut]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ADR</w:t>
            </w:r>
          </w:p>
        </w:tc>
        <w:tc>
          <w:tcPr>
            <w:tcW w:type="dxa" w:w="7654"/>
            <w:shd w:val="clear" w:fill="FBF9F3"/>
          </w:tcPr>
          <w:p>
            <w:r>
              <w:rPr>
                <w:color w:val="1C1A16"/>
                <w:sz w:val="18"/>
              </w:rPr>
              <w:t>ADR-02 (verwant) · ADR-05 (superseded door)</w:t>
            </w:r>
          </w:p>
        </w:tc>
      </w:tr>
      <w:tr>
        <w:tc>
          <w:tcPr>
            <w:tcW w:type="dxa" w:w="2268"/>
            <w:shd w:val="clear" w:fill="F3EFE6"/>
          </w:tcPr>
          <w:p>
            <w:r>
              <w:rPr>
                <w:color w:val="1C1A16"/>
                <w:sz w:val="18"/>
              </w:rPr>
              <w:t>Paved Road SR</w:t>
            </w:r>
          </w:p>
        </w:tc>
        <w:tc>
          <w:tcPr>
            <w:tcW w:type="dxa" w:w="7654"/>
            <w:shd w:val="clear" w:fill="F3EFE6"/>
          </w:tcPr>
          <w:p>
            <w:r>
              <w:rPr>
                <w:color w:val="1C1A16"/>
                <w:sz w:val="18"/>
              </w:rPr>
              <w:t>SR-[xx] — dit ADR stelt/herziet dit Standaard Record</w:t>
            </w:r>
          </w:p>
        </w:tc>
      </w:tr>
      <w:tr>
        <w:tc>
          <w:tcPr>
            <w:tcW w:type="dxa" w:w="2268"/>
            <w:shd w:val="clear" w:fill="FBF9F3"/>
          </w:tcPr>
          <w:p>
            <w:r>
              <w:rPr>
                <w:color w:val="1C1A16"/>
                <w:sz w:val="18"/>
              </w:rPr>
              <w:t>Work product</w:t>
            </w:r>
          </w:p>
        </w:tc>
        <w:tc>
          <w:tcPr>
            <w:tcW w:type="dxa" w:w="7654"/>
            <w:shd w:val="clear" w:fill="FBF9F3"/>
          </w:tcPr>
          <w:p>
            <w:r>
              <w:rPr>
                <w:color w:val="1C1A16"/>
                <w:sz w:val="18"/>
              </w:rPr>
              <w:t>Paved Road catalogus · Architecture Definition</w:t>
            </w:r>
          </w:p>
        </w:tc>
      </w:tr>
      <w:tr>
        <w:tc>
          <w:tcPr>
            <w:tcW w:type="dxa" w:w="2268"/>
            <w:shd w:val="clear" w:fill="F3EFE6"/>
          </w:tcPr>
          <w:p>
            <w:r>
              <w:rPr>
                <w:color w:val="1C1A16"/>
                <w:sz w:val="18"/>
              </w:rPr>
              <w:t>Extern</w:t>
            </w:r>
          </w:p>
        </w:tc>
        <w:tc>
          <w:tcPr>
            <w:tcW w:type="dxa" w:w="7654"/>
            <w:shd w:val="clear" w:fill="F3EFE6"/>
          </w:tcPr>
          <w:p>
            <w:r>
              <w:rPr>
                <w:color w:val="524D42"/>
                <w:sz w:val="18"/>
              </w:rPr>
              <w:t>[leverancierscontract / documentatie]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