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16"/>
        </w:rPr>
        <w:t>MVA WORK PRODUCT · ARCHIMATE APPLICATIE- &amp; TECHNOLOGIELAAG</w:t>
      </w:r>
    </w:p>
    <w:p>
      <w:pPr>
        <w:pStyle w:val="Heading1"/>
      </w:pPr>
      <w:r>
        <w:rPr>
          <w:color w:val="1C1A16"/>
          <w:sz w:val="40"/>
        </w:rPr>
        <w:t>Architecture Definition</w:t>
      </w:r>
    </w:p>
    <w:p>
      <w:r>
        <w:rPr>
          <w:i/>
          <w:color w:val="0F6E63"/>
          <w:sz w:val="22"/>
        </w:rPr>
        <w:t>het Minimum Viable Architecture (MVA)</w:t>
      </w:r>
    </w:p>
    <w:p/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Bevat uitsluitend de bouwstenen die een huidige beslissing vereist. Doorgestreepte of uitgestelde onderdelen worden expliciet benoemd. ArchiMate-lagen: Bedrijf → Applicatie (COTS) → Technologie (paved road platform).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Veld</w:t>
            </w:r>
          </w:p>
        </w:tc>
        <w:tc>
          <w:tcPr>
            <w:tcW w:type="dxa" w:w="4844"/>
            <w:shd w:val="clear" w:fill="0F6E63"/>
          </w:tcPr>
          <w:p>
            <w:r>
              <w:rPr>
                <w:b/>
                <w:color w:val="FFFFFF"/>
                <w:sz w:val="18"/>
              </w:rPr>
              <w:t>Waarde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Systeem / project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[naam]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Versie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0.1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Datum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[JJJJ-MM-DD]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Architect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[naam]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Skelet | Werkend | Stabiel</w:t>
            </w:r>
          </w:p>
        </w:tc>
      </w:tr>
      <w:tr>
        <w:tc>
          <w:tcPr>
            <w:tcW w:type="dxa" w:w="4844"/>
            <w:shd w:val="clear" w:fill="ECE6D8"/>
          </w:tcPr>
          <w:p>
            <w:r>
              <w:rPr>
                <w:b/>
                <w:sz w:val="18"/>
              </w:rPr>
              <w:t>Gebaseerd op ADR's</w:t>
            </w:r>
          </w:p>
        </w:tc>
        <w:tc>
          <w:tcPr>
            <w:tcW w:type="dxa" w:w="4844"/>
          </w:tcPr>
          <w:p>
            <w:r>
              <w:rPr>
                <w:color w:val="8A93A2"/>
                <w:sz w:val="18"/>
              </w:rPr>
              <w:t>[ADR-01, ADR-02, ...]</w:t>
            </w:r>
          </w:p>
        </w:tc>
      </w:tr>
    </w:tbl>
    <w:p/>
    <w:p>
      <w:pPr>
        <w:pStyle w:val="Heading2"/>
      </w:pPr>
      <w:r>
        <w:rPr>
          <w:color w:val="0F6E63"/>
        </w:rPr>
        <w:t>1. Bedrijfslaag — processen &amp; gebruikers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Welke bedrijfsprocessen en -rollen worden ondersteund? ArchiMate: Business Process, Business Function, Business Role.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Bedrijfsproces / -functie</w:t>
            </w:r>
          </w:p>
        </w:tc>
        <w:tc>
          <w:tcPr>
            <w:tcW w:type="dxa" w:w="5102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Beschrijving</w:t>
            </w:r>
          </w:p>
        </w:tc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Gebruikersrol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[Primair proces]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[beschrijving]</w:t>
            </w:r>
          </w:p>
        </w:tc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[rol]</w:t>
            </w:r>
          </w:p>
        </w:tc>
      </w:tr>
      <w:tr>
        <w:tc>
          <w:tcPr>
            <w:tcW w:type="dxa" w:w="2835"/>
            <w:shd w:val="clear" w:fill="F3EFE6"/>
          </w:tcPr>
          <w:p>
            <w:r>
              <w:rPr>
                <w:color w:val="524D42"/>
                <w:sz w:val="18"/>
              </w:rPr>
              <w:t>[Ondersteunend proces]</w:t>
            </w:r>
          </w:p>
        </w:tc>
        <w:tc>
          <w:tcPr>
            <w:tcW w:type="dxa" w:w="5102"/>
            <w:shd w:val="clear" w:fill="F3EFE6"/>
          </w:tcPr>
          <w:p>
            <w:r>
              <w:rPr>
                <w:color w:val="524D42"/>
                <w:sz w:val="18"/>
              </w:rPr>
              <w:t>[beschrijving]</w:t>
            </w:r>
          </w:p>
        </w:tc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[rol]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[Beheer]</w:t>
            </w:r>
          </w:p>
        </w:tc>
        <w:tc>
          <w:tcPr>
            <w:tcW w:type="dxa" w:w="5102"/>
            <w:shd w:val="clear" w:fill="FBF9F3"/>
          </w:tcPr>
          <w:p>
            <w:r>
              <w:rPr>
                <w:color w:val="524D42"/>
                <w:sz w:val="18"/>
              </w:rPr>
              <w:t>[beschrijving]</w:t>
            </w:r>
          </w:p>
        </w:tc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[admin-rol]</w:t>
            </w:r>
          </w:p>
        </w:tc>
      </w:tr>
    </w:tbl>
    <w:p/>
    <w:p>
      <w:pPr>
        <w:pStyle w:val="Heading2"/>
      </w:pPr>
      <w:r>
        <w:rPr>
          <w:color w:val="0F6E63"/>
        </w:rPr>
        <w:t>2. Applicatielaag — COTS-componenten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Eén rij per significant COTS-product. Markeer paved-road producten. ArchiMate: Application Component (COTS), Application Service, Application Interface.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Leverancier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Versie / Tier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Paved Road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Dekt ADR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[COTS Pakket A]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SaaS Enterprise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Ja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ADR-02</w:t>
            </w:r>
          </w:p>
        </w:tc>
      </w:tr>
      <w:tr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[COTS Pakket B]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SaaS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Ja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ADR-03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[Integratie-laag]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Managed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Ja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ADR-04</w:t>
            </w:r>
          </w:p>
        </w:tc>
      </w:tr>
      <w:tr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[Portaal / UI]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SaaS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Ja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ADR-03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[Component X]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524D42"/>
                <w:sz w:val="18"/>
              </w:rPr>
              <w:t>[tier]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Nee → ADR-0x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—</w:t>
            </w:r>
          </w:p>
        </w:tc>
      </w:tr>
    </w:tbl>
    <w:p/>
    <w:p>
      <w:pPr>
        <w:pStyle w:val="Heading2"/>
      </w:pPr>
      <w:r>
        <w:rPr>
          <w:color w:val="0F6E63"/>
        </w:rPr>
        <w:t>3. Integratielaag (glueware) — first-class element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De integratielaag is altijd first-class — nooit een implementatiedetail achteraf. Inadequate integratieplanning veroorzaakt 42% van alle COTS-implementatieproblemen. Documenteer per koppeling: eigenaar van de glueware, adaptatiekosten en betrouwbaarheidsimpact. ArchiMate: Application Interface + Triggering/Flow Relationship.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Van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Naar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Integratiepatroon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Protocol</w:t>
            </w:r>
          </w:p>
        </w:tc>
        <w:tc>
          <w:tcPr>
            <w:tcW w:type="dxa" w:w="1417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Glueware-eigenaar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Adaptatiekosten</w:t>
            </w:r>
          </w:p>
        </w:tc>
        <w:tc>
          <w:tcPr>
            <w:tcW w:type="dxa" w:w="113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ADR</w:t>
            </w:r>
          </w:p>
        </w:tc>
      </w:tr>
      <w:tr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[Pakket A]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[Integratie-laag]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Async event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CloudEvents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[team]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Laag</w:t>
            </w:r>
          </w:p>
        </w:tc>
        <w:tc>
          <w:tcPr>
            <w:tcW w:type="dxa" w:w="1134"/>
            <w:shd w:val="clear" w:fill="FBF9F3"/>
          </w:tcPr>
          <w:p>
            <w:r>
              <w:rPr>
                <w:color w:val="1C1A16"/>
                <w:sz w:val="18"/>
              </w:rPr>
              <w:t>ADR-04</w:t>
            </w:r>
          </w:p>
        </w:tc>
      </w:tr>
      <w:tr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[Pakket B]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[Integratie-laag]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REST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OpenAPI 3.x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[team]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Laag</w:t>
            </w:r>
          </w:p>
        </w:tc>
        <w:tc>
          <w:tcPr>
            <w:tcW w:type="dxa" w:w="1134"/>
            <w:shd w:val="clear" w:fill="F3EFE6"/>
          </w:tcPr>
          <w:p>
            <w:r>
              <w:rPr>
                <w:color w:val="1C1A16"/>
                <w:sz w:val="18"/>
              </w:rPr>
              <w:t>ADR-04</w:t>
            </w:r>
          </w:p>
        </w:tc>
      </w:tr>
      <w:tr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[Portaal]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[Pakket A]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API-aanroep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1C1A16"/>
                <w:sz w:val="18"/>
              </w:rPr>
              <w:t>REST/OIDC</w:t>
            </w:r>
          </w:p>
        </w:tc>
        <w:tc>
          <w:tcPr>
            <w:tcW w:type="dxa" w:w="1417"/>
            <w:shd w:val="clear" w:fill="FBF9F3"/>
          </w:tcPr>
          <w:p>
            <w:r>
              <w:rPr>
                <w:color w:val="524D42"/>
                <w:sz w:val="18"/>
              </w:rPr>
              <w:t>[team]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Middel</w:t>
            </w:r>
          </w:p>
        </w:tc>
        <w:tc>
          <w:tcPr>
            <w:tcW w:type="dxa" w:w="1134"/>
            <w:shd w:val="clear" w:fill="FBF9F3"/>
          </w:tcPr>
          <w:p>
            <w:r>
              <w:rPr>
                <w:color w:val="1C1A16"/>
                <w:sz w:val="18"/>
              </w:rPr>
              <w:t>ADR-03</w:t>
            </w:r>
          </w:p>
        </w:tc>
      </w:tr>
      <w:tr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[Legacy X]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[Integratie-laag]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SOAP/XML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1C1A16"/>
                <w:sz w:val="18"/>
              </w:rPr>
              <w:t>SOAP 1.2</w:t>
            </w:r>
          </w:p>
        </w:tc>
        <w:tc>
          <w:tcPr>
            <w:tcW w:type="dxa" w:w="1417"/>
            <w:shd w:val="clear" w:fill="F3EFE6"/>
          </w:tcPr>
          <w:p>
            <w:r>
              <w:rPr>
                <w:color w:val="524D42"/>
                <w:sz w:val="18"/>
              </w:rPr>
              <w:t>[team]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Hoog — tijdelijk, ADR vereist</w:t>
            </w:r>
          </w:p>
        </w:tc>
        <w:tc>
          <w:tcPr>
            <w:tcW w:type="dxa" w:w="1134"/>
            <w:shd w:val="clear" w:fill="F3EFE6"/>
          </w:tcPr>
          <w:p>
            <w:r>
              <w:rPr>
                <w:color w:val="1C1A16"/>
                <w:sz w:val="18"/>
              </w:rPr>
              <w:t>ADR-0x</w:t>
            </w:r>
          </w:p>
        </w:tc>
      </w:tr>
    </w:tbl>
    <w:p/>
    <w:p>
      <w:pPr>
        <w:pStyle w:val="Heading2"/>
      </w:pPr>
      <w:r>
        <w:rPr>
          <w:color w:val="0F6E63"/>
        </w:rPr>
        <w:t>4. Technologielaag — paved road platform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Infrastructuur en platforms waarop de applicatiecomponenten draaien. ArchiMate: Technology Node, System Software, Technology Service.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255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Platform / node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Categorie</w:t>
            </w:r>
          </w:p>
        </w:tc>
        <w:tc>
          <w:tcPr>
            <w:tcW w:type="dxa" w:w="1701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Leverancier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Regio / Zone</w:t>
            </w:r>
          </w:p>
        </w:tc>
        <w:tc>
          <w:tcPr>
            <w:tcW w:type="dxa" w:w="1984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Standaard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[Cloud Platform]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Cloud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EU / NL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Paved Road</w:t>
            </w:r>
          </w:p>
        </w:tc>
      </w:tr>
      <w:tr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[Identity Provider]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Identiteit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Tenant: [x]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SSO verplicht</w:t>
            </w:r>
          </w:p>
        </w:tc>
      </w:tr>
      <w:tr>
        <w:tc>
          <w:tcPr>
            <w:tcW w:type="dxa" w:w="2551"/>
            <w:shd w:val="clear" w:fill="FBF9F3"/>
          </w:tcPr>
          <w:p>
            <w:r>
              <w:rPr>
                <w:color w:val="524D42"/>
                <w:sz w:val="18"/>
              </w:rPr>
              <w:t>[CI/CD Platform]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1C1A16"/>
                <w:sz w:val="18"/>
              </w:rPr>
              <w:t>Delivery</w:t>
            </w:r>
          </w:p>
        </w:tc>
        <w:tc>
          <w:tcPr>
            <w:tcW w:type="dxa" w:w="1701"/>
            <w:shd w:val="clear" w:fill="FBF9F3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SaaS</w:t>
            </w:r>
          </w:p>
        </w:tc>
        <w:tc>
          <w:tcPr>
            <w:tcW w:type="dxa" w:w="1984"/>
            <w:shd w:val="clear" w:fill="FBF9F3"/>
          </w:tcPr>
          <w:p>
            <w:r>
              <w:rPr>
                <w:color w:val="1C1A16"/>
                <w:sz w:val="18"/>
              </w:rPr>
              <w:t>GitOps-patroon</w:t>
            </w:r>
          </w:p>
        </w:tc>
      </w:tr>
      <w:tr>
        <w:tc>
          <w:tcPr>
            <w:tcW w:type="dxa" w:w="2551"/>
            <w:shd w:val="clear" w:fill="F3EFE6"/>
          </w:tcPr>
          <w:p>
            <w:r>
              <w:rPr>
                <w:color w:val="524D42"/>
                <w:sz w:val="18"/>
              </w:rPr>
              <w:t>[Monitoring]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1C1A16"/>
                <w:sz w:val="18"/>
              </w:rPr>
              <w:t>Observability</w:t>
            </w:r>
          </w:p>
        </w:tc>
        <w:tc>
          <w:tcPr>
            <w:tcW w:type="dxa" w:w="1701"/>
            <w:shd w:val="clear" w:fill="F3EFE6"/>
          </w:tcPr>
          <w:p>
            <w:r>
              <w:rPr>
                <w:color w:val="524D42"/>
                <w:sz w:val="18"/>
              </w:rPr>
              <w:t>[leverancier]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SaaS</w:t>
            </w:r>
          </w:p>
        </w:tc>
        <w:tc>
          <w:tcPr>
            <w:tcW w:type="dxa" w:w="1984"/>
            <w:shd w:val="clear" w:fill="F3EFE6"/>
          </w:tcPr>
          <w:p>
            <w:r>
              <w:rPr>
                <w:color w:val="1C1A16"/>
                <w:sz w:val="18"/>
              </w:rPr>
              <w:t>Paved Road</w:t>
            </w:r>
          </w:p>
        </w:tc>
      </w:tr>
    </w:tbl>
    <w:p/>
    <w:p>
      <w:pPr>
        <w:pStyle w:val="Heading2"/>
      </w:pPr>
      <w:r>
        <w:rPr>
          <w:color w:val="0F6E63"/>
        </w:rPr>
        <w:t>5. Bewust uitgesteld (buiten scope MVA)</w:t>
      </w:r>
    </w:p>
    <w:p>
      <w:pPr>
        <w:shd w:val="clear" w:color="auto" w:fill="E6F4EC"/>
        <w:spacing w:after="160"/>
        <w:ind w:left="227"/>
      </w:pPr>
      <w:r>
        <w:rPr>
          <w:i/>
          <w:color w:val="524D42"/>
          <w:sz w:val="18"/>
        </w:rPr>
        <w:t>Explicitering van wat NIET in dit document zit en waarom. Dit maakt het minimale karakter van de MVA zichtbaar.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Onderdeel</w:t>
            </w:r>
          </w:p>
        </w:tc>
        <w:tc>
          <w:tcPr>
            <w:tcW w:type="dxa" w:w="45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Reden van uitstel</w:t>
            </w:r>
          </w:p>
        </w:tc>
        <w:tc>
          <w:tcPr>
            <w:tcW w:type="dxa" w:w="2835"/>
            <w:shd w:val="clear" w:fill="0F6E63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Moment van heroverweging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Uitputtend componentmodel</w:t>
            </w:r>
          </w:p>
        </w:tc>
        <w:tc>
          <w:tcPr>
            <w:tcW w:type="dxa" w:w="4535"/>
            <w:shd w:val="clear" w:fill="FBF9F3"/>
          </w:tcPr>
          <w:p>
            <w:r>
              <w:rPr>
                <w:color w:val="1C1A16"/>
                <w:sz w:val="18"/>
              </w:rPr>
              <w:t>Niet nodig voor huidige beslissingen</w:t>
            </w:r>
          </w:p>
        </w:tc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Na ADR-05</w:t>
            </w:r>
          </w:p>
        </w:tc>
      </w:tr>
      <w:tr>
        <w:tc>
          <w:tcPr>
            <w:tcW w:type="dxa" w:w="2835"/>
            <w:shd w:val="clear" w:fill="F3EFE6"/>
          </w:tcPr>
          <w:p>
            <w:r>
              <w:rPr>
                <w:color w:val="1C1A16"/>
                <w:sz w:val="18"/>
              </w:rPr>
              <w:t>Volledig datamodel</w:t>
            </w:r>
          </w:p>
        </w:tc>
        <w:tc>
          <w:tcPr>
            <w:tcW w:type="dxa" w:w="4535"/>
            <w:shd w:val="clear" w:fill="F3EFE6"/>
          </w:tcPr>
          <w:p>
            <w:r>
              <w:rPr>
                <w:color w:val="1C1A16"/>
                <w:sz w:val="18"/>
              </w:rPr>
              <w:t>Wacht op productkeuze (ADR-02)</w:t>
            </w:r>
          </w:p>
        </w:tc>
        <w:tc>
          <w:tcPr>
            <w:tcW w:type="dxa" w:w="2835"/>
            <w:shd w:val="clear" w:fill="F3EFE6"/>
          </w:tcPr>
          <w:p>
            <w:r>
              <w:rPr>
                <w:color w:val="1C1A16"/>
                <w:sz w:val="18"/>
              </w:rPr>
              <w:t>H2</w:t>
            </w:r>
          </w:p>
        </w:tc>
      </w:tr>
      <w:tr>
        <w:tc>
          <w:tcPr>
            <w:tcW w:type="dxa" w:w="2835"/>
            <w:shd w:val="clear" w:fill="FBF9F3"/>
          </w:tcPr>
          <w:p>
            <w:r>
              <w:rPr>
                <w:color w:val="1C1A16"/>
                <w:sz w:val="18"/>
              </w:rPr>
              <w:t>Detailarchitectuur [X]</w:t>
            </w:r>
          </w:p>
        </w:tc>
        <w:tc>
          <w:tcPr>
            <w:tcW w:type="dxa" w:w="4535"/>
            <w:shd w:val="clear" w:fill="FBF9F3"/>
          </w:tcPr>
          <w:p>
            <w:r>
              <w:rPr>
                <w:color w:val="524D42"/>
                <w:sz w:val="18"/>
              </w:rPr>
              <w:t>[reden]</w:t>
            </w:r>
          </w:p>
        </w:tc>
        <w:tc>
          <w:tcPr>
            <w:tcW w:type="dxa" w:w="2835"/>
            <w:shd w:val="clear" w:fill="FBF9F3"/>
          </w:tcPr>
          <w:p>
            <w:r>
              <w:rPr>
                <w:color w:val="524D42"/>
                <w:sz w:val="18"/>
              </w:rPr>
              <w:t>[trigger]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