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Paved road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15"/>
          <w:szCs w:val="15"/>
        </w:rPr>
        <w:t xml:space="preserve">ENTERPRISE ARCHITECTUUR  ·  </w:t>
      </w: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De paved road is de vooraf goedgekeurde catalogus van producten, patronen en instellingen waarmee teams zelfstandig en zonder review kunnen bouwen, met een expliciete route voor wie ervan afwijkt.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Onderwerp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Opgesteld door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Eigenaar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Versie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Datum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Versiehistorie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Alleen wijzigingen die de inhoud raken. Een nieuwe versie vervangt de vorige zichtbaar; wie de vorige versie kent, moet hieraan kunnen zien wat er sindsdien is veranderd.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6138"/>
        <w:gridCol w:w="14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Versie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Datum</w:t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Wijziging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Door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Beschrijf niet meer dan nodig is voor het doel van dit stuk. Laat een sectie leeg of verwijder haar wanneer ze in dit geval niets toevoegt.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Herkomst en gebruik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 dit werkproduct in de werkwijze vandaan komt en wie het verderop gebruikt. Deze tabel komt uit de methode zelf en hoeft niet te worden ingevuld.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Ontstaat bij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Beschrijf de gebaande weg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bijgewerkt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gelezen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Bestuur de architectuurverandering, Bestuur levering, Identificeer architectuurbepalende eisen, Maak high-level design, Maak low-level design, Toets werking governance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Reikwijdte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architectuurlagen en domeinen deze route dekt, en voor welke teams ze bedoeld is.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On-road en off-road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het betekent om de route te volgen: on-road is gewoon gebruiken zonder review, off-road vraagt een architectuurbeslissing vóór gebruik.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Catalogus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Per item het goedgekeurde product, patroon of protocol, met de voorwaarden waaronder het geldt. De onderbouwing staat niet hier maar in de bijbehorende architectuurbeslissing.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Laag</w:t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Voorwaarden en beperkingen</w:t>
            </w:r>
          </w:p>
        </w:tc>
        <w:tc>
          <w:tcPr>
            <w:tcW w:type="dxa" w:w="19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Onderhouden door</w:t>
            </w:r>
          </w:p>
        </w:tc>
      </w:tr>
      <w:tr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Statussen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de gebruikte statussen betekenen en wat een team eraan heeft — bijvoorbeeld hoeveel ondersteuning erbij hoort en hoe stabiel een item is.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Standaardinrichting per klasse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Per classificatie de inrichting die standaard geldt, zodat een team niet per geval opnieuw hoeft uit te zoeken welke maatregelen nodig zijn. De classificatie zelf komt van buiten deze methode; hier staat alleen wat ze binnen de gebaande weg betekent.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400"/>
        <w:gridCol w:w="2238"/>
      </w:tblGrid>
      <w:tr>
        <w:trPr>
          <w:tblHeader/>
        </w:trP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Klasse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Wat erin valt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Verplichte inrichting</w:t>
            </w:r>
          </w:p>
        </w:tc>
        <w:tc>
          <w:tcPr>
            <w:tcW w:type="dxa" w:w="22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Waar geregeld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Ondersteuning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een team krijgt bij het volgen van de route: voorbeelden, standaardinstellingen, sjablonen, aanspreekpunt.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Afwijken van de route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De off-road-procedure: wie meldt, wat er wordt vastgelegd, wie besluit, en hoe lang de afwijking geldt.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Wat hiermee aan toetsing vervalt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reviews een team niet meer hoeft te doorlopen zolang het on-road blijft. Dit is de winst van de route; maak hem expliciet.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Maak expliciet welke normen of eisen al door de gebaande weg zijn afgedekt. Wie on-road bouwt, hoeft die niet opnieuw aan te tonen — wat in de laatste kolom staat, blijft wel zijn eigen werk.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Norm of eis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Afgedekt door</w:t>
            </w:r>
          </w:p>
        </w:tc>
        <w:tc>
          <w:tcPr>
            <w:tcW w:type="dxa" w:w="3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Wat je zelf nog aantoont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Onderhoud en levenscyclus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Wie de catalogus bijhoudt, hoe vaak, en hoe een item wordt toegevoegd, van status verandert of verdwijnt.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Gereed wanneer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Elk item heeft een status en een eigenaar.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Bij elk item staan de voorwaarden en beperkingen.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Een team kan zelf bepalen of het on-road of off-road zit.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off-road-procedure is beschreven.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Vastgelegd is welke toetsing vervalt bij on-road gebruik.</w:t>
      </w:r>
    </w:p>
    <w:sectPr>
      <w:footerReference w:type="default" r:id="rId7"/>
      <w:pgSz w:w="11906" w:h="16838" w:orient="portrait"/>
      <w:pgMar w:top="1133" w:right="1133" w:bottom="1020" w:left="1133" w:header="708" w:footer="708" w:gutter="0"/>
      <w:pgNumType/>
      <w:docGrid w:linePitch="360"/>
    </w:sectPr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Per klasse is duidelijk welke inrichting standaard geldt.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Van elke afgedekte norm is bekend wat er tóch nog moet worden aangetoond.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right"/>
    </w:pPr>
    <w:r>
      <w:rPr>
        <w:rFonts w:ascii="Calibri" w:cs="Calibri" w:eastAsia="Calibri" w:hAnsi="Calibri"/>
        <w:color w:val="767676"/>
        <w:sz w:val="15"/>
        <w:szCs w:val="15"/>
      </w:rPr>
      <w:t xml:space="preserve">Paved road  ·  sjabloon  ·  </w:t>
    </w:r>
    <w:r>
      <w:rPr>
        <w:rFonts w:ascii="Calibri" w:cs="Calibri" w:eastAsia="Calibri" w:hAnsi="Calibri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Architectuurvisie</dc:title>
  <dc:creator>Essence werkwijze</dc:creator>
  <cp:lastModifiedBy>Un-named</cp:lastModifiedBy>
  <cp:revision>1</cp:revision>
  <dcterms:created xsi:type="dcterms:W3CDTF">2026-08-14T21:17:56.420Z</dcterms:created>
  <dcterms:modified xsi:type="dcterms:W3CDTF">2026-08-14T21:17:56.420Z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