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Danh sách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hiểu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danh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mà các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tử phải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cùng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dữ liệu,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cấp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liên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trong bộ nhớ.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Vd: a[10] danh sách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10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tử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Danh sách liên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danh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mà các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cấp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rạc nhau,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trong bộ nhớ. Mỗi phần tử trong danh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ồm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2 thành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ần: </w:t>
        <w:br/>
        <w:tab/>
        <w:t xml:space="preserve">+ Phần 1: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thông tin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ứa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cần quản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ý.</w:t>
        <w:br/>
        <w:tab/>
        <w:t xml:space="preserve">+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2: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liên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ết, chứa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ịa chỉ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 của 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kế tiếp.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 và Queue là DSHC vì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hạn chế bởi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truy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thành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trong 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Vd: danh sách mua hàng 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trc thì bán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 Queue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chén vào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nào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sau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ra trc  Stack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LIFO (Last In First Out):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tử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 vào 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tử lấy 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ên.</w:t>
        <w:br/>
        <w:t xml:space="preserve">FIFO (First In First Out):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tử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 vào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tử lấy 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Vd: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43" w:dyaOrig="5500">
          <v:rect xmlns:o="urn:schemas-microsoft-com:office:office" xmlns:v="urn:schemas-microsoft-com:vml" id="rectole0000000000" style="width:362.150000pt;height:27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6: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Danh sách liên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ứng dụng sử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các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dữ liệu với dung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lớn.</w:t>
        <w:br/>
        <w:tab/>
        <w:t xml:space="preserve">+Kh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bộ nhớ cho sự cấp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liên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cách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 chức kết hợp dữ liệu với những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linh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về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ớc, cấu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trong 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ốt thời gian sống.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Vd: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hợp danh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liên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kép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danh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 thị.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