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Thuật toán phân bổ tài sản An Hưu</w:t>
      </w:r>
    </w:p>
    <w:p>
      <w:pPr>
        <w:pStyle w:val="Subtitle"/>
      </w:pPr>
      <w:r>
        <w:rPr>
          <w:b w:val="0"/>
        </w:rPr>
        <w:t>Đặc tả mô hình tư vấn nghỉ hưu và dữ liệu thị trường</w:t>
      </w:r>
    </w:p>
    <w:p>
      <w:r>
        <w:rPr>
          <w:b w:val="0"/>
        </w:rPr>
        <w:t>An Hưu cần chọn danh mục giúp từng hộ gia đình tài trợ các mục tiêu đúng thời điểm, sau phí và trong khả năng chịu tổn thất. Tuổi trên 35 là một thông tin đầu vào; thu nhập, nghĩa vụ, tài sản sẵn có và thời hạn sử dụng tiền quyết định phần lớn cách phân bổ.</w:t>
      </w:r>
    </w:p>
    <w:p>
      <w:r>
        <w:rPr>
          <w:b/>
        </w:rPr>
        <w:t>Đề xuất dùng phân bổ theo mục tiêu và nghĩa vụ chi tiêu làm lõi, tối ưu danh mục có ràng buộc để tạo phương án, rồi mô phỏng nhiều đường đi để chọn phương án. Dữ liệu mới cập nhật định giá và cảnh báo; thay đổi danh mục chiến lược được xét theo chính sách đã định.</w:t>
      </w:r>
    </w:p>
    <w:p>
      <w:pPr>
        <w:pStyle w:val="Heading2"/>
      </w:pPr>
      <w:r>
        <w:t>Mô hình dịch vụ</w:t>
      </w:r>
    </w:p>
    <w:p>
      <w:r>
        <w:rPr>
          <w:b w:val="0"/>
        </w:rPr>
        <w:t>Khách hàng giữ tài sản tại ngân hàng, công ty chứng khoán hoặc nơi lưu giữ của họ. An Hưu cung cấp lập kế hoạch, theo dõi và đề xuất trong phạm vi dịch vụ được phép. Khách hàng có thể trả phí dựa trên giá trị tài sản thuộc phạm vi tư vấn; không dùng hoa hồng giới thiệu sản phẩm làm đầu vào xếp hạng.</w:t>
      </w:r>
    </w:p>
    <w:p>
      <w:pPr>
        <w:pStyle w:val="Heading2"/>
      </w:pPr>
      <w:r>
        <w:t>Ranh giới pháp lý cần xác nhận</w:t>
      </w:r>
    </w:p>
    <w:p>
      <w:r>
        <w:rPr>
          <w:b w:val="0"/>
        </w:rPr>
        <w:t>Luật Chứng khoán định nghĩa tư vấn đầu tư chứng khoán theo nội dung phân tích và khuyến nghị mua, bán, nắm giữ; quản lý danh mục gắn với quản lý theo ủy thác. Vì vậy, không giữ tiền hoặc chỉ dùng thuật toán chưa đủ để kết luận dịch vụ được miễn yêu cầu cấp phép. Điều 72 và 73 quy định nghiệp vụ của công ty chứng khoán và công ty quản lý quỹ.</w:t>
      </w:r>
    </w:p>
    <w:p>
      <w:r>
        <w:rPr>
          <w:b w:val="0"/>
        </w:rPr>
        <w:t>Đã đối chiếu nguồn công bố Văn bản hợp nhất 102/VBHN-VPQH ngày 22/04/2026 và các nội dung liên quan. Trước khi thương mại hóa, cần xác định phạm vi từng chức năng và hợp đồng với người có chuyên môn pháp lý chứng khoán. Khuyến nghị chứng khoán cá nhân hóa hoặc nhận quyền quyết định đầu tư có thể cần triển khai qua đơn vị được cấp phép phù hợp. Đây là điều kiện thiết kế dịch vụ; không chỉ là cách đặt tên hoặc cách thu phí.</w:t>
      </w:r>
    </w:p>
    <w:p>
      <w:pPr>
        <w:pStyle w:val="Heading2"/>
      </w:pPr>
      <w:r>
        <w:t>Cách đo hiệu quả</w:t>
      </w:r>
    </w:p>
    <w:p>
      <w:r>
        <w:rPr>
          <w:b w:val="0"/>
        </w:rPr>
        <w:t>Đo mức tài trợ chi thiết yếu, khả năng đạt mục tiêu theo thời hạn, phần thiếu trong tình huống xấu, chi phí tổng và mức độ thực hiện kế hoạch. So sánh danh mục với một phương án đơn giản có cùng ràng buộc, cùng phí và cùng thời điểm dữ liệu. Mọi tỷ lệ thành công là kết quả của mô hình và các giả định được công khai.</w:t>
      </w:r>
    </w:p>
    <w:p>
      <w:r>
        <w:rPr>
          <w:b w:val="0"/>
        </w:rPr>
        <w:t>Các tỷ trọng, cú sốc, mức phí và lãi suất có số cụ thể trong tài liệu là ví dụ thiết kế. Chưa có nguồn dữ liệu lịch sử được cấp quyền tích hợp hoặc mô hình dự báo đã hiệu chỉnh để xem những số này là khuyến nghị thực tế.</w:t>
      </w:r>
    </w:p>
    <w:p>
      <w:r>
        <w:br w:type="page"/>
      </w:r>
    </w:p>
    <w:p>
      <w:pPr>
        <w:pStyle w:val="Heading1"/>
      </w:pPr>
      <w:r>
        <w:t>Quy trình tính toán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4649"/>
        <w:gridCol w:w="3515"/>
      </w:tblGrid>
      <w:tr>
        <w:trPr>
          <w:cantSplit/>
          <w:tblHeader/>
        </w:trPr>
        <w:tc>
          <w:tcPr>
            <w:tcW w:type="dxa" w:w="1474"/>
            <w:vAlign w:val="center"/>
            <w:shd w:fill="334155"/>
            <w:tcMar>
              <w:top w:w="80" w:type="dxa"/>
              <w:bottom w:w="80" w:type="dxa"/>
              <w:left w:w="95" w:type="dxa"/>
              <w:right w:w="95" w:type="dxa"/>
            </w:tcMar>
          </w:tcPr>
          <w:p>
            <w:pPr>
              <w:spacing w:after="0" w:line="257" w:lineRule="auto"/>
            </w:pPr>
            <w:r>
              <w:rPr>
                <w:b/>
                <w:color w:val="FFFFFF"/>
                <w:sz w:val="18"/>
              </w:rPr>
              <w:t>Bước</w:t>
            </w:r>
          </w:p>
        </w:tc>
        <w:tc>
          <w:tcPr>
            <w:tcW w:type="dxa" w:w="4649"/>
            <w:vAlign w:val="center"/>
            <w:shd w:fill="334155"/>
            <w:tcMar>
              <w:top w:w="80" w:type="dxa"/>
              <w:bottom w:w="80" w:type="dxa"/>
              <w:left w:w="95" w:type="dxa"/>
              <w:right w:w="95" w:type="dxa"/>
            </w:tcMar>
          </w:tcPr>
          <w:p>
            <w:pPr>
              <w:spacing w:after="0" w:line="257" w:lineRule="auto"/>
            </w:pPr>
            <w:r>
              <w:rPr>
                <w:b/>
                <w:color w:val="FFFFFF"/>
                <w:sz w:val="18"/>
              </w:rPr>
              <w:t>Xử lý</w:t>
            </w:r>
          </w:p>
        </w:tc>
        <w:tc>
          <w:tcPr>
            <w:tcW w:type="dxa" w:w="3515"/>
            <w:vAlign w:val="center"/>
            <w:shd w:fill="334155"/>
            <w:tcMar>
              <w:top w:w="80" w:type="dxa"/>
              <w:bottom w:w="80" w:type="dxa"/>
              <w:left w:w="95" w:type="dxa"/>
              <w:right w:w="95" w:type="dxa"/>
            </w:tcMar>
          </w:tcPr>
          <w:p>
            <w:pPr>
              <w:spacing w:after="0" w:line="257" w:lineRule="auto"/>
            </w:pPr>
            <w:r>
              <w:rPr>
                <w:b/>
                <w:color w:val="FFFFFF"/>
                <w:sz w:val="18"/>
              </w:rPr>
              <w:t>Đầu ra</w:t>
            </w:r>
          </w:p>
        </w:tc>
      </w:tr>
      <w:tr>
        <w:trPr>
          <w:cantSplit/>
        </w:trPr>
        <w:tc>
          <w:tcPr>
            <w:tcW w:type="dxa" w:w="1474"/>
            <w:vAlign w:val="center"/>
            <w:shd w:fill="FFFFFF"/>
            <w:tcMar>
              <w:top w:w="80" w:type="dxa"/>
              <w:bottom w:w="80" w:type="dxa"/>
              <w:left w:w="95" w:type="dxa"/>
              <w:right w:w="95" w:type="dxa"/>
            </w:tcMar>
          </w:tcPr>
          <w:p>
            <w:pPr>
              <w:spacing w:after="0" w:line="257" w:lineRule="auto"/>
            </w:pPr>
            <w:r>
              <w:rPr>
                <w:sz w:val="18"/>
              </w:rPr>
              <w:t>1  Hoàn cảnh</w:t>
            </w:r>
          </w:p>
        </w:tc>
        <w:tc>
          <w:tcPr>
            <w:tcW w:type="dxa" w:w="4649"/>
            <w:vAlign w:val="center"/>
            <w:shd w:fill="FFFFFF"/>
            <w:tcMar>
              <w:top w:w="80" w:type="dxa"/>
              <w:bottom w:w="80" w:type="dxa"/>
              <w:left w:w="95" w:type="dxa"/>
              <w:right w:w="95" w:type="dxa"/>
            </w:tcMar>
          </w:tcPr>
          <w:p>
            <w:pPr>
              <w:spacing w:after="0" w:line="257" w:lineRule="auto"/>
            </w:pPr>
            <w:r>
              <w:rPr>
                <w:sz w:val="18"/>
              </w:rPr>
              <w:t>Lập lịch thu, chi, nợ, con, lương hưu và các mục tiêu; tách tài sản có thể đầu tư.</w:t>
            </w:r>
          </w:p>
        </w:tc>
        <w:tc>
          <w:tcPr>
            <w:tcW w:type="dxa" w:w="3515"/>
            <w:vAlign w:val="center"/>
            <w:shd w:fill="FFFFFF"/>
            <w:tcMar>
              <w:top w:w="80" w:type="dxa"/>
              <w:bottom w:w="80" w:type="dxa"/>
              <w:left w:w="95" w:type="dxa"/>
              <w:right w:w="95" w:type="dxa"/>
            </w:tcMar>
          </w:tcPr>
          <w:p>
            <w:pPr>
              <w:spacing w:after="0" w:line="257" w:lineRule="auto"/>
            </w:pPr>
            <w:r>
              <w:rPr>
                <w:sz w:val="18"/>
              </w:rPr>
              <w:t>Lịch dòng tiền theo tháng và nghĩa vụ ưu tiên.</w:t>
            </w:r>
          </w:p>
        </w:tc>
      </w:tr>
      <w:tr>
        <w:trPr>
          <w:cantSplit/>
        </w:trPr>
        <w:tc>
          <w:tcPr>
            <w:tcW w:type="dxa" w:w="1474"/>
            <w:vAlign w:val="center"/>
            <w:shd w:fill="F4F6F8"/>
            <w:tcMar>
              <w:top w:w="80" w:type="dxa"/>
              <w:bottom w:w="80" w:type="dxa"/>
              <w:left w:w="95" w:type="dxa"/>
              <w:right w:w="95" w:type="dxa"/>
            </w:tcMar>
          </w:tcPr>
          <w:p>
            <w:pPr>
              <w:spacing w:after="0" w:line="257" w:lineRule="auto"/>
            </w:pPr>
            <w:r>
              <w:rPr>
                <w:sz w:val="18"/>
              </w:rPr>
              <w:t>2  Khả năng chịu rủi ro</w:t>
            </w:r>
          </w:p>
        </w:tc>
        <w:tc>
          <w:tcPr>
            <w:tcW w:type="dxa" w:w="4649"/>
            <w:vAlign w:val="center"/>
            <w:shd w:fill="F4F6F8"/>
            <w:tcMar>
              <w:top w:w="80" w:type="dxa"/>
              <w:bottom w:w="80" w:type="dxa"/>
              <w:left w:w="95" w:type="dxa"/>
              <w:right w:w="95" w:type="dxa"/>
            </w:tcMar>
          </w:tcPr>
          <w:p>
            <w:pPr>
              <w:spacing w:after="0" w:line="257" w:lineRule="auto"/>
            </w:pPr>
            <w:r>
              <w:rPr>
                <w:sz w:val="18"/>
              </w:rPr>
              <w:t>Đối chiếu phản ứng khi lỗ, mức lỗ bằng tiền có thể chịu, thời gian cần tiền và ổn định thu nhập.</w:t>
            </w:r>
          </w:p>
        </w:tc>
        <w:tc>
          <w:tcPr>
            <w:tcW w:type="dxa" w:w="3515"/>
            <w:vAlign w:val="center"/>
            <w:shd w:fill="F4F6F8"/>
            <w:tcMar>
              <w:top w:w="80" w:type="dxa"/>
              <w:bottom w:w="80" w:type="dxa"/>
              <w:left w:w="95" w:type="dxa"/>
              <w:right w:w="95" w:type="dxa"/>
            </w:tcMar>
          </w:tcPr>
          <w:p>
            <w:pPr>
              <w:spacing w:after="0" w:line="257" w:lineRule="auto"/>
            </w:pPr>
            <w:r>
              <w:rPr>
                <w:sz w:val="18"/>
              </w:rPr>
              <w:t>Giới hạn rủi ro và thanh khoản của từng mục tiêu.</w:t>
            </w:r>
          </w:p>
        </w:tc>
      </w:tr>
      <w:tr>
        <w:trPr>
          <w:cantSplit/>
        </w:trPr>
        <w:tc>
          <w:tcPr>
            <w:tcW w:type="dxa" w:w="1474"/>
            <w:vAlign w:val="center"/>
            <w:shd w:fill="FFFFFF"/>
            <w:tcMar>
              <w:top w:w="80" w:type="dxa"/>
              <w:bottom w:w="80" w:type="dxa"/>
              <w:left w:w="95" w:type="dxa"/>
              <w:right w:w="95" w:type="dxa"/>
            </w:tcMar>
          </w:tcPr>
          <w:p>
            <w:pPr>
              <w:spacing w:after="0" w:line="257" w:lineRule="auto"/>
            </w:pPr>
            <w:r>
              <w:rPr>
                <w:sz w:val="18"/>
              </w:rPr>
              <w:t>3  Vốn bảo vệ</w:t>
            </w:r>
          </w:p>
        </w:tc>
        <w:tc>
          <w:tcPr>
            <w:tcW w:type="dxa" w:w="4649"/>
            <w:vAlign w:val="center"/>
            <w:shd w:fill="FFFFFF"/>
            <w:tcMar>
              <w:top w:w="80" w:type="dxa"/>
              <w:bottom w:w="80" w:type="dxa"/>
              <w:left w:w="95" w:type="dxa"/>
              <w:right w:w="95" w:type="dxa"/>
            </w:tcMar>
          </w:tcPr>
          <w:p>
            <w:pPr>
              <w:spacing w:after="0" w:line="257" w:lineRule="auto"/>
            </w:pPr>
            <w:r>
              <w:rPr>
                <w:sz w:val="18"/>
              </w:rPr>
              <w:t>Dành tiền dự phòng và tài trợ mục tiêu gần hạn bằng công cụ phù hợp kỳ hạn.</w:t>
            </w:r>
          </w:p>
        </w:tc>
        <w:tc>
          <w:tcPr>
            <w:tcW w:type="dxa" w:w="3515"/>
            <w:vAlign w:val="center"/>
            <w:shd w:fill="FFFFFF"/>
            <w:tcMar>
              <w:top w:w="80" w:type="dxa"/>
              <w:bottom w:w="80" w:type="dxa"/>
              <w:left w:w="95" w:type="dxa"/>
              <w:right w:w="95" w:type="dxa"/>
            </w:tcMar>
          </w:tcPr>
          <w:p>
            <w:pPr>
              <w:spacing w:after="0" w:line="257" w:lineRule="auto"/>
            </w:pPr>
            <w:r>
              <w:rPr>
                <w:sz w:val="18"/>
              </w:rPr>
              <w:t>Phần vốn có thể dùng cho tăng trưởng dài hạn.</w:t>
            </w:r>
          </w:p>
        </w:tc>
      </w:tr>
      <w:tr>
        <w:trPr>
          <w:cantSplit/>
        </w:trPr>
        <w:tc>
          <w:tcPr>
            <w:tcW w:type="dxa" w:w="1474"/>
            <w:vAlign w:val="center"/>
            <w:shd w:fill="F4F6F8"/>
            <w:tcMar>
              <w:top w:w="80" w:type="dxa"/>
              <w:bottom w:w="80" w:type="dxa"/>
              <w:left w:w="95" w:type="dxa"/>
              <w:right w:w="95" w:type="dxa"/>
            </w:tcMar>
          </w:tcPr>
          <w:p>
            <w:pPr>
              <w:spacing w:after="0" w:line="257" w:lineRule="auto"/>
            </w:pPr>
            <w:r>
              <w:rPr>
                <w:sz w:val="18"/>
              </w:rPr>
              <w:t>4  Ước lượng thị trường</w:t>
            </w:r>
          </w:p>
        </w:tc>
        <w:tc>
          <w:tcPr>
            <w:tcW w:type="dxa" w:w="4649"/>
            <w:vAlign w:val="center"/>
            <w:shd w:fill="F4F6F8"/>
            <w:tcMar>
              <w:top w:w="80" w:type="dxa"/>
              <w:bottom w:w="80" w:type="dxa"/>
              <w:left w:w="95" w:type="dxa"/>
              <w:right w:w="95" w:type="dxa"/>
            </w:tcMar>
          </w:tcPr>
          <w:p>
            <w:pPr>
              <w:spacing w:after="0" w:line="257" w:lineRule="auto"/>
            </w:pPr>
            <w:r>
              <w:rPr>
                <w:sz w:val="18"/>
              </w:rPr>
              <w:t>Chuẩn hóa tổng lợi nhuận, xây kỳ vọng có căn cứ, ước lượng biến động và tương quan.</w:t>
            </w:r>
          </w:p>
        </w:tc>
        <w:tc>
          <w:tcPr>
            <w:tcW w:type="dxa" w:w="3515"/>
            <w:vAlign w:val="center"/>
            <w:shd w:fill="F4F6F8"/>
            <w:tcMar>
              <w:top w:w="80" w:type="dxa"/>
              <w:bottom w:w="80" w:type="dxa"/>
              <w:left w:w="95" w:type="dxa"/>
              <w:right w:w="95" w:type="dxa"/>
            </w:tcMar>
          </w:tcPr>
          <w:p>
            <w:pPr>
              <w:spacing w:after="0" w:line="257" w:lineRule="auto"/>
            </w:pPr>
            <w:r>
              <w:rPr>
                <w:sz w:val="18"/>
              </w:rPr>
              <w:t>Các bộ giả định cơ sở và tình huống bất lợi.</w:t>
            </w:r>
          </w:p>
        </w:tc>
      </w:tr>
      <w:tr>
        <w:trPr>
          <w:cantSplit/>
        </w:trPr>
        <w:tc>
          <w:tcPr>
            <w:tcW w:type="dxa" w:w="1474"/>
            <w:vAlign w:val="center"/>
            <w:shd w:fill="FFFFFF"/>
            <w:tcMar>
              <w:top w:w="80" w:type="dxa"/>
              <w:bottom w:w="80" w:type="dxa"/>
              <w:left w:w="95" w:type="dxa"/>
              <w:right w:w="95" w:type="dxa"/>
            </w:tcMar>
          </w:tcPr>
          <w:p>
            <w:pPr>
              <w:spacing w:after="0" w:line="257" w:lineRule="auto"/>
            </w:pPr>
            <w:r>
              <w:rPr>
                <w:sz w:val="18"/>
              </w:rPr>
              <w:t>5  Tạo danh mục</w:t>
            </w:r>
          </w:p>
        </w:tc>
        <w:tc>
          <w:tcPr>
            <w:tcW w:type="dxa" w:w="4649"/>
            <w:vAlign w:val="center"/>
            <w:shd w:fill="FFFFFF"/>
            <w:tcMar>
              <w:top w:w="80" w:type="dxa"/>
              <w:bottom w:w="80" w:type="dxa"/>
              <w:left w:w="95" w:type="dxa"/>
              <w:right w:w="95" w:type="dxa"/>
            </w:tcMar>
          </w:tcPr>
          <w:p>
            <w:pPr>
              <w:spacing w:after="0" w:line="257" w:lineRule="auto"/>
            </w:pPr>
            <w:r>
              <w:rPr>
                <w:sz w:val="18"/>
              </w:rPr>
              <w:t>Tối ưu có giới hạn tỷ trọng, chi phí đổi danh mục, khả năng mua và tính thanh khoản.</w:t>
            </w:r>
          </w:p>
        </w:tc>
        <w:tc>
          <w:tcPr>
            <w:tcW w:type="dxa" w:w="3515"/>
            <w:vAlign w:val="center"/>
            <w:shd w:fill="FFFFFF"/>
            <w:tcMar>
              <w:top w:w="80" w:type="dxa"/>
              <w:bottom w:w="80" w:type="dxa"/>
              <w:left w:w="95" w:type="dxa"/>
              <w:right w:w="95" w:type="dxa"/>
            </w:tcMar>
          </w:tcPr>
          <w:p>
            <w:pPr>
              <w:spacing w:after="0" w:line="257" w:lineRule="auto"/>
            </w:pPr>
            <w:r>
              <w:rPr>
                <w:sz w:val="18"/>
              </w:rPr>
              <w:t>Một tập phương án hợp lệ, không chỉ một nghiệm duy nhất.</w:t>
            </w:r>
          </w:p>
        </w:tc>
      </w:tr>
      <w:tr>
        <w:trPr>
          <w:cantSplit/>
        </w:trPr>
        <w:tc>
          <w:tcPr>
            <w:tcW w:type="dxa" w:w="1474"/>
            <w:vAlign w:val="center"/>
            <w:shd w:fill="F4F6F8"/>
            <w:tcMar>
              <w:top w:w="80" w:type="dxa"/>
              <w:bottom w:w="80" w:type="dxa"/>
              <w:left w:w="95" w:type="dxa"/>
              <w:right w:w="95" w:type="dxa"/>
            </w:tcMar>
          </w:tcPr>
          <w:p>
            <w:pPr>
              <w:spacing w:after="0" w:line="257" w:lineRule="auto"/>
            </w:pPr>
            <w:r>
              <w:rPr>
                <w:sz w:val="18"/>
              </w:rPr>
              <w:t>6  Đánh giá theo mục tiêu</w:t>
            </w:r>
          </w:p>
        </w:tc>
        <w:tc>
          <w:tcPr>
            <w:tcW w:type="dxa" w:w="4649"/>
            <w:vAlign w:val="center"/>
            <w:shd w:fill="F4F6F8"/>
            <w:tcMar>
              <w:top w:w="80" w:type="dxa"/>
              <w:bottom w:w="80" w:type="dxa"/>
              <w:left w:w="95" w:type="dxa"/>
              <w:right w:w="95" w:type="dxa"/>
            </w:tcMar>
          </w:tcPr>
          <w:p>
            <w:pPr>
              <w:spacing w:after="0" w:line="257" w:lineRule="auto"/>
            </w:pPr>
            <w:r>
              <w:rPr>
                <w:sz w:val="18"/>
              </w:rPr>
              <w:t>Mô phỏng thu chi, lạm phát, phí và các đường đi thị trường; kiểm tra thiếu tiền từng tháng.</w:t>
            </w:r>
          </w:p>
        </w:tc>
        <w:tc>
          <w:tcPr>
            <w:tcW w:type="dxa" w:w="3515"/>
            <w:vAlign w:val="center"/>
            <w:shd w:fill="F4F6F8"/>
            <w:tcMar>
              <w:top w:w="80" w:type="dxa"/>
              <w:bottom w:w="80" w:type="dxa"/>
              <w:left w:w="95" w:type="dxa"/>
              <w:right w:w="95" w:type="dxa"/>
            </w:tcMar>
          </w:tcPr>
          <w:p>
            <w:pPr>
              <w:spacing w:after="0" w:line="257" w:lineRule="auto"/>
            </w:pPr>
            <w:r>
              <w:rPr>
                <w:sz w:val="18"/>
              </w:rPr>
              <w:t>Khả năng tài trợ chi thiết yếu, phần thiếu xấu và kế hoạch cần điều chỉnh.</w:t>
            </w:r>
          </w:p>
        </w:tc>
      </w:tr>
      <w:tr>
        <w:trPr>
          <w:cantSplit/>
        </w:trPr>
        <w:tc>
          <w:tcPr>
            <w:tcW w:type="dxa" w:w="1474"/>
            <w:vAlign w:val="center"/>
            <w:shd w:fill="FFFFFF"/>
            <w:tcMar>
              <w:top w:w="80" w:type="dxa"/>
              <w:bottom w:w="80" w:type="dxa"/>
              <w:left w:w="95" w:type="dxa"/>
              <w:right w:w="95" w:type="dxa"/>
            </w:tcMar>
          </w:tcPr>
          <w:p>
            <w:pPr>
              <w:spacing w:after="0" w:line="257" w:lineRule="auto"/>
            </w:pPr>
            <w:r>
              <w:rPr>
                <w:sz w:val="18"/>
              </w:rPr>
              <w:t>7  Theo dõi</w:t>
            </w:r>
          </w:p>
        </w:tc>
        <w:tc>
          <w:tcPr>
            <w:tcW w:type="dxa" w:w="4649"/>
            <w:vAlign w:val="center"/>
            <w:shd w:fill="FFFFFF"/>
            <w:tcMar>
              <w:top w:w="80" w:type="dxa"/>
              <w:bottom w:w="80" w:type="dxa"/>
              <w:left w:w="95" w:type="dxa"/>
              <w:right w:w="95" w:type="dxa"/>
            </w:tcMar>
          </w:tcPr>
          <w:p>
            <w:pPr>
              <w:spacing w:after="0" w:line="257" w:lineRule="auto"/>
            </w:pPr>
            <w:r>
              <w:rPr>
                <w:sz w:val="18"/>
              </w:rPr>
              <w:t>Cập nhật giá trị, dùng tiền góp mới để cân bằng, xét sự kiện gia đình và chính sách tái cân bằng.</w:t>
            </w:r>
          </w:p>
        </w:tc>
        <w:tc>
          <w:tcPr>
            <w:tcW w:type="dxa" w:w="3515"/>
            <w:vAlign w:val="center"/>
            <w:shd w:fill="FFFFFF"/>
            <w:tcMar>
              <w:top w:w="80" w:type="dxa"/>
              <w:bottom w:w="80" w:type="dxa"/>
              <w:left w:w="95" w:type="dxa"/>
              <w:right w:w="95" w:type="dxa"/>
            </w:tcMar>
          </w:tcPr>
          <w:p>
            <w:pPr>
              <w:spacing w:after="0" w:line="257" w:lineRule="auto"/>
            </w:pPr>
            <w:r>
              <w:rPr>
                <w:sz w:val="18"/>
              </w:rPr>
              <w:t>Đề xuất hành động có giải thích và lịch sử quyết định.</w:t>
            </w:r>
          </w:p>
        </w:tc>
      </w:tr>
    </w:tbl>
    <w:p>
      <w:pPr>
        <w:spacing w:after="0"/>
      </w:pPr>
      <w:r>
        <w:rPr>
          <w:b w:val="0"/>
        </w:rPr>
      </w:r>
    </w:p>
    <w:p>
      <w:pPr>
        <w:pStyle w:val="Heading2"/>
      </w:pPr>
      <w:r>
        <w:t>Một quyết định có thể giải thích</w:t>
      </w:r>
    </w:p>
    <w:p>
      <w:r>
        <w:rPr>
          <w:b w:val="0"/>
        </w:rPr>
        <w:t>Ví dụ: “Bạn cần học phí trong ba năm tới, nên khoản đó được dành riêng. Phần vốn còn lại có thời hạn gần hai mươi năm và không cần rút sớm, nên có thể cân nhắc mức tiếp xúc cổ phiếu lớn hơn.” Câu giải thích phải chỉ ra dữ liệu cá nhân, ràng buộc và tác động tới mục tiêu.</w:t>
      </w:r>
    </w:p>
    <w:p>
      <w:r>
        <w:rPr>
          <w:b w:val="0"/>
        </w:rPr>
        <w:t>Nếu không có danh mục nào đáp ứng mục tiêu trong giới hạn rủi ro, kết quả cần đưa ra khoản góp, tuổi nghỉ hưu hoặc mức chi có thể điều chỉnh. Không nâng lợi suất kỳ vọng chỉ để làm kế hoạch đạt yêu cầu.</w:t>
      </w:r>
    </w:p>
    <w:p>
      <w:pPr>
        <w:pStyle w:val="Heading2"/>
      </w:pPr>
      <w:r>
        <w:t>Phân bổ và lựa chọn sản phẩm</w:t>
      </w:r>
    </w:p>
    <w:p>
      <w:r>
        <w:rPr>
          <w:b w:val="0"/>
        </w:rPr>
        <w:t>Phân bổ xác định tiếp xúc với loại tài sản. Lựa chọn công cụ cụ thể tiếp tục kiểm tra phí, thanh khoản, pháp lý, điều kiện tiếp cận, tỷ trọng từng tổ chức phát hành và khả năng thực hiện. Một tỷ trọng trái phiếu phù hợp chưa có nghĩa mọi trái phiếu đều phù hợp.</w:t>
      </w:r>
    </w:p>
    <w:p>
      <w:r>
        <w:br w:type="page"/>
      </w:r>
    </w:p>
    <w:p>
      <w:pPr>
        <w:pStyle w:val="Heading1"/>
      </w:pPr>
      <w:r>
        <w:t>Đầu vào cá nhân hóa và phần vốn bảo vệ</w:t>
      </w:r>
    </w:p>
    <w:p>
      <w:r>
        <w:rPr>
          <w:b w:val="0"/>
        </w:rPr>
        <w:t>Kế thừa bộ hỏi về tuổi, nghỉ hưu, thu nhập, chi, người phụ thuộc, tài sản và nợ. Bổ sung những thông tin trực tiếp quyết định danh mục: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855"/>
        <w:gridCol w:w="3685"/>
      </w:tblGrid>
      <w:tr>
        <w:trPr>
          <w:cantSplit/>
          <w:tblHeader/>
        </w:trPr>
        <w:tc>
          <w:tcPr>
            <w:tcW w:type="dxa" w:w="2098"/>
            <w:vAlign w:val="center"/>
            <w:shd w:fill="334155"/>
            <w:tcMar>
              <w:top w:w="80" w:type="dxa"/>
              <w:bottom w:w="80" w:type="dxa"/>
              <w:left w:w="95" w:type="dxa"/>
              <w:right w:w="95" w:type="dxa"/>
            </w:tcMar>
          </w:tcPr>
          <w:p>
            <w:pPr>
              <w:spacing w:after="0" w:line="257" w:lineRule="auto"/>
            </w:pPr>
            <w:r>
              <w:rPr>
                <w:b/>
                <w:color w:val="FFFFFF"/>
                <w:sz w:val="18"/>
              </w:rPr>
              <w:t>Dữ liệu</w:t>
            </w:r>
          </w:p>
        </w:tc>
        <w:tc>
          <w:tcPr>
            <w:tcW w:type="dxa" w:w="3855"/>
            <w:vAlign w:val="center"/>
            <w:shd w:fill="334155"/>
            <w:tcMar>
              <w:top w:w="80" w:type="dxa"/>
              <w:bottom w:w="80" w:type="dxa"/>
              <w:left w:w="95" w:type="dxa"/>
              <w:right w:w="95" w:type="dxa"/>
            </w:tcMar>
          </w:tcPr>
          <w:p>
            <w:pPr>
              <w:spacing w:after="0" w:line="257" w:lineRule="auto"/>
            </w:pPr>
            <w:r>
              <w:rPr>
                <w:b/>
                <w:color w:val="FFFFFF"/>
                <w:sz w:val="18"/>
              </w:rPr>
              <w:t>Cách hỏi hoặc thu thập</w:t>
            </w:r>
          </w:p>
        </w:tc>
        <w:tc>
          <w:tcPr>
            <w:tcW w:type="dxa" w:w="3685"/>
            <w:vAlign w:val="center"/>
            <w:shd w:fill="334155"/>
            <w:tcMar>
              <w:top w:w="80" w:type="dxa"/>
              <w:bottom w:w="80" w:type="dxa"/>
              <w:left w:w="95" w:type="dxa"/>
              <w:right w:w="95" w:type="dxa"/>
            </w:tcMar>
          </w:tcPr>
          <w:p>
            <w:pPr>
              <w:spacing w:after="0" w:line="257" w:lineRule="auto"/>
            </w:pPr>
            <w:r>
              <w:rPr>
                <w:b/>
                <w:color w:val="FFFFFF"/>
                <w:sz w:val="18"/>
              </w:rPr>
              <w:t>Ảnh hưởng tới danh mục</w:t>
            </w:r>
          </w:p>
        </w:tc>
      </w:tr>
      <w:tr>
        <w:trPr>
          <w:cantSplit/>
        </w:trPr>
        <w:tc>
          <w:tcPr>
            <w:tcW w:type="dxa" w:w="2098"/>
            <w:vAlign w:val="center"/>
            <w:shd w:fill="FFFFFF"/>
            <w:tcMar>
              <w:top w:w="80" w:type="dxa"/>
              <w:bottom w:w="80" w:type="dxa"/>
              <w:left w:w="95" w:type="dxa"/>
              <w:right w:w="95" w:type="dxa"/>
            </w:tcMar>
          </w:tcPr>
          <w:p>
            <w:pPr>
              <w:spacing w:after="0" w:line="257" w:lineRule="auto"/>
            </w:pPr>
            <w:r>
              <w:rPr>
                <w:sz w:val="18"/>
              </w:rPr>
              <w:t>Khả năng chịu lỗ</w:t>
            </w:r>
          </w:p>
        </w:tc>
        <w:tc>
          <w:tcPr>
            <w:tcW w:type="dxa" w:w="3855"/>
            <w:vAlign w:val="center"/>
            <w:shd w:fill="FFFFFF"/>
            <w:tcMar>
              <w:top w:w="80" w:type="dxa"/>
              <w:bottom w:w="80" w:type="dxa"/>
              <w:left w:w="95" w:type="dxa"/>
              <w:right w:w="95" w:type="dxa"/>
            </w:tcMar>
          </w:tcPr>
          <w:p>
            <w:pPr>
              <w:spacing w:after="0" w:line="257" w:lineRule="auto"/>
            </w:pPr>
            <w:r>
              <w:rPr>
                <w:sz w:val="18"/>
              </w:rPr>
              <w:t>Nếu tài sản giảm 200 triệu đồng, kế hoạch nào bị ảnh hưởng? Mức giảm nào khiến bạn phải bán?</w:t>
            </w:r>
          </w:p>
        </w:tc>
        <w:tc>
          <w:tcPr>
            <w:tcW w:type="dxa" w:w="3685"/>
            <w:vAlign w:val="center"/>
            <w:shd w:fill="FFFFFF"/>
            <w:tcMar>
              <w:top w:w="80" w:type="dxa"/>
              <w:bottom w:w="80" w:type="dxa"/>
              <w:left w:w="95" w:type="dxa"/>
              <w:right w:w="95" w:type="dxa"/>
            </w:tcMar>
          </w:tcPr>
          <w:p>
            <w:pPr>
              <w:spacing w:after="0" w:line="257" w:lineRule="auto"/>
            </w:pPr>
            <w:r>
              <w:rPr>
                <w:sz w:val="18"/>
              </w:rPr>
              <w:t>Đặt giới hạn bằng tiền và tỷ lệ; không chỉ lấy điểm từ một câu hỏi thái độ.</w:t>
            </w:r>
          </w:p>
        </w:tc>
      </w:tr>
      <w:tr>
        <w:trPr>
          <w:cantSplit/>
        </w:trPr>
        <w:tc>
          <w:tcPr>
            <w:tcW w:type="dxa" w:w="2098"/>
            <w:vAlign w:val="center"/>
            <w:shd w:fill="F4F6F8"/>
            <w:tcMar>
              <w:top w:w="80" w:type="dxa"/>
              <w:bottom w:w="80" w:type="dxa"/>
              <w:left w:w="95" w:type="dxa"/>
              <w:right w:w="95" w:type="dxa"/>
            </w:tcMar>
          </w:tcPr>
          <w:p>
            <w:pPr>
              <w:spacing w:after="0" w:line="257" w:lineRule="auto"/>
            </w:pPr>
            <w:r>
              <w:rPr>
                <w:sz w:val="18"/>
              </w:rPr>
              <w:t>Thời hạn cần tiền</w:t>
            </w:r>
          </w:p>
        </w:tc>
        <w:tc>
          <w:tcPr>
            <w:tcW w:type="dxa" w:w="3855"/>
            <w:vAlign w:val="center"/>
            <w:shd w:fill="F4F6F8"/>
            <w:tcMar>
              <w:top w:w="80" w:type="dxa"/>
              <w:bottom w:w="80" w:type="dxa"/>
              <w:left w:w="95" w:type="dxa"/>
              <w:right w:w="95" w:type="dxa"/>
            </w:tcMar>
          </w:tcPr>
          <w:p>
            <w:pPr>
              <w:spacing w:after="0" w:line="257" w:lineRule="auto"/>
            </w:pPr>
            <w:r>
              <w:rPr>
                <w:sz w:val="18"/>
              </w:rPr>
              <w:t>Bao nhiêu tiền chắc chắn cần trong 1, 3, 5 năm? Mục tiêu nào có thể hoãn?</w:t>
            </w:r>
          </w:p>
        </w:tc>
        <w:tc>
          <w:tcPr>
            <w:tcW w:type="dxa" w:w="3685"/>
            <w:vAlign w:val="center"/>
            <w:shd w:fill="F4F6F8"/>
            <w:tcMar>
              <w:top w:w="80" w:type="dxa"/>
              <w:bottom w:w="80" w:type="dxa"/>
              <w:left w:w="95" w:type="dxa"/>
              <w:right w:w="95" w:type="dxa"/>
            </w:tcMar>
          </w:tcPr>
          <w:p>
            <w:pPr>
              <w:spacing w:after="0" w:line="257" w:lineRule="auto"/>
            </w:pPr>
            <w:r>
              <w:rPr>
                <w:sz w:val="18"/>
              </w:rPr>
              <w:t>Tách nghĩa vụ gần hạn khỏi vốn đầu tư dài hạn.</w:t>
            </w:r>
          </w:p>
        </w:tc>
      </w:tr>
      <w:tr>
        <w:trPr>
          <w:cantSplit/>
        </w:trPr>
        <w:tc>
          <w:tcPr>
            <w:tcW w:type="dxa" w:w="2098"/>
            <w:vAlign w:val="center"/>
            <w:shd w:fill="FFFFFF"/>
            <w:tcMar>
              <w:top w:w="80" w:type="dxa"/>
              <w:bottom w:w="80" w:type="dxa"/>
              <w:left w:w="95" w:type="dxa"/>
              <w:right w:w="95" w:type="dxa"/>
            </w:tcMar>
          </w:tcPr>
          <w:p>
            <w:pPr>
              <w:spacing w:after="0" w:line="257" w:lineRule="auto"/>
            </w:pPr>
            <w:r>
              <w:rPr>
                <w:sz w:val="18"/>
              </w:rPr>
              <w:t>Sự ổn định thu nhập</w:t>
            </w:r>
          </w:p>
        </w:tc>
        <w:tc>
          <w:tcPr>
            <w:tcW w:type="dxa" w:w="3855"/>
            <w:vAlign w:val="center"/>
            <w:shd w:fill="FFFFFF"/>
            <w:tcMar>
              <w:top w:w="80" w:type="dxa"/>
              <w:bottom w:w="80" w:type="dxa"/>
              <w:left w:w="95" w:type="dxa"/>
              <w:right w:w="95" w:type="dxa"/>
            </w:tcMar>
          </w:tcPr>
          <w:p>
            <w:pPr>
              <w:spacing w:after="0" w:line="257" w:lineRule="auto"/>
            </w:pPr>
            <w:r>
              <w:rPr>
                <w:sz w:val="18"/>
              </w:rPr>
              <w:t>Mức thấp khi thu nhập giảm là bao nhiêu? Nghề nghiệp có phụ thuộc thị trường hoặc lĩnh vực đang đầu tư không?</w:t>
            </w:r>
          </w:p>
        </w:tc>
        <w:tc>
          <w:tcPr>
            <w:tcW w:type="dxa" w:w="3685"/>
            <w:vAlign w:val="center"/>
            <w:shd w:fill="FFFFFF"/>
            <w:tcMar>
              <w:top w:w="80" w:type="dxa"/>
              <w:bottom w:w="80" w:type="dxa"/>
              <w:left w:w="95" w:type="dxa"/>
              <w:right w:w="95" w:type="dxa"/>
            </w:tcMar>
          </w:tcPr>
          <w:p>
            <w:pPr>
              <w:spacing w:after="0" w:line="257" w:lineRule="auto"/>
            </w:pPr>
            <w:r>
              <w:rPr>
                <w:sz w:val="18"/>
              </w:rPr>
              <w:t>Tăng nhu cầu dự phòng và giảm tập trung rủi ro tương quan.</w:t>
            </w:r>
          </w:p>
        </w:tc>
      </w:tr>
      <w:tr>
        <w:trPr>
          <w:cantSplit/>
        </w:trPr>
        <w:tc>
          <w:tcPr>
            <w:tcW w:type="dxa" w:w="2098"/>
            <w:vAlign w:val="center"/>
            <w:shd w:fill="F4F6F8"/>
            <w:tcMar>
              <w:top w:w="80" w:type="dxa"/>
              <w:bottom w:w="80" w:type="dxa"/>
              <w:left w:w="95" w:type="dxa"/>
              <w:right w:w="95" w:type="dxa"/>
            </w:tcMar>
          </w:tcPr>
          <w:p>
            <w:pPr>
              <w:spacing w:after="0" w:line="257" w:lineRule="auto"/>
            </w:pPr>
            <w:r>
              <w:rPr>
                <w:sz w:val="18"/>
              </w:rPr>
              <w:t>Tài sản hiện có</w:t>
            </w:r>
          </w:p>
        </w:tc>
        <w:tc>
          <w:tcPr>
            <w:tcW w:type="dxa" w:w="3855"/>
            <w:vAlign w:val="center"/>
            <w:shd w:fill="F4F6F8"/>
            <w:tcMar>
              <w:top w:w="80" w:type="dxa"/>
              <w:bottom w:w="80" w:type="dxa"/>
              <w:left w:w="95" w:type="dxa"/>
              <w:right w:w="95" w:type="dxa"/>
            </w:tcMar>
          </w:tcPr>
          <w:p>
            <w:pPr>
              <w:spacing w:after="0" w:line="257" w:lineRule="auto"/>
            </w:pPr>
            <w:r>
              <w:rPr>
                <w:sz w:val="18"/>
              </w:rPr>
              <w:t>Nhà ở, bất động sản cho thuê, cổ phiếu công ty nơi làm việc, khoản bị hạn chế bán và giá vốn.</w:t>
            </w:r>
          </w:p>
        </w:tc>
        <w:tc>
          <w:tcPr>
            <w:tcW w:type="dxa" w:w="3685"/>
            <w:vAlign w:val="center"/>
            <w:shd w:fill="F4F6F8"/>
            <w:tcMar>
              <w:top w:w="80" w:type="dxa"/>
              <w:bottom w:w="80" w:type="dxa"/>
              <w:left w:w="95" w:type="dxa"/>
              <w:right w:w="95" w:type="dxa"/>
            </w:tcMar>
          </w:tcPr>
          <w:p>
            <w:pPr>
              <w:spacing w:after="0" w:line="257" w:lineRule="auto"/>
            </w:pPr>
            <w:r>
              <w:rPr>
                <w:sz w:val="18"/>
              </w:rPr>
              <w:t>Theo dõi toàn bộ tiếp xúc kinh tế; giữ vị thế khó bán ngoài giả định tái cân bằng tự do.</w:t>
            </w:r>
          </w:p>
        </w:tc>
      </w:tr>
      <w:tr>
        <w:trPr>
          <w:cantSplit/>
        </w:trPr>
        <w:tc>
          <w:tcPr>
            <w:tcW w:type="dxa" w:w="2098"/>
            <w:vAlign w:val="center"/>
            <w:shd w:fill="FFFFFF"/>
            <w:tcMar>
              <w:top w:w="80" w:type="dxa"/>
              <w:bottom w:w="80" w:type="dxa"/>
              <w:left w:w="95" w:type="dxa"/>
              <w:right w:w="95" w:type="dxa"/>
            </w:tcMar>
          </w:tcPr>
          <w:p>
            <w:pPr>
              <w:spacing w:after="0" w:line="257" w:lineRule="auto"/>
            </w:pPr>
            <w:r>
              <w:rPr>
                <w:sz w:val="18"/>
              </w:rPr>
              <w:t>Khả năng tiếp cận</w:t>
            </w:r>
          </w:p>
        </w:tc>
        <w:tc>
          <w:tcPr>
            <w:tcW w:type="dxa" w:w="3855"/>
            <w:vAlign w:val="center"/>
            <w:shd w:fill="FFFFFF"/>
            <w:tcMar>
              <w:top w:w="80" w:type="dxa"/>
              <w:bottom w:w="80" w:type="dxa"/>
              <w:left w:w="95" w:type="dxa"/>
              <w:right w:w="95" w:type="dxa"/>
            </w:tcMar>
          </w:tcPr>
          <w:p>
            <w:pPr>
              <w:spacing w:after="0" w:line="257" w:lineRule="auto"/>
            </w:pPr>
            <w:r>
              <w:rPr>
                <w:sz w:val="18"/>
              </w:rPr>
              <w:t>Tài khoản, công cụ người dùng thực sự mua được, lô tối thiểu và sản phẩm được phép.</w:t>
            </w:r>
          </w:p>
        </w:tc>
        <w:tc>
          <w:tcPr>
            <w:tcW w:type="dxa" w:w="3685"/>
            <w:vAlign w:val="center"/>
            <w:shd w:fill="FFFFFF"/>
            <w:tcMar>
              <w:top w:w="80" w:type="dxa"/>
              <w:bottom w:w="80" w:type="dxa"/>
              <w:left w:w="95" w:type="dxa"/>
              <w:right w:w="95" w:type="dxa"/>
            </w:tcMar>
          </w:tcPr>
          <w:p>
            <w:pPr>
              <w:spacing w:after="0" w:line="257" w:lineRule="auto"/>
            </w:pPr>
            <w:r>
              <w:rPr>
                <w:sz w:val="18"/>
              </w:rPr>
              <w:t>Loại phương án không thể thực hiện, không tối ưu bằng chỉ số không mua được.</w:t>
            </w:r>
          </w:p>
        </w:tc>
      </w:tr>
      <w:tr>
        <w:trPr>
          <w:cantSplit/>
        </w:trPr>
        <w:tc>
          <w:tcPr>
            <w:tcW w:type="dxa" w:w="2098"/>
            <w:vAlign w:val="center"/>
            <w:shd w:fill="F4F6F8"/>
            <w:tcMar>
              <w:top w:w="80" w:type="dxa"/>
              <w:bottom w:w="80" w:type="dxa"/>
              <w:left w:w="95" w:type="dxa"/>
              <w:right w:w="95" w:type="dxa"/>
            </w:tcMar>
          </w:tcPr>
          <w:p>
            <w:pPr>
              <w:spacing w:after="0" w:line="257" w:lineRule="auto"/>
            </w:pPr>
            <w:r>
              <w:rPr>
                <w:sz w:val="18"/>
              </w:rPr>
              <w:t>Ưu tiên và linh hoạt</w:t>
            </w:r>
          </w:p>
        </w:tc>
        <w:tc>
          <w:tcPr>
            <w:tcW w:type="dxa" w:w="3855"/>
            <w:vAlign w:val="center"/>
            <w:shd w:fill="F4F6F8"/>
            <w:tcMar>
              <w:top w:w="80" w:type="dxa"/>
              <w:bottom w:w="80" w:type="dxa"/>
              <w:left w:w="95" w:type="dxa"/>
              <w:right w:w="95" w:type="dxa"/>
            </w:tcMar>
          </w:tcPr>
          <w:p>
            <w:pPr>
              <w:spacing w:after="0" w:line="257" w:lineRule="auto"/>
            </w:pPr>
            <w:r>
              <w:rPr>
                <w:sz w:val="18"/>
              </w:rPr>
              <w:t>Mức chi thiết yếu, mức chi tùy chọn, di sản mong muốn và khoản có thể giảm khi thị trường xấu.</w:t>
            </w:r>
          </w:p>
        </w:tc>
        <w:tc>
          <w:tcPr>
            <w:tcW w:type="dxa" w:w="3685"/>
            <w:vAlign w:val="center"/>
            <w:shd w:fill="F4F6F8"/>
            <w:tcMar>
              <w:top w:w="80" w:type="dxa"/>
              <w:bottom w:w="80" w:type="dxa"/>
              <w:left w:w="95" w:type="dxa"/>
              <w:right w:w="95" w:type="dxa"/>
            </w:tcMar>
          </w:tcPr>
          <w:p>
            <w:pPr>
              <w:spacing w:after="0" w:line="257" w:lineRule="auto"/>
            </w:pPr>
            <w:r>
              <w:rPr>
                <w:sz w:val="18"/>
              </w:rPr>
              <w:t>Tối ưu mức tài trợ mục tiêu theo thứ tự ưu tiên.</w:t>
            </w:r>
          </w:p>
        </w:tc>
      </w:tr>
    </w:tbl>
    <w:p>
      <w:pPr>
        <w:spacing w:after="0"/>
      </w:pPr>
      <w:r>
        <w:rPr>
          <w:b w:val="0"/>
        </w:rPr>
      </w:r>
    </w:p>
    <w:p>
      <w:pPr>
        <w:pStyle w:val="Heading2"/>
      </w:pPr>
      <w:r>
        <w:t>Tách các khoản vốn</w:t>
      </w:r>
    </w:p>
    <w:p>
      <w:pPr>
        <w:spacing w:before="60" w:after="180"/>
        <w:ind w:left="170"/>
      </w:pPr>
      <w:r>
        <w:rPr>
          <w:b/>
          <w:sz w:val="20"/>
        </w:rPr>
        <w:t>Vốn tăng trưởng = Tài sản đầu tư - tiền dự phòng - vốn dành cho mục tiêu gần hạn</w:t>
      </w:r>
    </w:p>
    <w:p>
      <w:r>
        <w:rPr>
          <w:b w:val="0"/>
        </w:rPr>
        <w:t>Một chính sách minh họa có thể dùng 6 đến 12 tháng chi thiết yếu cho dự phòng, tùy mức ổn định thu nhập. Mục tiêu gần hạn được gắn với lịch đáo hạn tiền gửi hoặc công cụ nợ phù hợp. Những khoảng này là lựa chọn chính sách cần kiểm chứng cho khách hàng, không phải quy tắc phổ quát.</w:t>
      </w:r>
    </w:p>
    <w:p>
      <w:r>
        <w:rPr>
          <w:b w:val="0"/>
        </w:rPr>
        <w:t>Với mục tiêu trả ở thời điểm T, vốn dành hôm nay có thể bắt đầu từ giá trị chiết khấu của dòng chi, sử dụng lợi suất phù hợp kỳ hạn và phí. Mục tiêu tăng theo lạm phát vẫn có rủi ro chênh lệch so với dòng thu danh nghĩa. Trái phiếu danh nghĩa không bảo vệ hoàn toàn sức mua trước lạm phát.</w:t>
      </w:r>
    </w:p>
    <w:p>
      <w:r>
        <w:rPr>
          <w:b w:val="0"/>
        </w:rPr>
        <w:t>Thu nhập tương lai là một yếu tố của khả năng chịu rủi ro; không cộng toàn bộ giá trị lương tương lai vào tiền có thể đầu tư ngay. Nhà đang ở cũng không được mặc định bán để trả chi tiêu nghỉ hưu.</w:t>
      </w:r>
    </w:p>
    <w:p>
      <w:r>
        <w:br w:type="page"/>
      </w:r>
    </w:p>
    <w:p>
      <w:pPr>
        <w:pStyle w:val="Heading1"/>
      </w:pPr>
      <w:r>
        <w:t>Các danh mục nền để bắt đầu thử nghiệm</w:t>
      </w:r>
    </w:p>
    <w:p>
      <w:r>
        <w:rPr>
          <w:b w:val="0"/>
        </w:rPr>
        <w:t>Bảng dưới là danh mục nền cho phần vốn nghỉ hưu dài hạn sau khi đã dành tiền dự phòng và các mục tiêu gần hạn. Chúng là điểm khởi đầu minh họa để thuật toán điều chỉnh; chưa phải kết quả tối ưu từ dữ liệu thị trường hoặc khuyến nghị theo tuổi.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2381"/>
        <w:gridCol w:w="1871"/>
        <w:gridCol w:w="1871"/>
      </w:tblGrid>
      <w:tr>
        <w:trPr>
          <w:cantSplit/>
          <w:tblHeader/>
        </w:trPr>
        <w:tc>
          <w:tcPr>
            <w:tcW w:type="dxa" w:w="3515"/>
            <w:vAlign w:val="center"/>
            <w:shd w:fill="334155"/>
            <w:tcMar>
              <w:top w:w="80" w:type="dxa"/>
              <w:bottom w:w="80" w:type="dxa"/>
              <w:left w:w="95" w:type="dxa"/>
              <w:right w:w="95" w:type="dxa"/>
            </w:tcMar>
          </w:tcPr>
          <w:p>
            <w:pPr>
              <w:spacing w:after="0" w:line="257" w:lineRule="auto"/>
            </w:pPr>
            <w:r>
              <w:rPr>
                <w:b/>
                <w:color w:val="FFFFFF"/>
                <w:sz w:val="18"/>
              </w:rPr>
              <w:t>Loại tài sản</w:t>
            </w:r>
          </w:p>
        </w:tc>
        <w:tc>
          <w:tcPr>
            <w:tcW w:type="dxa" w:w="2381"/>
            <w:vAlign w:val="center"/>
            <w:shd w:fill="334155"/>
            <w:tcMar>
              <w:top w:w="80" w:type="dxa"/>
              <w:bottom w:w="80" w:type="dxa"/>
              <w:left w:w="95" w:type="dxa"/>
              <w:right w:w="95" w:type="dxa"/>
            </w:tcMar>
          </w:tcPr>
          <w:p>
            <w:pPr>
              <w:spacing w:after="0" w:line="257" w:lineRule="auto"/>
            </w:pPr>
            <w:r>
              <w:rPr>
                <w:b/>
                <w:color w:val="FFFFFF"/>
                <w:sz w:val="18"/>
              </w:rPr>
              <w:t>Còn hơn 15 năm và thu nhập ổn định</w:t>
            </w:r>
          </w:p>
        </w:tc>
        <w:tc>
          <w:tcPr>
            <w:tcW w:type="dxa" w:w="1871"/>
            <w:vAlign w:val="center"/>
            <w:shd w:fill="334155"/>
            <w:tcMar>
              <w:top w:w="80" w:type="dxa"/>
              <w:bottom w:w="80" w:type="dxa"/>
              <w:left w:w="95" w:type="dxa"/>
              <w:right w:w="95" w:type="dxa"/>
            </w:tcMar>
          </w:tcPr>
          <w:p>
            <w:pPr>
              <w:spacing w:after="0" w:line="257" w:lineRule="auto"/>
            </w:pPr>
            <w:r>
              <w:rPr>
                <w:b/>
                <w:color w:val="FFFFFF"/>
                <w:sz w:val="18"/>
              </w:rPr>
              <w:t>Còn 5 đến 10 năm</w:t>
            </w:r>
          </w:p>
        </w:tc>
        <w:tc>
          <w:tcPr>
            <w:tcW w:type="dxa" w:w="1871"/>
            <w:vAlign w:val="center"/>
            <w:shd w:fill="334155"/>
            <w:tcMar>
              <w:top w:w="80" w:type="dxa"/>
              <w:bottom w:w="80" w:type="dxa"/>
              <w:left w:w="95" w:type="dxa"/>
              <w:right w:w="95" w:type="dxa"/>
            </w:tcMar>
          </w:tcPr>
          <w:p>
            <w:pPr>
              <w:spacing w:after="0" w:line="257" w:lineRule="auto"/>
            </w:pPr>
            <w:r>
              <w:rPr>
                <w:b/>
                <w:color w:val="FFFFFF"/>
                <w:sz w:val="18"/>
              </w:rPr>
              <w:t>Sắp nghỉ trong 3 năm</w:t>
            </w:r>
          </w:p>
        </w:tc>
      </w:tr>
      <w:tr>
        <w:trPr>
          <w:cantSplit/>
        </w:trPr>
        <w:tc>
          <w:tcPr>
            <w:tcW w:type="dxa" w:w="3515"/>
            <w:vAlign w:val="center"/>
            <w:shd w:fill="FFFFFF"/>
            <w:tcMar>
              <w:top w:w="80" w:type="dxa"/>
              <w:bottom w:w="80" w:type="dxa"/>
              <w:left w:w="95" w:type="dxa"/>
              <w:right w:w="95" w:type="dxa"/>
            </w:tcMar>
          </w:tcPr>
          <w:p>
            <w:pPr>
              <w:spacing w:after="0" w:line="257" w:lineRule="auto"/>
            </w:pPr>
            <w:r>
              <w:rPr>
                <w:sz w:val="18"/>
              </w:rPr>
              <w:t>Tiền gửi / tiền thanh khoản</w:t>
            </w:r>
          </w:p>
        </w:tc>
        <w:tc>
          <w:tcPr>
            <w:tcW w:type="dxa" w:w="2381"/>
            <w:vAlign w:val="center"/>
            <w:shd w:fill="FFFFFF"/>
            <w:tcMar>
              <w:top w:w="80" w:type="dxa"/>
              <w:bottom w:w="80" w:type="dxa"/>
              <w:left w:w="95" w:type="dxa"/>
              <w:right w:w="95" w:type="dxa"/>
            </w:tcMar>
          </w:tcPr>
          <w:p>
            <w:pPr>
              <w:spacing w:after="0" w:line="257" w:lineRule="auto"/>
            </w:pPr>
            <w:r>
              <w:rPr>
                <w:sz w:val="18"/>
              </w:rPr>
              <w:t>10%</w:t>
            </w:r>
          </w:p>
        </w:tc>
        <w:tc>
          <w:tcPr>
            <w:tcW w:type="dxa" w:w="1871"/>
            <w:vAlign w:val="center"/>
            <w:shd w:fill="FFFFFF"/>
            <w:tcMar>
              <w:top w:w="80" w:type="dxa"/>
              <w:bottom w:w="80" w:type="dxa"/>
              <w:left w:w="95" w:type="dxa"/>
              <w:right w:w="95" w:type="dxa"/>
            </w:tcMar>
          </w:tcPr>
          <w:p>
            <w:pPr>
              <w:spacing w:after="0" w:line="257" w:lineRule="auto"/>
            </w:pPr>
            <w:r>
              <w:rPr>
                <w:sz w:val="18"/>
              </w:rPr>
              <w:t>15%</w:t>
            </w:r>
          </w:p>
        </w:tc>
        <w:tc>
          <w:tcPr>
            <w:tcW w:type="dxa" w:w="1871"/>
            <w:vAlign w:val="center"/>
            <w:shd w:fill="FFFFFF"/>
            <w:tcMar>
              <w:top w:w="80" w:type="dxa"/>
              <w:bottom w:w="80" w:type="dxa"/>
              <w:left w:w="95" w:type="dxa"/>
              <w:right w:w="95" w:type="dxa"/>
            </w:tcMar>
          </w:tcPr>
          <w:p>
            <w:pPr>
              <w:spacing w:after="0" w:line="257" w:lineRule="auto"/>
            </w:pPr>
            <w:r>
              <w:rPr>
                <w:sz w:val="18"/>
              </w:rPr>
              <w:t>25%</w:t>
            </w:r>
          </w:p>
        </w:tc>
      </w:tr>
      <w:tr>
        <w:trPr>
          <w:cantSplit/>
        </w:trPr>
        <w:tc>
          <w:tcPr>
            <w:tcW w:type="dxa" w:w="3515"/>
            <w:vAlign w:val="center"/>
            <w:shd w:fill="F4F6F8"/>
            <w:tcMar>
              <w:top w:w="80" w:type="dxa"/>
              <w:bottom w:w="80" w:type="dxa"/>
              <w:left w:w="95" w:type="dxa"/>
              <w:right w:w="95" w:type="dxa"/>
            </w:tcMar>
          </w:tcPr>
          <w:p>
            <w:pPr>
              <w:spacing w:after="0" w:line="257" w:lineRule="auto"/>
            </w:pPr>
            <w:r>
              <w:rPr>
                <w:sz w:val="18"/>
              </w:rPr>
              <w:t>Trái phiếu Chính phủ / tiếp xúc phù hợp</w:t>
            </w:r>
          </w:p>
        </w:tc>
        <w:tc>
          <w:tcPr>
            <w:tcW w:type="dxa" w:w="2381"/>
            <w:vAlign w:val="center"/>
            <w:shd w:fill="F4F6F8"/>
            <w:tcMar>
              <w:top w:w="80" w:type="dxa"/>
              <w:bottom w:w="80" w:type="dxa"/>
              <w:left w:w="95" w:type="dxa"/>
              <w:right w:w="95" w:type="dxa"/>
            </w:tcMar>
          </w:tcPr>
          <w:p>
            <w:pPr>
              <w:spacing w:after="0" w:line="257" w:lineRule="auto"/>
            </w:pPr>
            <w:r>
              <w:rPr>
                <w:sz w:val="18"/>
              </w:rPr>
              <w:t>20%</w:t>
            </w:r>
          </w:p>
        </w:tc>
        <w:tc>
          <w:tcPr>
            <w:tcW w:type="dxa" w:w="1871"/>
            <w:vAlign w:val="center"/>
            <w:shd w:fill="F4F6F8"/>
            <w:tcMar>
              <w:top w:w="80" w:type="dxa"/>
              <w:bottom w:w="80" w:type="dxa"/>
              <w:left w:w="95" w:type="dxa"/>
              <w:right w:w="95" w:type="dxa"/>
            </w:tcMar>
          </w:tcPr>
          <w:p>
            <w:pPr>
              <w:spacing w:after="0" w:line="257" w:lineRule="auto"/>
            </w:pPr>
            <w:r>
              <w:rPr>
                <w:sz w:val="18"/>
              </w:rPr>
              <w:t>30%</w:t>
            </w:r>
          </w:p>
        </w:tc>
        <w:tc>
          <w:tcPr>
            <w:tcW w:type="dxa" w:w="1871"/>
            <w:vAlign w:val="center"/>
            <w:shd w:fill="F4F6F8"/>
            <w:tcMar>
              <w:top w:w="80" w:type="dxa"/>
              <w:bottom w:w="80" w:type="dxa"/>
              <w:left w:w="95" w:type="dxa"/>
              <w:right w:w="95" w:type="dxa"/>
            </w:tcMar>
          </w:tcPr>
          <w:p>
            <w:pPr>
              <w:spacing w:after="0" w:line="257" w:lineRule="auto"/>
            </w:pPr>
            <w:r>
              <w:rPr>
                <w:sz w:val="18"/>
              </w:rPr>
              <w:t>40%</w:t>
            </w:r>
          </w:p>
        </w:tc>
      </w:tr>
      <w:tr>
        <w:trPr>
          <w:cantSplit/>
        </w:trPr>
        <w:tc>
          <w:tcPr>
            <w:tcW w:type="dxa" w:w="3515"/>
            <w:vAlign w:val="center"/>
            <w:shd w:fill="FFFFFF"/>
            <w:tcMar>
              <w:top w:w="80" w:type="dxa"/>
              <w:bottom w:w="80" w:type="dxa"/>
              <w:left w:w="95" w:type="dxa"/>
              <w:right w:w="95" w:type="dxa"/>
            </w:tcMar>
          </w:tcPr>
          <w:p>
            <w:pPr>
              <w:spacing w:after="0" w:line="257" w:lineRule="auto"/>
            </w:pPr>
            <w:r>
              <w:rPr>
                <w:sz w:val="18"/>
              </w:rPr>
              <w:t>Cổ phiếu đa dạng hóa</w:t>
            </w:r>
          </w:p>
        </w:tc>
        <w:tc>
          <w:tcPr>
            <w:tcW w:type="dxa" w:w="2381"/>
            <w:vAlign w:val="center"/>
            <w:shd w:fill="FFFFFF"/>
            <w:tcMar>
              <w:top w:w="80" w:type="dxa"/>
              <w:bottom w:w="80" w:type="dxa"/>
              <w:left w:w="95" w:type="dxa"/>
              <w:right w:w="95" w:type="dxa"/>
            </w:tcMar>
          </w:tcPr>
          <w:p>
            <w:pPr>
              <w:spacing w:after="0" w:line="257" w:lineRule="auto"/>
            </w:pPr>
            <w:r>
              <w:rPr>
                <w:sz w:val="18"/>
              </w:rPr>
              <w:t>60%</w:t>
            </w:r>
          </w:p>
        </w:tc>
        <w:tc>
          <w:tcPr>
            <w:tcW w:type="dxa" w:w="1871"/>
            <w:vAlign w:val="center"/>
            <w:shd w:fill="FFFFFF"/>
            <w:tcMar>
              <w:top w:w="80" w:type="dxa"/>
              <w:bottom w:w="80" w:type="dxa"/>
              <w:left w:w="95" w:type="dxa"/>
              <w:right w:w="95" w:type="dxa"/>
            </w:tcMar>
          </w:tcPr>
          <w:p>
            <w:pPr>
              <w:spacing w:after="0" w:line="257" w:lineRule="auto"/>
            </w:pPr>
            <w:r>
              <w:rPr>
                <w:sz w:val="18"/>
              </w:rPr>
              <w:t>45%</w:t>
            </w:r>
          </w:p>
        </w:tc>
        <w:tc>
          <w:tcPr>
            <w:tcW w:type="dxa" w:w="1871"/>
            <w:vAlign w:val="center"/>
            <w:shd w:fill="FFFFFF"/>
            <w:tcMar>
              <w:top w:w="80" w:type="dxa"/>
              <w:bottom w:w="80" w:type="dxa"/>
              <w:left w:w="95" w:type="dxa"/>
              <w:right w:w="95" w:type="dxa"/>
            </w:tcMar>
          </w:tcPr>
          <w:p>
            <w:pPr>
              <w:spacing w:after="0" w:line="257" w:lineRule="auto"/>
            </w:pPr>
            <w:r>
              <w:rPr>
                <w:sz w:val="18"/>
              </w:rPr>
              <w:t>25%</w:t>
            </w:r>
          </w:p>
        </w:tc>
      </w:tr>
      <w:tr>
        <w:trPr>
          <w:cantSplit/>
        </w:trPr>
        <w:tc>
          <w:tcPr>
            <w:tcW w:type="dxa" w:w="3515"/>
            <w:vAlign w:val="center"/>
            <w:shd w:fill="F4F6F8"/>
            <w:tcMar>
              <w:top w:w="80" w:type="dxa"/>
              <w:bottom w:w="80" w:type="dxa"/>
              <w:left w:w="95" w:type="dxa"/>
              <w:right w:w="95" w:type="dxa"/>
            </w:tcMar>
          </w:tcPr>
          <w:p>
            <w:pPr>
              <w:spacing w:after="0" w:line="257" w:lineRule="auto"/>
            </w:pPr>
            <w:r>
              <w:rPr>
                <w:sz w:val="18"/>
              </w:rPr>
              <w:t>Vàng</w:t>
            </w:r>
          </w:p>
        </w:tc>
        <w:tc>
          <w:tcPr>
            <w:tcW w:type="dxa" w:w="2381"/>
            <w:vAlign w:val="center"/>
            <w:shd w:fill="F4F6F8"/>
            <w:tcMar>
              <w:top w:w="80" w:type="dxa"/>
              <w:bottom w:w="80" w:type="dxa"/>
              <w:left w:w="95" w:type="dxa"/>
              <w:right w:w="95" w:type="dxa"/>
            </w:tcMar>
          </w:tcPr>
          <w:p>
            <w:pPr>
              <w:spacing w:after="0" w:line="257" w:lineRule="auto"/>
            </w:pPr>
            <w:r>
              <w:rPr>
                <w:sz w:val="18"/>
              </w:rPr>
              <w:t>10%</w:t>
            </w:r>
          </w:p>
        </w:tc>
        <w:tc>
          <w:tcPr>
            <w:tcW w:type="dxa" w:w="1871"/>
            <w:vAlign w:val="center"/>
            <w:shd w:fill="F4F6F8"/>
            <w:tcMar>
              <w:top w:w="80" w:type="dxa"/>
              <w:bottom w:w="80" w:type="dxa"/>
              <w:left w:w="95" w:type="dxa"/>
              <w:right w:w="95" w:type="dxa"/>
            </w:tcMar>
          </w:tcPr>
          <w:p>
            <w:pPr>
              <w:spacing w:after="0" w:line="257" w:lineRule="auto"/>
            </w:pPr>
            <w:r>
              <w:rPr>
                <w:sz w:val="18"/>
              </w:rPr>
              <w:t>10%</w:t>
            </w:r>
          </w:p>
        </w:tc>
        <w:tc>
          <w:tcPr>
            <w:tcW w:type="dxa" w:w="1871"/>
            <w:vAlign w:val="center"/>
            <w:shd w:fill="F4F6F8"/>
            <w:tcMar>
              <w:top w:w="80" w:type="dxa"/>
              <w:bottom w:w="80" w:type="dxa"/>
              <w:left w:w="95" w:type="dxa"/>
              <w:right w:w="95" w:type="dxa"/>
            </w:tcMar>
          </w:tcPr>
          <w:p>
            <w:pPr>
              <w:spacing w:after="0" w:line="257" w:lineRule="auto"/>
            </w:pPr>
            <w:r>
              <w:rPr>
                <w:sz w:val="18"/>
              </w:rPr>
              <w:t>10%</w:t>
            </w:r>
          </w:p>
        </w:tc>
      </w:tr>
      <w:tr>
        <w:trPr>
          <w:cantSplit/>
        </w:trPr>
        <w:tc>
          <w:tcPr>
            <w:tcW w:type="dxa" w:w="3515"/>
            <w:vAlign w:val="center"/>
            <w:shd w:fill="FFFFFF"/>
            <w:tcMar>
              <w:top w:w="80" w:type="dxa"/>
              <w:bottom w:w="80" w:type="dxa"/>
              <w:left w:w="95" w:type="dxa"/>
              <w:right w:w="95" w:type="dxa"/>
            </w:tcMar>
          </w:tcPr>
          <w:p>
            <w:pPr>
              <w:spacing w:after="0" w:line="257" w:lineRule="auto"/>
            </w:pPr>
            <w:r>
              <w:rPr>
                <w:sz w:val="18"/>
              </w:rPr>
              <w:t>Bạc</w:t>
            </w:r>
          </w:p>
        </w:tc>
        <w:tc>
          <w:tcPr>
            <w:tcW w:type="dxa" w:w="2381"/>
            <w:vAlign w:val="center"/>
            <w:shd w:fill="FFFFFF"/>
            <w:tcMar>
              <w:top w:w="80" w:type="dxa"/>
              <w:bottom w:w="80" w:type="dxa"/>
              <w:left w:w="95" w:type="dxa"/>
              <w:right w:w="95" w:type="dxa"/>
            </w:tcMar>
          </w:tcPr>
          <w:p>
            <w:pPr>
              <w:spacing w:after="0" w:line="257" w:lineRule="auto"/>
            </w:pPr>
            <w:r>
              <w:rPr>
                <w:sz w:val="18"/>
              </w:rPr>
              <w:t>0%</w:t>
            </w:r>
          </w:p>
        </w:tc>
        <w:tc>
          <w:tcPr>
            <w:tcW w:type="dxa" w:w="1871"/>
            <w:vAlign w:val="center"/>
            <w:shd w:fill="FFFFFF"/>
            <w:tcMar>
              <w:top w:w="80" w:type="dxa"/>
              <w:bottom w:w="80" w:type="dxa"/>
              <w:left w:w="95" w:type="dxa"/>
              <w:right w:w="95" w:type="dxa"/>
            </w:tcMar>
          </w:tcPr>
          <w:p>
            <w:pPr>
              <w:spacing w:after="0" w:line="257" w:lineRule="auto"/>
            </w:pPr>
            <w:r>
              <w:rPr>
                <w:sz w:val="18"/>
              </w:rPr>
              <w:t>0%</w:t>
            </w:r>
          </w:p>
        </w:tc>
        <w:tc>
          <w:tcPr>
            <w:tcW w:type="dxa" w:w="1871"/>
            <w:vAlign w:val="center"/>
            <w:shd w:fill="FFFFFF"/>
            <w:tcMar>
              <w:top w:w="80" w:type="dxa"/>
              <w:bottom w:w="80" w:type="dxa"/>
              <w:left w:w="95" w:type="dxa"/>
              <w:right w:w="95" w:type="dxa"/>
            </w:tcMar>
          </w:tcPr>
          <w:p>
            <w:pPr>
              <w:spacing w:after="0" w:line="257" w:lineRule="auto"/>
            </w:pPr>
            <w:r>
              <w:rPr>
                <w:sz w:val="18"/>
              </w:rPr>
              <w:t>0%</w:t>
            </w:r>
          </w:p>
        </w:tc>
      </w:tr>
      <w:tr>
        <w:trPr>
          <w:cantSplit/>
        </w:trPr>
        <w:tc>
          <w:tcPr>
            <w:tcW w:type="dxa" w:w="3515"/>
            <w:vAlign w:val="center"/>
            <w:shd w:fill="F4F6F8"/>
            <w:tcMar>
              <w:top w:w="80" w:type="dxa"/>
              <w:bottom w:w="80" w:type="dxa"/>
              <w:left w:w="95" w:type="dxa"/>
              <w:right w:w="95" w:type="dxa"/>
            </w:tcMar>
          </w:tcPr>
          <w:p>
            <w:pPr>
              <w:spacing w:after="0" w:line="257" w:lineRule="auto"/>
            </w:pPr>
            <w:r>
              <w:rPr>
                <w:sz w:val="18"/>
              </w:rPr>
              <w:t>Bất động sản mua mới</w:t>
            </w:r>
          </w:p>
        </w:tc>
        <w:tc>
          <w:tcPr>
            <w:tcW w:type="dxa" w:w="2381"/>
            <w:vAlign w:val="center"/>
            <w:shd w:fill="F4F6F8"/>
            <w:tcMar>
              <w:top w:w="80" w:type="dxa"/>
              <w:bottom w:w="80" w:type="dxa"/>
              <w:left w:w="95" w:type="dxa"/>
              <w:right w:w="95" w:type="dxa"/>
            </w:tcMar>
          </w:tcPr>
          <w:p>
            <w:pPr>
              <w:spacing w:after="0" w:line="257" w:lineRule="auto"/>
            </w:pPr>
            <w:r>
              <w:rPr>
                <w:sz w:val="18"/>
              </w:rPr>
              <w:t>0%</w:t>
            </w:r>
          </w:p>
        </w:tc>
        <w:tc>
          <w:tcPr>
            <w:tcW w:type="dxa" w:w="1871"/>
            <w:vAlign w:val="center"/>
            <w:shd w:fill="F4F6F8"/>
            <w:tcMar>
              <w:top w:w="80" w:type="dxa"/>
              <w:bottom w:w="80" w:type="dxa"/>
              <w:left w:w="95" w:type="dxa"/>
              <w:right w:w="95" w:type="dxa"/>
            </w:tcMar>
          </w:tcPr>
          <w:p>
            <w:pPr>
              <w:spacing w:after="0" w:line="257" w:lineRule="auto"/>
            </w:pPr>
            <w:r>
              <w:rPr>
                <w:sz w:val="18"/>
              </w:rPr>
              <w:t>0%</w:t>
            </w:r>
          </w:p>
        </w:tc>
        <w:tc>
          <w:tcPr>
            <w:tcW w:type="dxa" w:w="1871"/>
            <w:vAlign w:val="center"/>
            <w:shd w:fill="F4F6F8"/>
            <w:tcMar>
              <w:top w:w="80" w:type="dxa"/>
              <w:bottom w:w="80" w:type="dxa"/>
              <w:left w:w="95" w:type="dxa"/>
              <w:right w:w="95" w:type="dxa"/>
            </w:tcMar>
          </w:tcPr>
          <w:p>
            <w:pPr>
              <w:spacing w:after="0" w:line="257" w:lineRule="auto"/>
            </w:pPr>
            <w:r>
              <w:rPr>
                <w:sz w:val="18"/>
              </w:rPr>
              <w:t>0%</w:t>
            </w:r>
          </w:p>
        </w:tc>
      </w:tr>
      <w:tr>
        <w:trPr>
          <w:cantSplit/>
        </w:trPr>
        <w:tc>
          <w:tcPr>
            <w:tcW w:type="dxa" w:w="3515"/>
            <w:vAlign w:val="center"/>
            <w:shd w:fill="FFFFFF"/>
            <w:tcMar>
              <w:top w:w="80" w:type="dxa"/>
              <w:bottom w:w="80" w:type="dxa"/>
              <w:left w:w="95" w:type="dxa"/>
              <w:right w:w="95" w:type="dxa"/>
            </w:tcMar>
          </w:tcPr>
          <w:p>
            <w:pPr>
              <w:spacing w:after="0" w:line="257" w:lineRule="auto"/>
            </w:pPr>
            <w:r>
              <w:rPr>
                <w:sz w:val="18"/>
              </w:rPr>
              <w:t>Tổng</w:t>
            </w:r>
          </w:p>
        </w:tc>
        <w:tc>
          <w:tcPr>
            <w:tcW w:type="dxa" w:w="2381"/>
            <w:vAlign w:val="center"/>
            <w:shd w:fill="FFFFFF"/>
            <w:tcMar>
              <w:top w:w="80" w:type="dxa"/>
              <w:bottom w:w="80" w:type="dxa"/>
              <w:left w:w="95" w:type="dxa"/>
              <w:right w:w="95" w:type="dxa"/>
            </w:tcMar>
          </w:tcPr>
          <w:p>
            <w:pPr>
              <w:spacing w:after="0" w:line="257" w:lineRule="auto"/>
            </w:pPr>
            <w:r>
              <w:rPr>
                <w:sz w:val="18"/>
              </w:rPr>
              <w:t>100%</w:t>
            </w:r>
          </w:p>
        </w:tc>
        <w:tc>
          <w:tcPr>
            <w:tcW w:type="dxa" w:w="1871"/>
            <w:vAlign w:val="center"/>
            <w:shd w:fill="FFFFFF"/>
            <w:tcMar>
              <w:top w:w="80" w:type="dxa"/>
              <w:bottom w:w="80" w:type="dxa"/>
              <w:left w:w="95" w:type="dxa"/>
              <w:right w:w="95" w:type="dxa"/>
            </w:tcMar>
          </w:tcPr>
          <w:p>
            <w:pPr>
              <w:spacing w:after="0" w:line="257" w:lineRule="auto"/>
            </w:pPr>
            <w:r>
              <w:rPr>
                <w:sz w:val="18"/>
              </w:rPr>
              <w:t>100%</w:t>
            </w:r>
          </w:p>
        </w:tc>
        <w:tc>
          <w:tcPr>
            <w:tcW w:type="dxa" w:w="1871"/>
            <w:vAlign w:val="center"/>
            <w:shd w:fill="FFFFFF"/>
            <w:tcMar>
              <w:top w:w="80" w:type="dxa"/>
              <w:bottom w:w="80" w:type="dxa"/>
              <w:left w:w="95" w:type="dxa"/>
              <w:right w:w="95" w:type="dxa"/>
            </w:tcMar>
          </w:tcPr>
          <w:p>
            <w:pPr>
              <w:spacing w:after="0" w:line="257" w:lineRule="auto"/>
            </w:pPr>
            <w:r>
              <w:rPr>
                <w:sz w:val="18"/>
              </w:rPr>
              <w:t>100%</w:t>
            </w:r>
          </w:p>
        </w:tc>
      </w:tr>
    </w:tbl>
    <w:p>
      <w:pPr>
        <w:spacing w:after="0"/>
      </w:pPr>
      <w:r>
        <w:rPr>
          <w:b w:val="0"/>
        </w:rPr>
      </w:r>
    </w:p>
    <w:p>
      <w:pPr>
        <w:pStyle w:val="Heading2"/>
      </w:pPr>
      <w:r>
        <w:t>Vì sao có tài sản bằng 0</w:t>
      </w:r>
    </w:p>
    <w:p>
      <w:r>
        <w:rPr>
          <w:b w:val="0"/>
        </w:rPr>
        <w:t>Bạc được xem như lựa chọn bổ sung khi người dùng hiểu rủi ro, giá mua bán, lưu giữ và thời hạn. Một giới hạn thử nghiệm có thể là 0 đến 5%, đồng thời đặt giới hạn tổng kim loại quý. Không cần mọi danh mục đều sở hữu mọi loại tài sản.</w:t>
      </w:r>
    </w:p>
    <w:p>
      <w:r>
        <w:rPr>
          <w:b w:val="0"/>
        </w:rPr>
        <w:t>Bất động sản trực tiếp có yêu cầu vốn lớn, khó chia nhỏ và thời gian bán không chắc chắn. Nếu tiền đầu tư ít hoặc đã tập trung nhiều vào nhà đất, phần mua mới có thể bằng 0. Bất động sản đang sở hữu vẫn được mô hình hóa về giá trị, tiền thuê, nợ, thời gian bán và kịch bản giảm giá.</w:t>
      </w:r>
    </w:p>
    <w:p>
      <w:pPr>
        <w:pStyle w:val="Heading2"/>
      </w:pPr>
      <w:r>
        <w:t>Trái phiếu cần chia đúng nhóm</w:t>
      </w:r>
    </w:p>
    <w:p>
      <w:r>
        <w:rPr>
          <w:b w:val="0"/>
        </w:rPr>
        <w:t>Tiền gửi, trái phiếu Chính phủ và trái phiếu doanh nghiệp có cơ chế rủi ro khác nhau. Phiên bản đầu có thể giới hạn trái phiếu doanh nghiệp trực tiếp nếu thiếu dữ liệu định giá, rủi ro tín dụng hoặc khả năng tiếp cận phù hợp. Nếu dùng quỹ trái phiếu, phải xem danh mục thực tế, kỳ hạn, phí và điều kiện mua lại; tên sản phẩm không đủ để phân loại rủi ro.</w:t>
      </w:r>
    </w:p>
    <w:p>
      <w:pPr>
        <w:pStyle w:val="Heading2"/>
      </w:pPr>
      <w:r>
        <w:t>Ràng buộc ưu tiên hơn danh mục nền</w:t>
      </w:r>
    </w:p>
    <w:p>
      <w:r>
        <w:rPr>
          <w:b w:val="0"/>
        </w:rPr>
        <w:t>Cùng ở tuổi 38 nhưng một người cần mua nhà trong hai năm, còn người kia đã có nhà và thu nhập ổn định, sẽ có tỷ trọng khác nhau. Nếu mức lỗ của danh mục nền vượt khả năng chịu đựng, thuật toán phải giảm rủi ro hoặc báo mục tiêu chưa khả thi. Mốc tuổi không tự quyết định kết quả.</w:t>
      </w:r>
    </w:p>
    <w:p>
      <w:r>
        <w:br w:type="page"/>
      </w:r>
    </w:p>
    <w:p>
      <w:pPr>
        <w:pStyle w:val="Heading1"/>
      </w:pPr>
      <w:r>
        <w:t>Dữ liệu và tần suất cập nhật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trPr>
        <w:tc>
          <w:tcPr>
            <w:tcW w:type="dxa" w:w="1701"/>
            <w:vAlign w:val="center"/>
            <w:shd w:fill="334155"/>
            <w:tcMar>
              <w:top w:w="80" w:type="dxa"/>
              <w:bottom w:w="80" w:type="dxa"/>
              <w:left w:w="95" w:type="dxa"/>
              <w:right w:w="95" w:type="dxa"/>
            </w:tcMar>
          </w:tcPr>
          <w:p>
            <w:pPr>
              <w:spacing w:after="0" w:line="257" w:lineRule="auto"/>
            </w:pPr>
            <w:r>
              <w:rPr>
                <w:b/>
                <w:color w:val="FFFFFF"/>
                <w:sz w:val="18"/>
              </w:rPr>
              <w:t>Nhóm</w:t>
            </w:r>
          </w:p>
        </w:tc>
        <w:tc>
          <w:tcPr>
            <w:tcW w:type="dxa" w:w="3969"/>
            <w:vAlign w:val="center"/>
            <w:shd w:fill="334155"/>
            <w:tcMar>
              <w:top w:w="80" w:type="dxa"/>
              <w:bottom w:w="80" w:type="dxa"/>
              <w:left w:w="95" w:type="dxa"/>
              <w:right w:w="95" w:type="dxa"/>
            </w:tcMar>
          </w:tcPr>
          <w:p>
            <w:pPr>
              <w:spacing w:after="0" w:line="257" w:lineRule="auto"/>
            </w:pPr>
            <w:r>
              <w:rPr>
                <w:b/>
                <w:color w:val="FFFFFF"/>
                <w:sz w:val="18"/>
              </w:rPr>
              <w:t>Dữ liệu cần có</w:t>
            </w:r>
          </w:p>
        </w:tc>
        <w:tc>
          <w:tcPr>
            <w:tcW w:type="dxa" w:w="3969"/>
            <w:vAlign w:val="center"/>
            <w:shd w:fill="334155"/>
            <w:tcMar>
              <w:top w:w="80" w:type="dxa"/>
              <w:bottom w:w="80" w:type="dxa"/>
              <w:left w:w="95" w:type="dxa"/>
              <w:right w:w="95" w:type="dxa"/>
            </w:tcMar>
          </w:tcPr>
          <w:p>
            <w:pPr>
              <w:spacing w:after="0" w:line="257" w:lineRule="auto"/>
            </w:pPr>
            <w:r>
              <w:rPr>
                <w:b/>
                <w:color w:val="FFFFFF"/>
                <w:sz w:val="18"/>
              </w:rPr>
              <w:t>Nguồn và tần suất phù hợp</w:t>
            </w:r>
          </w:p>
        </w:tc>
      </w:tr>
      <w:tr>
        <w:trPr>
          <w:cantSplit/>
        </w:trPr>
        <w:tc>
          <w:tcPr>
            <w:tcW w:type="dxa" w:w="1701"/>
            <w:vAlign w:val="center"/>
            <w:shd w:fill="FFFFFF"/>
            <w:tcMar>
              <w:top w:w="80" w:type="dxa"/>
              <w:bottom w:w="80" w:type="dxa"/>
              <w:left w:w="95" w:type="dxa"/>
              <w:right w:w="95" w:type="dxa"/>
            </w:tcMar>
          </w:tcPr>
          <w:p>
            <w:pPr>
              <w:spacing w:after="0" w:line="257" w:lineRule="auto"/>
            </w:pPr>
            <w:r>
              <w:rPr>
                <w:sz w:val="18"/>
              </w:rPr>
              <w:t>Cổ phiếu / quỹ cổ phiếu</w:t>
            </w:r>
          </w:p>
        </w:tc>
        <w:tc>
          <w:tcPr>
            <w:tcW w:type="dxa" w:w="3969"/>
            <w:vAlign w:val="center"/>
            <w:shd w:fill="FFFFFF"/>
            <w:tcMar>
              <w:top w:w="80" w:type="dxa"/>
              <w:bottom w:w="80" w:type="dxa"/>
              <w:left w:w="95" w:type="dxa"/>
              <w:right w:w="95" w:type="dxa"/>
            </w:tcMar>
          </w:tcPr>
          <w:p>
            <w:pPr>
              <w:spacing w:after="0" w:line="257" w:lineRule="auto"/>
            </w:pPr>
            <w:r>
              <w:rPr>
                <w:sz w:val="18"/>
              </w:rPr>
              <w:t>Giá, cổ tức, điều chỉnh chia tách, tổng lợi nhuận, NAV, thanh khoản, phí.</w:t>
            </w:r>
          </w:p>
        </w:tc>
        <w:tc>
          <w:tcPr>
            <w:tcW w:type="dxa" w:w="3969"/>
            <w:vAlign w:val="center"/>
            <w:shd w:fill="FFFFFF"/>
            <w:tcMar>
              <w:top w:w="80" w:type="dxa"/>
              <w:bottom w:w="80" w:type="dxa"/>
              <w:left w:w="95" w:type="dxa"/>
              <w:right w:w="95" w:type="dxa"/>
            </w:tcMar>
          </w:tcPr>
          <w:p>
            <w:pPr>
              <w:spacing w:after="0" w:line="257" w:lineRule="auto"/>
            </w:pPr>
            <w:r>
              <w:rPr>
                <w:sz w:val="18"/>
              </w:rPr>
              <w:t>HOSE/HNX, đơn vị quản lý quỹ; API SSI FastConnect Data hoặc FiinGroup theo quyền sử dụng. Giá trong phiên hoặc cuối ngày; lịch sử tổng lợi nhuận theo tháng.</w:t>
            </w:r>
          </w:p>
        </w:tc>
      </w:tr>
      <w:tr>
        <w:trPr>
          <w:cantSplit/>
        </w:trPr>
        <w:tc>
          <w:tcPr>
            <w:tcW w:type="dxa" w:w="1701"/>
            <w:vAlign w:val="center"/>
            <w:shd w:fill="F4F6F8"/>
            <w:tcMar>
              <w:top w:w="80" w:type="dxa"/>
              <w:bottom w:w="80" w:type="dxa"/>
              <w:left w:w="95" w:type="dxa"/>
              <w:right w:w="95" w:type="dxa"/>
            </w:tcMar>
          </w:tcPr>
          <w:p>
            <w:pPr>
              <w:spacing w:after="0" w:line="257" w:lineRule="auto"/>
            </w:pPr>
            <w:r>
              <w:rPr>
                <w:sz w:val="18"/>
              </w:rPr>
              <w:t>Trái phiếu Chính phủ</w:t>
            </w:r>
          </w:p>
        </w:tc>
        <w:tc>
          <w:tcPr>
            <w:tcW w:type="dxa" w:w="3969"/>
            <w:vAlign w:val="center"/>
            <w:shd w:fill="F4F6F8"/>
            <w:tcMar>
              <w:top w:w="80" w:type="dxa"/>
              <w:bottom w:w="80" w:type="dxa"/>
              <w:left w:w="95" w:type="dxa"/>
              <w:right w:w="95" w:type="dxa"/>
            </w:tcMar>
          </w:tcPr>
          <w:p>
            <w:pPr>
              <w:spacing w:after="0" w:line="257" w:lineRule="auto"/>
            </w:pPr>
            <w:r>
              <w:rPr>
                <w:sz w:val="18"/>
              </w:rPr>
              <w:t>Dòng coupon, kỳ hạn, giá, đường cong lợi suất, duration và tổng lợi nhuận.</w:t>
            </w:r>
          </w:p>
        </w:tc>
        <w:tc>
          <w:tcPr>
            <w:tcW w:type="dxa" w:w="3969"/>
            <w:vAlign w:val="center"/>
            <w:shd w:fill="F4F6F8"/>
            <w:tcMar>
              <w:top w:w="80" w:type="dxa"/>
              <w:bottom w:w="80" w:type="dxa"/>
              <w:left w:w="95" w:type="dxa"/>
              <w:right w:w="95" w:type="dxa"/>
            </w:tcMar>
          </w:tcPr>
          <w:p>
            <w:pPr>
              <w:spacing w:after="0" w:line="257" w:lineRule="auto"/>
            </w:pPr>
            <w:r>
              <w:rPr>
                <w:sz w:val="18"/>
              </w:rPr>
              <w:t>HNX và nhà cung cấp dữ liệu. Cuối ngày cho định giá, theo tháng cho mô hình dài hạn.</w:t>
            </w:r>
          </w:p>
        </w:tc>
      </w:tr>
      <w:tr>
        <w:trPr>
          <w:cantSplit/>
        </w:trPr>
        <w:tc>
          <w:tcPr>
            <w:tcW w:type="dxa" w:w="1701"/>
            <w:vAlign w:val="center"/>
            <w:shd w:fill="FFFFFF"/>
            <w:tcMar>
              <w:top w:w="80" w:type="dxa"/>
              <w:bottom w:w="80" w:type="dxa"/>
              <w:left w:w="95" w:type="dxa"/>
              <w:right w:w="95" w:type="dxa"/>
            </w:tcMar>
          </w:tcPr>
          <w:p>
            <w:pPr>
              <w:spacing w:after="0" w:line="257" w:lineRule="auto"/>
            </w:pPr>
            <w:r>
              <w:rPr>
                <w:sz w:val="18"/>
              </w:rPr>
              <w:t>Trái phiếu doanh nghiệp</w:t>
            </w:r>
          </w:p>
        </w:tc>
        <w:tc>
          <w:tcPr>
            <w:tcW w:type="dxa" w:w="3969"/>
            <w:vAlign w:val="center"/>
            <w:shd w:fill="FFFFFF"/>
            <w:tcMar>
              <w:top w:w="80" w:type="dxa"/>
              <w:bottom w:w="80" w:type="dxa"/>
              <w:left w:w="95" w:type="dxa"/>
              <w:right w:w="95" w:type="dxa"/>
            </w:tcMar>
          </w:tcPr>
          <w:p>
            <w:pPr>
              <w:spacing w:after="0" w:line="257" w:lineRule="auto"/>
            </w:pPr>
            <w:r>
              <w:rPr>
                <w:sz w:val="18"/>
              </w:rPr>
              <w:t>Giá và giao dịch thực, kỳ hạn, khả năng trả nợ, điều khoản, xếp hạng nếu có.</w:t>
            </w:r>
          </w:p>
        </w:tc>
        <w:tc>
          <w:tcPr>
            <w:tcW w:type="dxa" w:w="3969"/>
            <w:vAlign w:val="center"/>
            <w:shd w:fill="FFFFFF"/>
            <w:tcMar>
              <w:top w:w="80" w:type="dxa"/>
              <w:bottom w:w="80" w:type="dxa"/>
              <w:left w:w="95" w:type="dxa"/>
              <w:right w:w="95" w:type="dxa"/>
            </w:tcMar>
          </w:tcPr>
          <w:p>
            <w:pPr>
              <w:spacing w:after="0" w:line="257" w:lineRule="auto"/>
            </w:pPr>
            <w:r>
              <w:rPr>
                <w:sz w:val="18"/>
              </w:rPr>
              <w:t>Công bố thông tin HNX, tổ chức phát hành, nhà cung cấp và đơn vị xếp hạng. Không điền biến động bằng 0 khi thiếu giao dịch.</w:t>
            </w:r>
          </w:p>
        </w:tc>
      </w:tr>
      <w:tr>
        <w:trPr>
          <w:cantSplit/>
        </w:trPr>
        <w:tc>
          <w:tcPr>
            <w:tcW w:type="dxa" w:w="1701"/>
            <w:vAlign w:val="center"/>
            <w:shd w:fill="F4F6F8"/>
            <w:tcMar>
              <w:top w:w="80" w:type="dxa"/>
              <w:bottom w:w="80" w:type="dxa"/>
              <w:left w:w="95" w:type="dxa"/>
              <w:right w:w="95" w:type="dxa"/>
            </w:tcMar>
          </w:tcPr>
          <w:p>
            <w:pPr>
              <w:spacing w:after="0" w:line="257" w:lineRule="auto"/>
            </w:pPr>
            <w:r>
              <w:rPr>
                <w:sz w:val="18"/>
              </w:rPr>
              <w:t>Tiền gửi</w:t>
            </w:r>
          </w:p>
        </w:tc>
        <w:tc>
          <w:tcPr>
            <w:tcW w:type="dxa" w:w="3969"/>
            <w:vAlign w:val="center"/>
            <w:shd w:fill="F4F6F8"/>
            <w:tcMar>
              <w:top w:w="80" w:type="dxa"/>
              <w:bottom w:w="80" w:type="dxa"/>
              <w:left w:w="95" w:type="dxa"/>
              <w:right w:w="95" w:type="dxa"/>
            </w:tcMar>
          </w:tcPr>
          <w:p>
            <w:pPr>
              <w:spacing w:after="0" w:line="257" w:lineRule="auto"/>
            </w:pPr>
            <w:r>
              <w:rPr>
                <w:sz w:val="18"/>
              </w:rPr>
              <w:t>Lãi suất theo ngân hàng, kỳ hạn, điều kiện áp dụng, rút trước hạn và đáo hạn.</w:t>
            </w:r>
          </w:p>
        </w:tc>
        <w:tc>
          <w:tcPr>
            <w:tcW w:type="dxa" w:w="3969"/>
            <w:vAlign w:val="center"/>
            <w:shd w:fill="F4F6F8"/>
            <w:tcMar>
              <w:top w:w="80" w:type="dxa"/>
              <w:bottom w:w="80" w:type="dxa"/>
              <w:left w:w="95" w:type="dxa"/>
              <w:right w:w="95" w:type="dxa"/>
            </w:tcMar>
          </w:tcPr>
          <w:p>
            <w:pPr>
              <w:spacing w:after="0" w:line="257" w:lineRule="auto"/>
            </w:pPr>
            <w:r>
              <w:rPr>
                <w:sz w:val="18"/>
              </w:rPr>
              <w:t>Biểu lãi suất chính thức hoặc đối tác có quyền cung cấp. Theo ngày hoặc khi thay đổi; hợp đồng hiện hữu giữ lãi đã xác định tới đáo hạn.</w:t>
            </w:r>
          </w:p>
        </w:tc>
      </w:tr>
      <w:tr>
        <w:trPr>
          <w:cantSplit/>
        </w:trPr>
        <w:tc>
          <w:tcPr>
            <w:tcW w:type="dxa" w:w="1701"/>
            <w:vAlign w:val="center"/>
            <w:shd w:fill="FFFFFF"/>
            <w:tcMar>
              <w:top w:w="80" w:type="dxa"/>
              <w:bottom w:w="80" w:type="dxa"/>
              <w:left w:w="95" w:type="dxa"/>
              <w:right w:w="95" w:type="dxa"/>
            </w:tcMar>
          </w:tcPr>
          <w:p>
            <w:pPr>
              <w:spacing w:after="0" w:line="257" w:lineRule="auto"/>
            </w:pPr>
            <w:r>
              <w:rPr>
                <w:sz w:val="18"/>
              </w:rPr>
              <w:t>Vàng / bạc</w:t>
            </w:r>
          </w:p>
        </w:tc>
        <w:tc>
          <w:tcPr>
            <w:tcW w:type="dxa" w:w="3969"/>
            <w:vAlign w:val="center"/>
            <w:shd w:fill="FFFFFF"/>
            <w:tcMar>
              <w:top w:w="80" w:type="dxa"/>
              <w:bottom w:w="80" w:type="dxa"/>
              <w:left w:w="95" w:type="dxa"/>
              <w:right w:w="95" w:type="dxa"/>
            </w:tcMar>
          </w:tcPr>
          <w:p>
            <w:pPr>
              <w:spacing w:after="0" w:line="257" w:lineRule="auto"/>
            </w:pPr>
            <w:r>
              <w:rPr>
                <w:sz w:val="18"/>
              </w:rPr>
              <w:t>Giá mua và bán theo đúng sản phẩm, đơn vị, địa điểm; premium, lưu giữ và phí.</w:t>
            </w:r>
          </w:p>
        </w:tc>
        <w:tc>
          <w:tcPr>
            <w:tcW w:type="dxa" w:w="3969"/>
            <w:vAlign w:val="center"/>
            <w:shd w:fill="FFFFFF"/>
            <w:tcMar>
              <w:top w:w="80" w:type="dxa"/>
              <w:bottom w:w="80" w:type="dxa"/>
              <w:left w:w="95" w:type="dxa"/>
              <w:right w:w="95" w:type="dxa"/>
            </w:tcMar>
          </w:tcPr>
          <w:p>
            <w:pPr>
              <w:spacing w:after="0" w:line="257" w:lineRule="auto"/>
            </w:pPr>
            <w:r>
              <w:rPr>
                <w:sz w:val="18"/>
              </w:rPr>
              <w:t>Bảng công bố SJC, PNJ, Phú Quý hoặc nguồn được cấp quyền. Theo ngày hoặc cập nhật trong ngày; không thay thế giá Việt Nam bằng giá thế giới quy đổi.</w:t>
            </w:r>
          </w:p>
        </w:tc>
      </w:tr>
      <w:tr>
        <w:trPr>
          <w:cantSplit/>
        </w:trPr>
        <w:tc>
          <w:tcPr>
            <w:tcW w:type="dxa" w:w="1701"/>
            <w:vAlign w:val="center"/>
            <w:shd w:fill="F4F6F8"/>
            <w:tcMar>
              <w:top w:w="80" w:type="dxa"/>
              <w:bottom w:w="80" w:type="dxa"/>
              <w:left w:w="95" w:type="dxa"/>
              <w:right w:w="95" w:type="dxa"/>
            </w:tcMar>
          </w:tcPr>
          <w:p>
            <w:pPr>
              <w:spacing w:after="0" w:line="257" w:lineRule="auto"/>
            </w:pPr>
            <w:r>
              <w:rPr>
                <w:sz w:val="18"/>
              </w:rPr>
              <w:t>Bất động sản</w:t>
            </w:r>
          </w:p>
        </w:tc>
        <w:tc>
          <w:tcPr>
            <w:tcW w:type="dxa" w:w="3969"/>
            <w:vAlign w:val="center"/>
            <w:shd w:fill="F4F6F8"/>
            <w:tcMar>
              <w:top w:w="80" w:type="dxa"/>
              <w:bottom w:w="80" w:type="dxa"/>
              <w:left w:w="95" w:type="dxa"/>
              <w:right w:w="95" w:type="dxa"/>
            </w:tcMar>
          </w:tcPr>
          <w:p>
            <w:pPr>
              <w:spacing w:after="0" w:line="257" w:lineRule="auto"/>
            </w:pPr>
            <w:r>
              <w:rPr>
                <w:sz w:val="18"/>
              </w:rPr>
              <w:t>Giá trị theo vùng và loại tài sản, tiền thuê ròng, chi phí sở hữu, nợ, thời gian bán.</w:t>
            </w:r>
          </w:p>
        </w:tc>
        <w:tc>
          <w:tcPr>
            <w:tcW w:type="dxa" w:w="3969"/>
            <w:vAlign w:val="center"/>
            <w:shd w:fill="F4F6F8"/>
            <w:tcMar>
              <w:top w:w="80" w:type="dxa"/>
              <w:bottom w:w="80" w:type="dxa"/>
              <w:left w:w="95" w:type="dxa"/>
              <w:right w:w="95" w:type="dxa"/>
            </w:tcMar>
          </w:tcPr>
          <w:p>
            <w:pPr>
              <w:spacing w:after="0" w:line="257" w:lineRule="auto"/>
            </w:pPr>
            <w:r>
              <w:rPr>
                <w:sz w:val="18"/>
              </w:rPr>
              <w:t>Bộ Xây dựng, đơn vị nghiên cứu hoặc thẩm định, giao dịch so sánh. Theo quý và sự kiện; giá trị là khoảng ước tính.</w:t>
            </w:r>
          </w:p>
        </w:tc>
      </w:tr>
      <w:tr>
        <w:trPr>
          <w:cantSplit/>
        </w:trPr>
        <w:tc>
          <w:tcPr>
            <w:tcW w:type="dxa" w:w="1701"/>
            <w:vAlign w:val="center"/>
            <w:shd w:fill="FFFFFF"/>
            <w:tcMar>
              <w:top w:w="80" w:type="dxa"/>
              <w:bottom w:w="80" w:type="dxa"/>
              <w:left w:w="95" w:type="dxa"/>
              <w:right w:w="95" w:type="dxa"/>
            </w:tcMar>
          </w:tcPr>
          <w:p>
            <w:pPr>
              <w:spacing w:after="0" w:line="257" w:lineRule="auto"/>
            </w:pPr>
            <w:r>
              <w:rPr>
                <w:sz w:val="18"/>
              </w:rPr>
              <w:t>Lạm phát / vĩ mô</w:t>
            </w:r>
          </w:p>
        </w:tc>
        <w:tc>
          <w:tcPr>
            <w:tcW w:type="dxa" w:w="3969"/>
            <w:vAlign w:val="center"/>
            <w:shd w:fill="FFFFFF"/>
            <w:tcMar>
              <w:top w:w="80" w:type="dxa"/>
              <w:bottom w:w="80" w:type="dxa"/>
              <w:left w:w="95" w:type="dxa"/>
              <w:right w:w="95" w:type="dxa"/>
            </w:tcMar>
          </w:tcPr>
          <w:p>
            <w:pPr>
              <w:spacing w:after="0" w:line="257" w:lineRule="auto"/>
            </w:pPr>
            <w:r>
              <w:rPr>
                <w:sz w:val="18"/>
              </w:rPr>
              <w:t>CPI, tỷ giá, lãi suất và các thành phần chi liên quan hộ gia đình.</w:t>
            </w:r>
          </w:p>
        </w:tc>
        <w:tc>
          <w:tcPr>
            <w:tcW w:type="dxa" w:w="3969"/>
            <w:vAlign w:val="center"/>
            <w:shd w:fill="FFFFFF"/>
            <w:tcMar>
              <w:top w:w="80" w:type="dxa"/>
              <w:bottom w:w="80" w:type="dxa"/>
              <w:left w:w="95" w:type="dxa"/>
              <w:right w:w="95" w:type="dxa"/>
            </w:tcMar>
          </w:tcPr>
          <w:p>
            <w:pPr>
              <w:spacing w:after="0" w:line="257" w:lineRule="auto"/>
            </w:pPr>
            <w:r>
              <w:rPr>
                <w:sz w:val="18"/>
              </w:rPr>
              <w:t>Cục Thống kê, Ngân hàng Nhà nước và ngân hàng. CPI theo tháng; dữ liệu khác theo lịch công bố.</w:t>
            </w:r>
          </w:p>
        </w:tc>
      </w:tr>
    </w:tbl>
    <w:p>
      <w:pPr>
        <w:spacing w:after="0"/>
      </w:pPr>
      <w:r>
        <w:rPr>
          <w:b w:val="0"/>
        </w:rPr>
      </w:r>
    </w:p>
    <w:p>
      <w:pPr>
        <w:pStyle w:val="Heading2"/>
      </w:pPr>
      <w:r>
        <w:t>Thời gian thực phục vụ đúng việc</w:t>
      </w:r>
    </w:p>
    <w:p>
      <w:r>
        <w:rPr>
          <w:b w:val="0"/>
        </w:rPr>
        <w:t>SSI công bố API dữ liệu cuối ngày và thời gian thực; hướng dẫn kết nối dùng ConsumerID và khóa truy cập. FiinGroup công bố dịch vụ API Datafeed. Đây là nguồn có thể tích hợp, không phải xác nhận mọi dữ liệu được phép tái phân phối hoặc sử dụng thương mại trong An Hưu. Cần chốt quyền sử dụng, độ phủ lịch sử, dữ liệu điều chỉnh và chi phí trước khi kết nối.</w:t>
      </w:r>
    </w:p>
    <w:p>
      <w:r>
        <w:rPr>
          <w:b w:val="0"/>
        </w:rPr>
        <w:t>Giá mới giúp định giá, phát hiện lệch tỷ trọng và cảnh báo thanh khoản. Tái xét phân bổ chiến lược có thể theo quý hoặc khi hoàn cảnh đổi, thay vì chạy lại mục tiêu chỉ vì một nhịp giá. Hệ thống phải lưu nguồn, thời điểm, đơn vị, chất lượng, phiên bản và quyền sử dụng từng tập dữ liệu.</w:t>
      </w:r>
    </w:p>
    <w:p>
      <w:r>
        <w:br w:type="page"/>
      </w:r>
    </w:p>
    <w:p>
      <w:pPr>
        <w:pStyle w:val="Heading1"/>
      </w:pPr>
      <w:r>
        <w:t>Tổng lợi nhuận và chất lượng dữ liệu</w:t>
      </w:r>
    </w:p>
    <w:p>
      <w:pPr>
        <w:spacing w:before="60" w:after="180"/>
        <w:ind w:left="170"/>
      </w:pPr>
      <w:r>
        <w:rPr>
          <w:b/>
          <w:sz w:val="20"/>
        </w:rPr>
        <w:t>R_t = (P_t - P_(t-1) + D_t) / P_(t-1)</w:t>
      </w:r>
    </w:p>
    <w:p>
      <w:r>
        <w:rPr>
          <w:b w:val="0"/>
        </w:rPr>
        <w:t>Công thức áp dụng cho một đơn vị sở hữu nhất quán, với D_t là phân phối tiền trong kỳ; phải xử lý chia tách và quyền trước khi tính. Nếu dùng chuỗi tổng lợi nhuận hoặc giá đã điều chỉnh cả phân phối, không cộng cổ tức lần nữa. Tổng lợi nhuận cần ghi rõ đã hoặc chưa trừ thuế và phí.</w:t>
      </w:r>
    </w:p>
    <w:p>
      <w:pPr>
        <w:spacing w:before="60" w:after="180"/>
        <w:ind w:left="170"/>
      </w:pPr>
      <w:r>
        <w:rPr>
          <w:b/>
          <w:sz w:val="20"/>
        </w:rPr>
        <w:t>CAGR = [Tích các (1 + R_t)]^(1 / số năm) - 1</w:t>
      </w:r>
    </w:p>
    <w:p>
      <w:r>
        <w:rPr>
          <w:b w:val="0"/>
        </w:rPr>
        <w:t>CAGR mô tả tốc độ tăng trưởng thực tế của lịch sử. Trung bình lợi nhuận từng kỳ là đại lượng khác. Tính tổng lợi nhuận từng năm để giải thích cho người dùng; dùng chuỗi tháng hoặc tuần phù hợp để ước lượng biến động, tương quan và mô phỏng. Không chỉ dùng 5 đến 10 quan sát năm để ước lượng nhiều tham số.</w:t>
      </w:r>
    </w:p>
    <w:p>
      <w:pPr>
        <w:pStyle w:val="Heading2"/>
      </w:pPr>
      <w:r>
        <w:t>Giá vốn và thanh lý tài sản vật chất</w:t>
      </w:r>
    </w:p>
    <w:p>
      <w:pPr>
        <w:spacing w:before="60" w:after="180"/>
        <w:ind w:left="170"/>
      </w:pPr>
      <w:r>
        <w:rPr>
          <w:b/>
          <w:sz w:val="20"/>
        </w:rPr>
        <w:t>Lợi nhuận thanh lý vàng / bạc = Giá mua vào của đơn vị kinh doanh khi bán / Giá bán ra khi khách mua - 1</w:t>
      </w:r>
    </w:p>
    <w:p>
      <w:r>
        <w:rPr>
          <w:b w:val="0"/>
        </w:rPr>
        <w:t>Đây là lợi nhuận của một giao dịch mua rồi bán, trước chi phí bổ sung. Dữ liệu mô hình nên tách biến động giá tham chiếu và chi phí giao dịch; không trừ toàn bộ chênh lệch mua bán ở mọi tháng khi người dùng vẫn giữ tài sản. Định giá khả năng rút tiền cần dùng mức giá thực sự có thể bán và thời gian thực hiện.</w:t>
      </w:r>
    </w:p>
    <w:p>
      <w:pPr>
        <w:pStyle w:val="Heading2"/>
      </w:pPr>
      <w:r>
        <w:t>Các lỗi làm kết quả đẹp giả tạo</w:t>
      </w:r>
    </w:p>
    <w:p>
      <w:r>
        <w:rPr>
          <w:b w:val="0"/>
        </w:rPr>
        <w:t>Giữ lại cổ phiếu hủy niêm yết trong lịch sử phù hợp; dùng dữ liệu được biết tại thời điểm quyết định; không chọn cửa sổ dự báo sau khi đã nhìn kết quả. Tài sản ít giao dịch và giá thẩm định có thể làm biến động thấp giả tạo. Phải kiểm tra cả giả định giảm giá, chiết khấu thanh lý và thời gian bán.</w:t>
      </w:r>
    </w:p>
    <w:p>
      <w:r>
        <w:rPr>
          <w:b w:val="0"/>
        </w:rPr>
        <w:t>Giữ ngày công bố và ngày dữ liệu có hiệu lực riêng nhau. Một báo cáo quý không được coi là đã biết từ đầu quý. Giá chào bất động sản không được tự nhận là giá giao dịch thực hoặc là chuỗi tổng lợi nhuận đại diện toàn quốc.</w:t>
      </w:r>
    </w:p>
    <w:p>
      <w:pPr>
        <w:pStyle w:val="Heading2"/>
      </w:pPr>
      <w:r>
        <w:t>Lợi suất trong VND và sức mua</w:t>
      </w:r>
    </w:p>
    <w:p>
      <w:pPr>
        <w:spacing w:before="60" w:after="180"/>
        <w:ind w:left="170"/>
      </w:pPr>
      <w:r>
        <w:rPr>
          <w:b/>
          <w:sz w:val="20"/>
        </w:rPr>
        <w:t>1 + R_VND = (1 + R_ngoại_tệ) × (1 + thay đổi tỷ giá)</w:t>
      </w:r>
    </w:p>
    <w:p>
      <w:pPr>
        <w:spacing w:before="60" w:after="180"/>
        <w:ind w:left="170"/>
      </w:pPr>
      <w:r>
        <w:rPr>
          <w:b/>
          <w:sz w:val="20"/>
        </w:rPr>
        <w:t>R_thực = (1 + R_danh_nghĩa) / (1 + lạm phát) - 1</w:t>
      </w:r>
    </w:p>
    <w:p>
      <w:r>
        <w:rPr>
          <w:b w:val="0"/>
        </w:rPr>
        <w:t>Dùng đồng tiền của nghĩa vụ chi tiêu. Mô phỏng có thể tăng dòng chi theo lạm phát và dùng lợi suất danh nghĩa, hoặc giữ dòng chi theo sức mua và dùng lợi suất thực. Không áp cả hai cách điều chỉnh lạm phát cho cùng một dòng tiền.</w:t>
      </w:r>
    </w:p>
    <w:p>
      <w:r>
        <w:br w:type="page"/>
      </w:r>
    </w:p>
    <w:p>
      <w:pPr>
        <w:pStyle w:val="Heading1"/>
      </w:pPr>
      <w:r>
        <w:t>Ước lượng và tối ưu danh mục</w:t>
      </w:r>
    </w:p>
    <w:p>
      <w:pPr>
        <w:pStyle w:val="Heading2"/>
      </w:pPr>
      <w:r>
        <w:t>Kỳ vọng phải có căn cứ</w:t>
      </w:r>
    </w:p>
    <w:p>
      <w:pPr>
        <w:spacing w:before="60" w:after="180"/>
        <w:ind w:left="170"/>
      </w:pPr>
      <w:r>
        <w:rPr>
          <w:b/>
          <w:sz w:val="20"/>
        </w:rPr>
        <w:t>Mu_ước_lượng = a × Mu_lịch_sử + (1 - a) × Mu_nền</w:t>
      </w:r>
    </w:p>
    <w:p>
      <w:r>
        <w:rPr>
          <w:b w:val="0"/>
        </w:rPr>
        <w:t>Đây là một dạng co ước lượng đơn giản. Mu_nền lấy từ phương pháp dự báo được ghi lại, ví dụ dòng thu của tài sản, lợi suất đường cong hiện tại, phần bù rủi ro và giả định định giá. Hệ số a được hiệu chỉnh và kiểm tra ngoài mẫu; không đặt lớn chỉ vì một thị trường vừa tăng mạnh. Kỳ vọng, hiệp phương sai và kỳ hạn phải dùng cùng đơn vị.</w:t>
      </w:r>
    </w:p>
    <w:p>
      <w:pPr>
        <w:pStyle w:val="Heading2"/>
      </w:pPr>
      <w:r>
        <w:t>Ổn định hiệp phương sai</w:t>
      </w:r>
    </w:p>
    <w:p>
      <w:pPr>
        <w:spacing w:before="60" w:after="180"/>
        <w:ind w:left="170"/>
      </w:pPr>
      <w:r>
        <w:rPr>
          <w:b/>
          <w:sz w:val="20"/>
        </w:rPr>
        <w:t>Sigma_shrink = (1 - lambda) × Sigma_mẫu + lambda × Sigma_đích</w:t>
      </w:r>
    </w:p>
    <w:p>
      <w:r>
        <w:rPr>
          <w:b w:val="0"/>
        </w:rPr>
        <w:t>Ledoit-Wolf là một phương pháp ước lượng mức co để cải thiện ma trận hiệp phương sai. Khi có tiền gửi giữ tới đáo hạn, vị thế bất động sản cố định hoặc công cụ không được định giá thường xuyên, cần mô hình riêng; không ép mọi chuỗi vào một giả định giao dịch và biến động giống nhau.</w:t>
      </w:r>
    </w:p>
    <w:p>
      <w:pPr>
        <w:pStyle w:val="Heading2"/>
      </w:pPr>
      <w:r>
        <w:t>Tạo các phương án có ràng buộc</w:t>
      </w:r>
    </w:p>
    <w:p>
      <w:pPr>
        <w:spacing w:before="60" w:after="180"/>
        <w:ind w:left="170"/>
      </w:pPr>
      <w:r>
        <w:rPr>
          <w:b/>
          <w:sz w:val="20"/>
        </w:rPr>
        <w:t>Min_w {gamma/2 × wᵀSigma_shrink w - Muᵀw + kappa × sqrt(wᵀUw) + eta × Tổng |w - w_hiện_tại|}</w:t>
      </w:r>
    </w:p>
    <w:p>
      <w:r>
        <w:rPr>
          <w:b w:val="0"/>
        </w:rPr>
        <w:t>w là tỷ trọng; gamma phản ánh mức phạt biến động; U là bất định của kỳ vọng; kappa phạt sai số tham số; eta phạt thay đổi tỷ trọng. Dạng này kết hợp lợi nhuận kỳ vọng, rủi ro, sai số ước lượng và độ ổn định. Chi phí giao dịch trong mô phỏng vẫn phải được tính riêng theo giao dịch thực; tránh tính cùng một chi phí hai lần.</w:t>
      </w:r>
    </w:p>
    <w:p>
      <w:r>
        <w:rPr>
          <w:b w:val="0"/>
        </w:rPr>
        <w:t>Ràng buộc: tổng tỷ trọng bằng 1; không âm; không vay đầu tư trong phiên bản đầu; giới hạn mỗi loại tài sản và tổ chức phát hành; đủ tiền cho nghĩa vụ gần hạn; công cụ có thể mua; phần không thanh khoản không vượt khả năng giữ; vị thế khó bán được giữ theo ràng buộc thực tế. Lô tối thiểu cần xử lý bằng bước thực thi hoặc tối ưu có biến rời rạc.</w:t>
      </w:r>
    </w:p>
    <w:p>
      <w:pPr>
        <w:pStyle w:val="Heading2"/>
      </w:pPr>
      <w:r>
        <w:t>Vai trò của Black Litterman</w:t>
      </w:r>
    </w:p>
    <w:p>
      <w:r>
        <w:rPr>
          <w:b w:val="0"/>
        </w:rPr>
        <w:t>Black-Litterman có thể bổ sung sau để phối hợp kỳ vọng nền và nhận định thị trường với mức bất định của từng nhận định. Không nên gọi một tỷ trọng mẫu tùy chọn là danh mục cân bằng thị trường. Nếu thiếu dữ liệu hoặc cơ sở cho nhận định, giữ kỳ vọng nền và khoảng bất định rộng hơn. Đây là công cụ ước lượng đầu vào, không tự giải quyết thời hạn nghỉ hưu hoặc thiếu thanh khoản.</w:t>
      </w:r>
    </w:p>
    <w:p>
      <w:r>
        <w:rPr>
          <w:b w:val="0"/>
        </w:rPr>
        <w:t>Phiên bản đầu có thể dùng danh mục nền có giới hạn và mô phỏng. Khi dữ liệu đủ chất lượng, thêm tối ưu bền vững để tạo phương án. Không cần mô hình học sâu dự đoán giá để bắt đầu cung cấp kế hoạch hữu ích.</w:t>
      </w:r>
    </w:p>
    <w:p>
      <w:r>
        <w:br w:type="page"/>
      </w:r>
    </w:p>
    <w:p>
      <w:pPr>
        <w:pStyle w:val="Heading1"/>
      </w:pPr>
      <w:r>
        <w:t>Mô phỏng và chọn danh mục theo mục tiêu</w:t>
      </w:r>
    </w:p>
    <w:p>
      <w:r>
        <w:rPr>
          <w:b w:val="0"/>
        </w:rPr>
        <w:t>Sinh nhiều đường đi đồng thời cho tổng lợi nhuận tài sản và lạm phát. Với lịch sử thích hợp, có thể lấy mẫu theo các khối 12 đến 36 tháng từ toàn bộ véc-tơ dữ liệu, giữ tương quan giữa các tài sản và một phần phụ thuộc theo thời gian. Những độ dài này là phạm vi thử nghiệm, cần kiểm tra độ nhạy. Bổ sung cú sốc và bất định tham số vì việc lặp lại lịch sử không bao phủ mọi tương lai.</w:t>
      </w:r>
    </w:p>
    <w:p>
      <w:pPr>
        <w:spacing w:before="60" w:after="180"/>
        <w:ind w:left="170"/>
      </w:pPr>
      <w:r>
        <w:rPr>
          <w:b/>
          <w:sz w:val="20"/>
        </w:rPr>
        <w:t>A_(m+1) = (A_m - C_m - F_m - K_m) × (1 + R_p,m) + S_m</w:t>
      </w:r>
    </w:p>
    <w:p>
      <w:r>
        <w:rPr>
          <w:b w:val="0"/>
        </w:rPr>
        <w:t>Phương trình minh họa rút chi và phí đầu tháng, góp cuối tháng; R_p,m dùng tỷ trọng đầu kỳ nhất quán. C_m là chi ròng ngoài quỹ, F_m là phí tư vấn, K_m là chi phí thực thi. Phân phối nằm trong tổng lợi nhuận không được cộng lại. Với vị thế thực, cần sổ tài sản, lịch đáo hạn, giá vốn và khả năng bán; phương trình một số dư không đủ cho tài sản khóa hoặc bất động sản.</w:t>
      </w:r>
    </w:p>
    <w:p>
      <w:r>
        <w:rPr>
          <w:b w:val="0"/>
        </w:rPr>
        <w:t>Nếu tiền bán hợp lệ và nguồn thu vẫn không đủ cho chi thiết yếu, ghi nhận thiếu hụt tại tháng đó. Không cho số dư âm sinh lãi như thể có thể vay vô hạn. Việc có tiền trở lại sau đó không xóa một lần không tài trợ được nghĩa vụ trước đó.</w:t>
      </w:r>
    </w:p>
    <w:p>
      <w:pPr>
        <w:spacing w:before="60" w:after="180"/>
        <w:ind w:left="170"/>
      </w:pPr>
      <w:r>
        <w:rPr>
          <w:b/>
          <w:sz w:val="20"/>
        </w:rPr>
        <w:t>p_thiết_yếu = Số đường đi tài trợ đủ mọi khoản thiết yếu / Tổng số đường đi</w:t>
      </w:r>
    </w:p>
    <w:p>
      <w:r>
        <w:rPr>
          <w:b w:val="0"/>
        </w:rPr>
        <w:t>Đánh giá riêng mục tiêu thiết yếu, mục tiêu có thể điều chỉnh và di sản. Chỉ gọi một đường đi thành công nếu thực hiện đủ lịch nghĩa vụ, giới hạn thanh khoản và điều kiện cuối kỳ. Có thể đặt mức yêu cầu nội bộ 90% hoặc 95% theo mục tiêu, nhưng đây là ngưỡng mô hình, không phải bảo đảm từ thị trường.</w:t>
      </w:r>
    </w:p>
    <w:p>
      <w:pPr>
        <w:spacing w:before="60" w:after="180"/>
        <w:ind w:left="170"/>
      </w:pPr>
      <w:r>
        <w:rPr>
          <w:b/>
          <w:sz w:val="20"/>
        </w:rPr>
        <w:t>L_s = Tổng thiếu hụt chi thiết yếu trên đường s quy về giá hôm nay</w:t>
      </w:r>
    </w:p>
    <w:p>
      <w:pPr>
        <w:spacing w:before="60" w:after="180"/>
        <w:ind w:left="170"/>
      </w:pPr>
      <w:r>
        <w:rPr>
          <w:b/>
          <w:sz w:val="20"/>
        </w:rPr>
        <w:t>CVaR_alpha(L) = Min_z {z + [1 / ((1 - alpha)N)] × Tổng max(L_s - z, 0)}</w:t>
      </w:r>
    </w:p>
    <w:p>
      <w:r>
        <w:rPr>
          <w:b w:val="0"/>
        </w:rPr>
        <w:t>CVaR đo mức thiếu hụt trung bình ở phần xấu của phân phối, ví dụ 5% đường đi xấu nhất khi alpha = 95%. L dùng cùng một quy ước sức mua để so sánh các phương án. CVaR thiếu hụt nghỉ hưu có ý nghĩa khác với CVaR lợi nhuận một tháng.</w:t>
      </w:r>
    </w:p>
    <w:p>
      <w:pPr>
        <w:pStyle w:val="Heading2"/>
      </w:pPr>
      <w:r>
        <w:t>Quy tắc lựa chọn</w:t>
      </w:r>
    </w:p>
    <w:p>
      <w:r>
        <w:rPr>
          <w:b w:val="0"/>
        </w:rPr>
        <w:t>Loại phương án vi phạm ràng buộc. Trong những phương án đạt ngưỡng tài trợ thiết yếu và các mục tiêu ưu tiên, chọn phương án có phần thiếu xấu và mức thay đổi danh mục thấp hơn theo chính sách công khai. Nếu không có phương án đạt yêu cầu, trả lại trạng thái chưa đủ cùng các thay đổi có thể thực hiện. Không chỉ lấy danh mục có Sharpe cao nhất.</w:t>
      </w:r>
    </w:p>
    <w:p>
      <w:r>
        <w:br w:type="page"/>
      </w:r>
    </w:p>
    <w:p>
      <w:pPr>
        <w:pStyle w:val="Heading1"/>
      </w:pPr>
      <w:r>
        <w:t>Phí dịch vụ và tái cân bằng</w:t>
      </w:r>
    </w:p>
    <w:p>
      <w:pPr>
        <w:pStyle w:val="Heading2"/>
      </w:pPr>
      <w:r>
        <w:t>Thu phí theo phạm vi tài sản tư vấn</w:t>
      </w:r>
    </w:p>
    <w:p>
      <w:pPr>
        <w:spacing w:before="60" w:after="180"/>
        <w:ind w:left="170"/>
      </w:pPr>
      <w:r>
        <w:rPr>
          <w:b/>
          <w:sz w:val="20"/>
        </w:rPr>
        <w:t>Phí kỳ = Tỷ lệ phí năm × Giá trị tài sản thuộc phạm vi tư vấn bình quân kỳ × phần năm của kỳ</w:t>
      </w:r>
    </w:p>
    <w:p>
      <w:r>
        <w:rPr>
          <w:b w:val="0"/>
        </w:rPr>
        <w:t>Hợp đồng cần xác định tài sản nào nằm trong phạm vi, cách định giá và lịch thanh toán. Ví dụ 0,5% một năm trên 2 tỷ đồng tương ứng 10 triệu đồng một năm nếu giá trị không đổi. Đây là mức minh họa để tính chi phí, không phải đề xuất giá bán đã được kiểm chứng.</w:t>
      </w:r>
    </w:p>
    <w:p>
      <w:r>
        <w:rPr>
          <w:b w:val="0"/>
        </w:rPr>
        <w:t>Phí được đưa vào dòng tiền và đánh giá kế hoạch. Phí quỹ đã nằm trong NAV không được trừ lại; phí tư vấn An Hưu, thuế, phí giao dịch, chênh lệch mua bán và chi phí khác được xử lý theo nguồn dữ liệu và thời điểm thực tế. Khi khách trả phí từ thu nhập ngoài quỹ, trừ ở ngân sách đó thay vì trừ lại trong tài sản.</w:t>
      </w:r>
    </w:p>
    <w:p>
      <w:r>
        <w:rPr>
          <w:b w:val="0"/>
        </w:rPr>
        <w:t>Doanh thu theo tài sản tư vấn vẫn có thể tạo động lực giữ tài sản để tính phí. Thuật toán cần so sánh cả trả nợ, tăng dự phòng và giữ công cụ chi phí thấp nếu chúng giúp khách đạt mục tiêu tốt hơn. Không mặc định khuyến nghị đầu tư nhiều hơn luôn đem lại kết quả tốt hơn.</w:t>
      </w:r>
    </w:p>
    <w:p>
      <w:pPr>
        <w:pStyle w:val="Heading2"/>
      </w:pPr>
      <w:r>
        <w:t>Chính sách tái cân bằng</w:t>
      </w:r>
    </w:p>
    <w:p>
      <w:pPr>
        <w:spacing w:before="60" w:after="180"/>
        <w:ind w:left="170"/>
      </w:pPr>
      <w:r>
        <w:rPr>
          <w:b/>
          <w:sz w:val="20"/>
        </w:rPr>
        <w:t>Độ lệch_i = Tỷ trọng thực tế_i - Tỷ trọng mục tiêu_i</w:t>
      </w:r>
    </w:p>
    <w:p>
      <w:r>
        <w:rPr>
          <w:b w:val="0"/>
        </w:rPr>
        <w:t>Một chính sách thử nghiệm có thể xét khi độ lệch tuyệt đối vượt 5 điểm phần trăm, hoặc vượt một ngưỡng tương đối phù hợp từng loại tài sản. Trước hết dùng tiền góp mới và dòng đáo hạn để giảm lệch; sau đó mới tính giao dịch bán mua và chi phí. Không hứa tái cân bằng luôn tăng lợi nhuận.</w:t>
      </w:r>
    </w:p>
    <w:p>
      <w:r>
        <w:rPr>
          <w:b w:val="0"/>
        </w:rPr>
        <w:t>Lịch sử quyết định phải lưu tỷ trọng cũ, mới, giả định, mục tiêu, nguyên nhân, tác động dự kiến và chi phí. Cú sốc thanh khoản hoặc sự kiện gia đình có thể yêu cầu xét lại sớm. Đề xuất trên phần mềm được phân biệt với quyền quyết định và đặt lệnh theo phạm vi pháp lý của dịch vụ.</w:t>
      </w:r>
    </w:p>
    <w:p>
      <w:pPr>
        <w:pStyle w:val="Heading2"/>
      </w:pPr>
      <w:r>
        <w:t>Giảm rủi ro theo nhu cầu rút tiền</w:t>
      </w:r>
    </w:p>
    <w:p>
      <w:r>
        <w:rPr>
          <w:b w:val="0"/>
        </w:rPr>
        <w:t>Khi gần nghỉ hưu, tăng phần tài trợ các năm đầu thiếu thu nhập và thu hẹp rủi ro ở khoản sắp dùng. Vẫn đánh giá phần tiền cần cho các năm xa vì lạm phát và tuổi thọ kéo dài. Lịch điều chỉnh dựa trên thời điểm chi, mức tài trợ và khả năng chịu lỗ; không giảm cổ phiếu theo một công thức tuổi duy nhất.</w:t>
      </w:r>
    </w:p>
    <w:p>
      <w:r>
        <w:br w:type="page"/>
      </w:r>
    </w:p>
    <w:p>
      <w:pPr>
        <w:pStyle w:val="Heading1"/>
      </w:pPr>
      <w:r>
        <w:t>Các kịch bản bất lợi cần kiểm 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628"/>
        <w:gridCol w:w="3685"/>
      </w:tblGrid>
      <w:tr>
        <w:trPr>
          <w:cantSplit/>
          <w:tblHeader/>
        </w:trPr>
        <w:tc>
          <w:tcPr>
            <w:tcW w:type="dxa" w:w="2324"/>
            <w:vAlign w:val="center"/>
            <w:shd w:fill="334155"/>
            <w:tcMar>
              <w:top w:w="80" w:type="dxa"/>
              <w:bottom w:w="80" w:type="dxa"/>
              <w:left w:w="95" w:type="dxa"/>
              <w:right w:w="95" w:type="dxa"/>
            </w:tcMar>
          </w:tcPr>
          <w:p>
            <w:pPr>
              <w:spacing w:after="0" w:line="257" w:lineRule="auto"/>
            </w:pPr>
            <w:r>
              <w:rPr>
                <w:b/>
                <w:color w:val="FFFFFF"/>
                <w:sz w:val="18"/>
              </w:rPr>
              <w:t>Kịch bản</w:t>
            </w:r>
          </w:p>
        </w:tc>
        <w:tc>
          <w:tcPr>
            <w:tcW w:type="dxa" w:w="3628"/>
            <w:vAlign w:val="center"/>
            <w:shd w:fill="334155"/>
            <w:tcMar>
              <w:top w:w="80" w:type="dxa"/>
              <w:bottom w:w="80" w:type="dxa"/>
              <w:left w:w="95" w:type="dxa"/>
              <w:right w:w="95" w:type="dxa"/>
            </w:tcMar>
          </w:tcPr>
          <w:p>
            <w:pPr>
              <w:spacing w:after="0" w:line="257" w:lineRule="auto"/>
            </w:pPr>
            <w:r>
              <w:rPr>
                <w:b/>
                <w:color w:val="FFFFFF"/>
                <w:sz w:val="18"/>
              </w:rPr>
              <w:t>Biến thay đổi</w:t>
            </w:r>
          </w:p>
        </w:tc>
        <w:tc>
          <w:tcPr>
            <w:tcW w:type="dxa" w:w="3685"/>
            <w:vAlign w:val="center"/>
            <w:shd w:fill="334155"/>
            <w:tcMar>
              <w:top w:w="80" w:type="dxa"/>
              <w:bottom w:w="80" w:type="dxa"/>
              <w:left w:w="95" w:type="dxa"/>
              <w:right w:w="95" w:type="dxa"/>
            </w:tcMar>
          </w:tcPr>
          <w:p>
            <w:pPr>
              <w:spacing w:after="0" w:line="257" w:lineRule="auto"/>
            </w:pPr>
            <w:r>
              <w:rPr>
                <w:b/>
                <w:color w:val="FFFFFF"/>
                <w:sz w:val="18"/>
              </w:rPr>
              <w:t>Điều cần đo</w:t>
            </w:r>
          </w:p>
        </w:tc>
      </w:tr>
      <w:tr>
        <w:trPr>
          <w:cantSplit/>
        </w:trPr>
        <w:tc>
          <w:tcPr>
            <w:tcW w:type="dxa" w:w="2324"/>
            <w:vAlign w:val="center"/>
            <w:shd w:fill="FFFFFF"/>
            <w:tcMar>
              <w:top w:w="80" w:type="dxa"/>
              <w:bottom w:w="80" w:type="dxa"/>
              <w:left w:w="95" w:type="dxa"/>
              <w:right w:w="95" w:type="dxa"/>
            </w:tcMar>
          </w:tcPr>
          <w:p>
            <w:pPr>
              <w:spacing w:after="0" w:line="257" w:lineRule="auto"/>
            </w:pPr>
            <w:r>
              <w:rPr>
                <w:sz w:val="18"/>
              </w:rPr>
              <w:t>Lạm phát cao kéo dài</w:t>
            </w:r>
          </w:p>
        </w:tc>
        <w:tc>
          <w:tcPr>
            <w:tcW w:type="dxa" w:w="3628"/>
            <w:vAlign w:val="center"/>
            <w:shd w:fill="FFFFFF"/>
            <w:tcMar>
              <w:top w:w="80" w:type="dxa"/>
              <w:bottom w:w="80" w:type="dxa"/>
              <w:left w:w="95" w:type="dxa"/>
              <w:right w:w="95" w:type="dxa"/>
            </w:tcMar>
          </w:tcPr>
          <w:p>
            <w:pPr>
              <w:spacing w:after="0" w:line="257" w:lineRule="auto"/>
            </w:pPr>
            <w:r>
              <w:rPr>
                <w:sz w:val="18"/>
              </w:rPr>
              <w:t>CPI và chi y tế tăng; lãi tiền gửi mới thay đổi theo kịch bản.</w:t>
            </w:r>
          </w:p>
        </w:tc>
        <w:tc>
          <w:tcPr>
            <w:tcW w:type="dxa" w:w="3685"/>
            <w:vAlign w:val="center"/>
            <w:shd w:fill="FFFFFF"/>
            <w:tcMar>
              <w:top w:w="80" w:type="dxa"/>
              <w:bottom w:w="80" w:type="dxa"/>
              <w:left w:w="95" w:type="dxa"/>
              <w:right w:w="95" w:type="dxa"/>
            </w:tcMar>
          </w:tcPr>
          <w:p>
            <w:pPr>
              <w:spacing w:after="0" w:line="257" w:lineRule="auto"/>
            </w:pPr>
            <w:r>
              <w:rPr>
                <w:sz w:val="18"/>
              </w:rPr>
              <w:t>Sức mua và phần thiếu thiết yếu; không mặc định mọi tài sản bảo vệ được lạm phát.</w:t>
            </w:r>
          </w:p>
        </w:tc>
      </w:tr>
      <w:tr>
        <w:trPr>
          <w:cantSplit/>
        </w:trPr>
        <w:tc>
          <w:tcPr>
            <w:tcW w:type="dxa" w:w="2324"/>
            <w:vAlign w:val="center"/>
            <w:shd w:fill="F4F6F8"/>
            <w:tcMar>
              <w:top w:w="80" w:type="dxa"/>
              <w:bottom w:w="80" w:type="dxa"/>
              <w:left w:w="95" w:type="dxa"/>
              <w:right w:w="95" w:type="dxa"/>
            </w:tcMar>
          </w:tcPr>
          <w:p>
            <w:pPr>
              <w:spacing w:after="0" w:line="257" w:lineRule="auto"/>
            </w:pPr>
            <w:r>
              <w:rPr>
                <w:sz w:val="18"/>
              </w:rPr>
              <w:t>Cổ phiếu giảm trước hoặc đầu hưu</w:t>
            </w:r>
          </w:p>
        </w:tc>
        <w:tc>
          <w:tcPr>
            <w:tcW w:type="dxa" w:w="3628"/>
            <w:vAlign w:val="center"/>
            <w:shd w:fill="F4F6F8"/>
            <w:tcMar>
              <w:top w:w="80" w:type="dxa"/>
              <w:bottom w:w="80" w:type="dxa"/>
              <w:left w:w="95" w:type="dxa"/>
              <w:right w:w="95" w:type="dxa"/>
            </w:tcMar>
          </w:tcPr>
          <w:p>
            <w:pPr>
              <w:spacing w:after="0" w:line="257" w:lineRule="auto"/>
            </w:pPr>
            <w:r>
              <w:rPr>
                <w:sz w:val="18"/>
              </w:rPr>
              <w:t>Cú sốc giá và tương quan, sau đó là một lịch hồi phục có bất định.</w:t>
            </w:r>
          </w:p>
        </w:tc>
        <w:tc>
          <w:tcPr>
            <w:tcW w:type="dxa" w:w="3685"/>
            <w:vAlign w:val="center"/>
            <w:shd w:fill="F4F6F8"/>
            <w:tcMar>
              <w:top w:w="80" w:type="dxa"/>
              <w:bottom w:w="80" w:type="dxa"/>
              <w:left w:w="95" w:type="dxa"/>
              <w:right w:w="95" w:type="dxa"/>
            </w:tcMar>
          </w:tcPr>
          <w:p>
            <w:pPr>
              <w:spacing w:after="0" w:line="257" w:lineRule="auto"/>
            </w:pPr>
            <w:r>
              <w:rPr>
                <w:sz w:val="18"/>
              </w:rPr>
              <w:t>Có phải bán khi giảm? Thời điểm thiếu tiền đầu tiên và mức giảm chi cần thiết.</w:t>
            </w:r>
          </w:p>
        </w:tc>
      </w:tr>
      <w:tr>
        <w:trPr>
          <w:cantSplit/>
        </w:trPr>
        <w:tc>
          <w:tcPr>
            <w:tcW w:type="dxa" w:w="2324"/>
            <w:vAlign w:val="center"/>
            <w:shd w:fill="FFFFFF"/>
            <w:tcMar>
              <w:top w:w="80" w:type="dxa"/>
              <w:bottom w:w="80" w:type="dxa"/>
              <w:left w:w="95" w:type="dxa"/>
              <w:right w:w="95" w:type="dxa"/>
            </w:tcMar>
          </w:tcPr>
          <w:p>
            <w:pPr>
              <w:spacing w:after="0" w:line="257" w:lineRule="auto"/>
            </w:pPr>
            <w:r>
              <w:rPr>
                <w:sz w:val="18"/>
              </w:rPr>
              <w:t>Lãi suất tăng</w:t>
            </w:r>
          </w:p>
        </w:tc>
        <w:tc>
          <w:tcPr>
            <w:tcW w:type="dxa" w:w="3628"/>
            <w:vAlign w:val="center"/>
            <w:shd w:fill="FFFFFF"/>
            <w:tcMar>
              <w:top w:w="80" w:type="dxa"/>
              <w:bottom w:w="80" w:type="dxa"/>
              <w:left w:w="95" w:type="dxa"/>
              <w:right w:w="95" w:type="dxa"/>
            </w:tcMar>
          </w:tcPr>
          <w:p>
            <w:pPr>
              <w:spacing w:after="0" w:line="257" w:lineRule="auto"/>
            </w:pPr>
            <w:r>
              <w:rPr>
                <w:sz w:val="18"/>
              </w:rPr>
              <w:t>Giá trái phiếu giảm theo duration; lãi tiền gửi mới khác hợp đồng cũ.</w:t>
            </w:r>
          </w:p>
        </w:tc>
        <w:tc>
          <w:tcPr>
            <w:tcW w:type="dxa" w:w="3685"/>
            <w:vAlign w:val="center"/>
            <w:shd w:fill="FFFFFF"/>
            <w:tcMar>
              <w:top w:w="80" w:type="dxa"/>
              <w:bottom w:w="80" w:type="dxa"/>
              <w:left w:w="95" w:type="dxa"/>
              <w:right w:w="95" w:type="dxa"/>
            </w:tcMar>
          </w:tcPr>
          <w:p>
            <w:pPr>
              <w:spacing w:after="0" w:line="257" w:lineRule="auto"/>
            </w:pPr>
            <w:r>
              <w:rPr>
                <w:sz w:val="18"/>
              </w:rPr>
              <w:t>Định giá, khả năng giữ đến đáo hạn và tiền có thể bán lấy ra.</w:t>
            </w:r>
          </w:p>
        </w:tc>
      </w:tr>
      <w:tr>
        <w:trPr>
          <w:cantSplit/>
        </w:trPr>
        <w:tc>
          <w:tcPr>
            <w:tcW w:type="dxa" w:w="2324"/>
            <w:vAlign w:val="center"/>
            <w:shd w:fill="F4F6F8"/>
            <w:tcMar>
              <w:top w:w="80" w:type="dxa"/>
              <w:bottom w:w="80" w:type="dxa"/>
              <w:left w:w="95" w:type="dxa"/>
              <w:right w:w="95" w:type="dxa"/>
            </w:tcMar>
          </w:tcPr>
          <w:p>
            <w:pPr>
              <w:spacing w:after="0" w:line="257" w:lineRule="auto"/>
            </w:pPr>
            <w:r>
              <w:rPr>
                <w:sz w:val="18"/>
              </w:rPr>
              <w:t>Rủi ro tín dụng</w:t>
            </w:r>
          </w:p>
        </w:tc>
        <w:tc>
          <w:tcPr>
            <w:tcW w:type="dxa" w:w="3628"/>
            <w:vAlign w:val="center"/>
            <w:shd w:fill="F4F6F8"/>
            <w:tcMar>
              <w:top w:w="80" w:type="dxa"/>
              <w:bottom w:w="80" w:type="dxa"/>
              <w:left w:w="95" w:type="dxa"/>
              <w:right w:w="95" w:type="dxa"/>
            </w:tcMar>
          </w:tcPr>
          <w:p>
            <w:pPr>
              <w:spacing w:after="0" w:line="257" w:lineRule="auto"/>
            </w:pPr>
            <w:r>
              <w:rPr>
                <w:sz w:val="18"/>
              </w:rPr>
              <w:t>Trái phiếu doanh nghiệp chậm trả, giảm giá hoặc tổn thất; độ tập trung từng bên.</w:t>
            </w:r>
          </w:p>
        </w:tc>
        <w:tc>
          <w:tcPr>
            <w:tcW w:type="dxa" w:w="3685"/>
            <w:vAlign w:val="center"/>
            <w:shd w:fill="F4F6F8"/>
            <w:tcMar>
              <w:top w:w="80" w:type="dxa"/>
              <w:bottom w:w="80" w:type="dxa"/>
              <w:left w:w="95" w:type="dxa"/>
              <w:right w:w="95" w:type="dxa"/>
            </w:tcMar>
          </w:tcPr>
          <w:p>
            <w:pPr>
              <w:spacing w:after="0" w:line="257" w:lineRule="auto"/>
            </w:pPr>
            <w:r>
              <w:rPr>
                <w:sz w:val="18"/>
              </w:rPr>
              <w:t>Thiếu thanh khoản và phần mất vốn; không lấy lãi coupon làm lợi suất chắc chắn.</w:t>
            </w:r>
          </w:p>
        </w:tc>
      </w:tr>
      <w:tr>
        <w:trPr>
          <w:cantSplit/>
        </w:trPr>
        <w:tc>
          <w:tcPr>
            <w:tcW w:type="dxa" w:w="2324"/>
            <w:vAlign w:val="center"/>
            <w:shd w:fill="FFFFFF"/>
            <w:tcMar>
              <w:top w:w="80" w:type="dxa"/>
              <w:bottom w:w="80" w:type="dxa"/>
              <w:left w:w="95" w:type="dxa"/>
              <w:right w:w="95" w:type="dxa"/>
            </w:tcMar>
          </w:tcPr>
          <w:p>
            <w:pPr>
              <w:spacing w:after="0" w:line="257" w:lineRule="auto"/>
            </w:pPr>
            <w:r>
              <w:rPr>
                <w:sz w:val="18"/>
              </w:rPr>
              <w:t>Kim loại quý giảm và spread tăng</w:t>
            </w:r>
          </w:p>
        </w:tc>
        <w:tc>
          <w:tcPr>
            <w:tcW w:type="dxa" w:w="3628"/>
            <w:vAlign w:val="center"/>
            <w:shd w:fill="FFFFFF"/>
            <w:tcMar>
              <w:top w:w="80" w:type="dxa"/>
              <w:bottom w:w="80" w:type="dxa"/>
              <w:left w:w="95" w:type="dxa"/>
              <w:right w:w="95" w:type="dxa"/>
            </w:tcMar>
          </w:tcPr>
          <w:p>
            <w:pPr>
              <w:spacing w:after="0" w:line="257" w:lineRule="auto"/>
            </w:pPr>
            <w:r>
              <w:rPr>
                <w:sz w:val="18"/>
              </w:rPr>
              <w:t>Giá vàng bạc giảm, chênh mua bán và điều kiện thu mua thay đổi.</w:t>
            </w:r>
          </w:p>
        </w:tc>
        <w:tc>
          <w:tcPr>
            <w:tcW w:type="dxa" w:w="3685"/>
            <w:vAlign w:val="center"/>
            <w:shd w:fill="FFFFFF"/>
            <w:tcMar>
              <w:top w:w="80" w:type="dxa"/>
              <w:bottom w:w="80" w:type="dxa"/>
              <w:left w:w="95" w:type="dxa"/>
              <w:right w:w="95" w:type="dxa"/>
            </w:tcMar>
          </w:tcPr>
          <w:p>
            <w:pPr>
              <w:spacing w:after="0" w:line="257" w:lineRule="auto"/>
            </w:pPr>
            <w:r>
              <w:rPr>
                <w:sz w:val="18"/>
              </w:rPr>
              <w:t>Giá trị bán thực tế và chi phí; không mặc định vàng tăng khi cổ phiếu giảm.</w:t>
            </w:r>
          </w:p>
        </w:tc>
      </w:tr>
      <w:tr>
        <w:trPr>
          <w:cantSplit/>
        </w:trPr>
        <w:tc>
          <w:tcPr>
            <w:tcW w:type="dxa" w:w="2324"/>
            <w:vAlign w:val="center"/>
            <w:shd w:fill="F4F6F8"/>
            <w:tcMar>
              <w:top w:w="80" w:type="dxa"/>
              <w:bottom w:w="80" w:type="dxa"/>
              <w:left w:w="95" w:type="dxa"/>
              <w:right w:w="95" w:type="dxa"/>
            </w:tcMar>
          </w:tcPr>
          <w:p>
            <w:pPr>
              <w:spacing w:after="0" w:line="257" w:lineRule="auto"/>
            </w:pPr>
            <w:r>
              <w:rPr>
                <w:sz w:val="18"/>
              </w:rPr>
              <w:t>Nhà đất khó bán</w:t>
            </w:r>
          </w:p>
        </w:tc>
        <w:tc>
          <w:tcPr>
            <w:tcW w:type="dxa" w:w="3628"/>
            <w:vAlign w:val="center"/>
            <w:shd w:fill="F4F6F8"/>
            <w:tcMar>
              <w:top w:w="80" w:type="dxa"/>
              <w:bottom w:w="80" w:type="dxa"/>
              <w:left w:w="95" w:type="dxa"/>
              <w:right w:w="95" w:type="dxa"/>
            </w:tcMar>
          </w:tcPr>
          <w:p>
            <w:pPr>
              <w:spacing w:after="0" w:line="257" w:lineRule="auto"/>
            </w:pPr>
            <w:r>
              <w:rPr>
                <w:sz w:val="18"/>
              </w:rPr>
              <w:t>Giá thẩm định giảm, tiền thuê gián đoạn, bán chậm và giảm giá thanh lý.</w:t>
            </w:r>
          </w:p>
        </w:tc>
        <w:tc>
          <w:tcPr>
            <w:tcW w:type="dxa" w:w="3685"/>
            <w:vAlign w:val="center"/>
            <w:shd w:fill="F4F6F8"/>
            <w:tcMar>
              <w:top w:w="80" w:type="dxa"/>
              <w:bottom w:w="80" w:type="dxa"/>
              <w:left w:w="95" w:type="dxa"/>
              <w:right w:w="95" w:type="dxa"/>
            </w:tcMar>
          </w:tcPr>
          <w:p>
            <w:pPr>
              <w:spacing w:after="0" w:line="257" w:lineRule="auto"/>
            </w:pPr>
            <w:r>
              <w:rPr>
                <w:sz w:val="18"/>
              </w:rPr>
              <w:t>Thiếu tiền dù tổng tài sản vẫn cao; tránh dùng khoản chưa bán như tiền gửi.</w:t>
            </w:r>
          </w:p>
        </w:tc>
      </w:tr>
      <w:tr>
        <w:trPr>
          <w:cantSplit/>
        </w:trPr>
        <w:tc>
          <w:tcPr>
            <w:tcW w:type="dxa" w:w="2324"/>
            <w:vAlign w:val="center"/>
            <w:shd w:fill="FFFFFF"/>
            <w:tcMar>
              <w:top w:w="80" w:type="dxa"/>
              <w:bottom w:w="80" w:type="dxa"/>
              <w:left w:w="95" w:type="dxa"/>
              <w:right w:w="95" w:type="dxa"/>
            </w:tcMar>
          </w:tcPr>
          <w:p>
            <w:pPr>
              <w:spacing w:after="0" w:line="257" w:lineRule="auto"/>
            </w:pPr>
            <w:r>
              <w:rPr>
                <w:sz w:val="18"/>
              </w:rPr>
              <w:t>Gián đoạn thu nhập</w:t>
            </w:r>
          </w:p>
        </w:tc>
        <w:tc>
          <w:tcPr>
            <w:tcW w:type="dxa" w:w="3628"/>
            <w:vAlign w:val="center"/>
            <w:shd w:fill="FFFFFF"/>
            <w:tcMar>
              <w:top w:w="80" w:type="dxa"/>
              <w:bottom w:w="80" w:type="dxa"/>
              <w:left w:w="95" w:type="dxa"/>
              <w:right w:w="95" w:type="dxa"/>
            </w:tcMar>
          </w:tcPr>
          <w:p>
            <w:pPr>
              <w:spacing w:after="0" w:line="257" w:lineRule="auto"/>
            </w:pPr>
            <w:r>
              <w:rPr>
                <w:sz w:val="18"/>
              </w:rPr>
              <w:t>Giảm hoặc mất thu nhập; có thể đồng thời với thị trường xấu.</w:t>
            </w:r>
          </w:p>
        </w:tc>
        <w:tc>
          <w:tcPr>
            <w:tcW w:type="dxa" w:w="3685"/>
            <w:vAlign w:val="center"/>
            <w:shd w:fill="FFFFFF"/>
            <w:tcMar>
              <w:top w:w="80" w:type="dxa"/>
              <w:bottom w:w="80" w:type="dxa"/>
              <w:left w:w="95" w:type="dxa"/>
              <w:right w:w="95" w:type="dxa"/>
            </w:tcMar>
          </w:tcPr>
          <w:p>
            <w:pPr>
              <w:spacing w:after="0" w:line="257" w:lineRule="auto"/>
            </w:pPr>
            <w:r>
              <w:rPr>
                <w:sz w:val="18"/>
              </w:rPr>
              <w:t>Tiền dự phòng, khoản góp gián đoạn và mức tài trợ quỹ hưu.</w:t>
            </w:r>
          </w:p>
        </w:tc>
      </w:tr>
      <w:tr>
        <w:trPr>
          <w:cantSplit/>
        </w:trPr>
        <w:tc>
          <w:tcPr>
            <w:tcW w:type="dxa" w:w="2324"/>
            <w:vAlign w:val="center"/>
            <w:shd w:fill="F4F6F8"/>
            <w:tcMar>
              <w:top w:w="80" w:type="dxa"/>
              <w:bottom w:w="80" w:type="dxa"/>
              <w:left w:w="95" w:type="dxa"/>
              <w:right w:w="95" w:type="dxa"/>
            </w:tcMar>
          </w:tcPr>
          <w:p>
            <w:pPr>
              <w:spacing w:after="0" w:line="257" w:lineRule="auto"/>
            </w:pPr>
            <w:r>
              <w:rPr>
                <w:sz w:val="18"/>
              </w:rPr>
              <w:t>Sống lâu và chi chăm sóc</w:t>
            </w:r>
          </w:p>
        </w:tc>
        <w:tc>
          <w:tcPr>
            <w:tcW w:type="dxa" w:w="3628"/>
            <w:vAlign w:val="center"/>
            <w:shd w:fill="F4F6F8"/>
            <w:tcMar>
              <w:top w:w="80" w:type="dxa"/>
              <w:bottom w:w="80" w:type="dxa"/>
              <w:left w:w="95" w:type="dxa"/>
              <w:right w:w="95" w:type="dxa"/>
            </w:tcMar>
          </w:tcPr>
          <w:p>
            <w:pPr>
              <w:spacing w:after="0" w:line="257" w:lineRule="auto"/>
            </w:pPr>
            <w:r>
              <w:rPr>
                <w:sz w:val="18"/>
              </w:rPr>
              <w:t>Kéo dài kế hoạch thêm 5 đến 10 năm; thêm lịch chi chăm sóc.</w:t>
            </w:r>
          </w:p>
        </w:tc>
        <w:tc>
          <w:tcPr>
            <w:tcW w:type="dxa" w:w="3685"/>
            <w:vAlign w:val="center"/>
            <w:shd w:fill="F4F6F8"/>
            <w:tcMar>
              <w:top w:w="80" w:type="dxa"/>
              <w:bottom w:w="80" w:type="dxa"/>
              <w:left w:w="95" w:type="dxa"/>
              <w:right w:w="95" w:type="dxa"/>
            </w:tcMar>
          </w:tcPr>
          <w:p>
            <w:pPr>
              <w:spacing w:after="0" w:line="257" w:lineRule="auto"/>
            </w:pPr>
            <w:r>
              <w:rPr>
                <w:sz w:val="18"/>
              </w:rPr>
              <w:t>Thiếu hụt cuối đời, linh hoạt ngân sách và nguồn thu đều.</w:t>
            </w:r>
          </w:p>
        </w:tc>
      </w:tr>
    </w:tbl>
    <w:p>
      <w:pPr>
        <w:spacing w:after="0"/>
      </w:pPr>
      <w:r>
        <w:rPr>
          <w:b w:val="0"/>
        </w:rPr>
      </w:r>
    </w:p>
    <w:p>
      <w:pPr>
        <w:pStyle w:val="Heading2"/>
      </w:pPr>
      <w:r>
        <w:t>Kiểm tra thứ tự lợi suất</w:t>
      </w:r>
    </w:p>
    <w:p>
      <w:r>
        <w:rPr>
          <w:b w:val="0"/>
        </w:rPr>
        <w:t>Ví dụ kiểm chứng: có 1 tỷ đồng, rút 100 triệu đầu mỗi năm. Hai năm -20% rồi +25% cho số dư 775 triệu; đảo thứ tự thành +25% rồi -20% cho 820 triệu. Không rút tiền thì cả hai cùng trở lại 1 tỷ. Vì vậy cùng tổng lợi nhuận thị trường chưa có nghĩa cùng kết quả nghỉ hưu.</w:t>
      </w:r>
    </w:p>
    <w:p>
      <w:r>
        <w:rPr>
          <w:b w:val="0"/>
        </w:rPr>
        <w:t>Các cú sốc cố định dùng để tìm điểm yếu, không gắn xác suất nếu chưa có phương pháp hiệu chỉnh. Khi làm mô phỏng xác suất, công khai nguồn, thời kỳ dữ liệu, phương pháp tạo đường đi, số lượng và độ nhạy với các bộ giả định. Không hiển thị xác suất chính xác đến nhiều chữ số khi bất định mô hình còn lớn.</w:t>
      </w:r>
    </w:p>
    <w:p>
      <w:r>
        <w:br w:type="page"/>
      </w:r>
    </w:p>
    <w:p>
      <w:pPr>
        <w:pStyle w:val="Heading1"/>
      </w:pPr>
      <w:r>
        <w:t>Ví dụ phân bổ theo nghĩa vụ cụ thể</w:t>
      </w:r>
    </w:p>
    <w:p>
      <w:r>
        <w:rPr>
          <w:b w:val="0"/>
        </w:rPr>
        <w:t>Một người 38 tuổi có 2 tỷ đồng tài sản tài chính, còn hơn 15 năm tới nghỉ hưu, thu nhập tương đối ổn định. Chi thiết yếu là 25 triệu đồng mỗi tháng. Chọn dự phòng 9 tháng; cần khoản học phí tương đương 300 triệu đồng theo giá hôm nay sau 3 năm. Giả định minh họa lạm phát học phí 4% và lãi tích lũy cho khoản dành riêng 4,5% mỗi năm, trước phí tư vấn.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4195"/>
        <w:gridCol w:w="2608"/>
      </w:tblGrid>
      <w:tr>
        <w:trPr>
          <w:cantSplit/>
          <w:tblHeader/>
        </w:trPr>
        <w:tc>
          <w:tcPr>
            <w:tcW w:type="dxa" w:w="2835"/>
            <w:vAlign w:val="center"/>
            <w:shd w:fill="334155"/>
            <w:tcMar>
              <w:top w:w="80" w:type="dxa"/>
              <w:bottom w:w="80" w:type="dxa"/>
              <w:left w:w="95" w:type="dxa"/>
              <w:right w:w="95" w:type="dxa"/>
            </w:tcMar>
          </w:tcPr>
          <w:p>
            <w:pPr>
              <w:spacing w:after="0" w:line="257" w:lineRule="auto"/>
            </w:pPr>
            <w:r>
              <w:rPr>
                <w:b/>
                <w:color w:val="FFFFFF"/>
                <w:sz w:val="18"/>
              </w:rPr>
              <w:t>Khoản vốn</w:t>
            </w:r>
          </w:p>
        </w:tc>
        <w:tc>
          <w:tcPr>
            <w:tcW w:type="dxa" w:w="4195"/>
            <w:vAlign w:val="center"/>
            <w:shd w:fill="334155"/>
            <w:tcMar>
              <w:top w:w="80" w:type="dxa"/>
              <w:bottom w:w="80" w:type="dxa"/>
              <w:left w:w="95" w:type="dxa"/>
              <w:right w:w="95" w:type="dxa"/>
            </w:tcMar>
          </w:tcPr>
          <w:p>
            <w:pPr>
              <w:spacing w:after="0" w:line="257" w:lineRule="auto"/>
            </w:pPr>
            <w:r>
              <w:rPr>
                <w:b/>
                <w:color w:val="FFFFFF"/>
                <w:sz w:val="18"/>
              </w:rPr>
              <w:t>Cách tính</w:t>
            </w:r>
          </w:p>
        </w:tc>
        <w:tc>
          <w:tcPr>
            <w:tcW w:type="dxa" w:w="2608"/>
            <w:vAlign w:val="center"/>
            <w:shd w:fill="334155"/>
            <w:tcMar>
              <w:top w:w="80" w:type="dxa"/>
              <w:bottom w:w="80" w:type="dxa"/>
              <w:left w:w="95" w:type="dxa"/>
              <w:right w:w="95" w:type="dxa"/>
            </w:tcMar>
          </w:tcPr>
          <w:p>
            <w:pPr>
              <w:spacing w:after="0" w:line="257" w:lineRule="auto"/>
            </w:pPr>
            <w:r>
              <w:rPr>
                <w:b/>
                <w:color w:val="FFFFFF"/>
                <w:sz w:val="18"/>
              </w:rPr>
              <w:t>Giá trị</w:t>
            </w:r>
          </w:p>
        </w:tc>
      </w:tr>
      <w:tr>
        <w:trPr>
          <w:cantSplit/>
        </w:trPr>
        <w:tc>
          <w:tcPr>
            <w:tcW w:type="dxa" w:w="2835"/>
            <w:vAlign w:val="center"/>
            <w:shd w:fill="FFFFFF"/>
            <w:tcMar>
              <w:top w:w="80" w:type="dxa"/>
              <w:bottom w:w="80" w:type="dxa"/>
              <w:left w:w="95" w:type="dxa"/>
              <w:right w:w="95" w:type="dxa"/>
            </w:tcMar>
          </w:tcPr>
          <w:p>
            <w:pPr>
              <w:spacing w:after="0" w:line="257" w:lineRule="auto"/>
            </w:pPr>
            <w:r>
              <w:rPr>
                <w:sz w:val="18"/>
              </w:rPr>
              <w:t>Dự phòng</w:t>
            </w:r>
          </w:p>
        </w:tc>
        <w:tc>
          <w:tcPr>
            <w:tcW w:type="dxa" w:w="4195"/>
            <w:vAlign w:val="center"/>
            <w:shd w:fill="FFFFFF"/>
            <w:tcMar>
              <w:top w:w="80" w:type="dxa"/>
              <w:bottom w:w="80" w:type="dxa"/>
              <w:left w:w="95" w:type="dxa"/>
              <w:right w:w="95" w:type="dxa"/>
            </w:tcMar>
          </w:tcPr>
          <w:p>
            <w:pPr>
              <w:spacing w:after="0" w:line="257" w:lineRule="auto"/>
            </w:pPr>
            <w:r>
              <w:rPr>
                <w:sz w:val="18"/>
              </w:rPr>
              <w:t>9 × 25 triệu</w:t>
            </w:r>
          </w:p>
        </w:tc>
        <w:tc>
          <w:tcPr>
            <w:tcW w:type="dxa" w:w="2608"/>
            <w:vAlign w:val="center"/>
            <w:shd w:fill="FFFFFF"/>
            <w:tcMar>
              <w:top w:w="80" w:type="dxa"/>
              <w:bottom w:w="80" w:type="dxa"/>
              <w:left w:w="95" w:type="dxa"/>
              <w:right w:w="95" w:type="dxa"/>
            </w:tcMar>
          </w:tcPr>
          <w:p>
            <w:pPr>
              <w:spacing w:after="0" w:line="257" w:lineRule="auto"/>
            </w:pPr>
            <w:r>
              <w:rPr>
                <w:sz w:val="18"/>
              </w:rPr>
              <w:t>225,00 triệu</w:t>
            </w:r>
          </w:p>
        </w:tc>
      </w:tr>
      <w:tr>
        <w:trPr>
          <w:cantSplit/>
        </w:trPr>
        <w:tc>
          <w:tcPr>
            <w:tcW w:type="dxa" w:w="2835"/>
            <w:vAlign w:val="center"/>
            <w:shd w:fill="F4F6F8"/>
            <w:tcMar>
              <w:top w:w="80" w:type="dxa"/>
              <w:bottom w:w="80" w:type="dxa"/>
              <w:left w:w="95" w:type="dxa"/>
              <w:right w:w="95" w:type="dxa"/>
            </w:tcMar>
          </w:tcPr>
          <w:p>
            <w:pPr>
              <w:spacing w:after="0" w:line="257" w:lineRule="auto"/>
            </w:pPr>
            <w:r>
              <w:rPr>
                <w:sz w:val="18"/>
              </w:rPr>
              <w:t>Học phí ở năm thứ 3</w:t>
            </w:r>
          </w:p>
        </w:tc>
        <w:tc>
          <w:tcPr>
            <w:tcW w:type="dxa" w:w="4195"/>
            <w:vAlign w:val="center"/>
            <w:shd w:fill="F4F6F8"/>
            <w:tcMar>
              <w:top w:w="80" w:type="dxa"/>
              <w:bottom w:w="80" w:type="dxa"/>
              <w:left w:w="95" w:type="dxa"/>
              <w:right w:w="95" w:type="dxa"/>
            </w:tcMar>
          </w:tcPr>
          <w:p>
            <w:pPr>
              <w:spacing w:after="0" w:line="257" w:lineRule="auto"/>
            </w:pPr>
            <w:r>
              <w:rPr>
                <w:sz w:val="18"/>
              </w:rPr>
              <w:t>300 triệu × 1,04^3</w:t>
            </w:r>
          </w:p>
        </w:tc>
        <w:tc>
          <w:tcPr>
            <w:tcW w:type="dxa" w:w="2608"/>
            <w:vAlign w:val="center"/>
            <w:shd w:fill="F4F6F8"/>
            <w:tcMar>
              <w:top w:w="80" w:type="dxa"/>
              <w:bottom w:w="80" w:type="dxa"/>
              <w:left w:w="95" w:type="dxa"/>
              <w:right w:w="95" w:type="dxa"/>
            </w:tcMar>
          </w:tcPr>
          <w:p>
            <w:pPr>
              <w:spacing w:after="0" w:line="257" w:lineRule="auto"/>
            </w:pPr>
            <w:r>
              <w:rPr>
                <w:sz w:val="18"/>
              </w:rPr>
              <w:t>337,46 triệu</w:t>
            </w:r>
          </w:p>
        </w:tc>
      </w:tr>
      <w:tr>
        <w:trPr>
          <w:cantSplit/>
        </w:trPr>
        <w:tc>
          <w:tcPr>
            <w:tcW w:type="dxa" w:w="2835"/>
            <w:vAlign w:val="center"/>
            <w:shd w:fill="FFFFFF"/>
            <w:tcMar>
              <w:top w:w="80" w:type="dxa"/>
              <w:bottom w:w="80" w:type="dxa"/>
              <w:left w:w="95" w:type="dxa"/>
              <w:right w:w="95" w:type="dxa"/>
            </w:tcMar>
          </w:tcPr>
          <w:p>
            <w:pPr>
              <w:spacing w:after="0" w:line="257" w:lineRule="auto"/>
            </w:pPr>
            <w:r>
              <w:rPr>
                <w:sz w:val="18"/>
              </w:rPr>
              <w:t>Vốn học phí cần dành hôm nay</w:t>
            </w:r>
          </w:p>
        </w:tc>
        <w:tc>
          <w:tcPr>
            <w:tcW w:type="dxa" w:w="4195"/>
            <w:vAlign w:val="center"/>
            <w:shd w:fill="FFFFFF"/>
            <w:tcMar>
              <w:top w:w="80" w:type="dxa"/>
              <w:bottom w:w="80" w:type="dxa"/>
              <w:left w:w="95" w:type="dxa"/>
              <w:right w:w="95" w:type="dxa"/>
            </w:tcMar>
          </w:tcPr>
          <w:p>
            <w:pPr>
              <w:spacing w:after="0" w:line="257" w:lineRule="auto"/>
            </w:pPr>
            <w:r>
              <w:rPr>
                <w:sz w:val="18"/>
              </w:rPr>
              <w:t>337,46 triệu / 1,045^3</w:t>
            </w:r>
          </w:p>
        </w:tc>
        <w:tc>
          <w:tcPr>
            <w:tcW w:type="dxa" w:w="2608"/>
            <w:vAlign w:val="center"/>
            <w:shd w:fill="FFFFFF"/>
            <w:tcMar>
              <w:top w:w="80" w:type="dxa"/>
              <w:bottom w:w="80" w:type="dxa"/>
              <w:left w:w="95" w:type="dxa"/>
              <w:right w:w="95" w:type="dxa"/>
            </w:tcMar>
          </w:tcPr>
          <w:p>
            <w:pPr>
              <w:spacing w:after="0" w:line="257" w:lineRule="auto"/>
            </w:pPr>
            <w:r>
              <w:rPr>
                <w:sz w:val="18"/>
              </w:rPr>
              <w:t>295,71 triệu</w:t>
            </w:r>
          </w:p>
        </w:tc>
      </w:tr>
      <w:tr>
        <w:trPr>
          <w:cantSplit/>
        </w:trPr>
        <w:tc>
          <w:tcPr>
            <w:tcW w:type="dxa" w:w="2835"/>
            <w:vAlign w:val="center"/>
            <w:shd w:fill="F4F6F8"/>
            <w:tcMar>
              <w:top w:w="80" w:type="dxa"/>
              <w:bottom w:w="80" w:type="dxa"/>
              <w:left w:w="95" w:type="dxa"/>
              <w:right w:w="95" w:type="dxa"/>
            </w:tcMar>
          </w:tcPr>
          <w:p>
            <w:pPr>
              <w:spacing w:after="0" w:line="257" w:lineRule="auto"/>
            </w:pPr>
            <w:r>
              <w:rPr>
                <w:sz w:val="18"/>
              </w:rPr>
              <w:t>Vốn nghỉ hưu dài hạn còn lại</w:t>
            </w:r>
          </w:p>
        </w:tc>
        <w:tc>
          <w:tcPr>
            <w:tcW w:type="dxa" w:w="4195"/>
            <w:vAlign w:val="center"/>
            <w:shd w:fill="F4F6F8"/>
            <w:tcMar>
              <w:top w:w="80" w:type="dxa"/>
              <w:bottom w:w="80" w:type="dxa"/>
              <w:left w:w="95" w:type="dxa"/>
              <w:right w:w="95" w:type="dxa"/>
            </w:tcMar>
          </w:tcPr>
          <w:p>
            <w:pPr>
              <w:spacing w:after="0" w:line="257" w:lineRule="auto"/>
            </w:pPr>
            <w:r>
              <w:rPr>
                <w:sz w:val="18"/>
              </w:rPr>
              <w:t>2 tỷ - 225 triệu - 295,71 triệu</w:t>
            </w:r>
          </w:p>
        </w:tc>
        <w:tc>
          <w:tcPr>
            <w:tcW w:type="dxa" w:w="2608"/>
            <w:vAlign w:val="center"/>
            <w:shd w:fill="F4F6F8"/>
            <w:tcMar>
              <w:top w:w="80" w:type="dxa"/>
              <w:bottom w:w="80" w:type="dxa"/>
              <w:left w:w="95" w:type="dxa"/>
              <w:right w:w="95" w:type="dxa"/>
            </w:tcMar>
          </w:tcPr>
          <w:p>
            <w:pPr>
              <w:spacing w:after="0" w:line="257" w:lineRule="auto"/>
            </w:pPr>
            <w:r>
              <w:rPr>
                <w:sz w:val="18"/>
              </w:rPr>
              <w:t>1.479,29 triệu</w:t>
            </w:r>
          </w:p>
        </w:tc>
      </w:tr>
    </w:tbl>
    <w:p>
      <w:pPr>
        <w:spacing w:after="0"/>
      </w:pPr>
      <w:r>
        <w:rPr>
          <w:b w:val="0"/>
        </w:rPr>
      </w:r>
    </w:p>
    <w:p>
      <w:r>
        <w:rPr>
          <w:b w:val="0"/>
        </w:rPr>
        <w:t>Để minh họa bước phân bổ, dùng danh mục nền của phần dài hạn: 10% tiền gửi, 20% trái phiếu Chính phủ, 60% cổ phiếu đa dạng hóa và 10% vàng. Đây chưa phải nghiệm tối ưu từ dữ liệu lịch sử. Cả dự phòng và học phí đều được ghi vào phần tiền gửi / thanh khoản có kỳ hạn phù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2324"/>
        <w:gridCol w:w="1644"/>
      </w:tblGrid>
      <w:tr>
        <w:trPr>
          <w:cantSplit/>
          <w:tblHeader/>
        </w:trPr>
        <w:tc>
          <w:tcPr>
            <w:tcW w:type="dxa" w:w="5669"/>
            <w:vAlign w:val="center"/>
            <w:shd w:fill="334155"/>
            <w:tcMar>
              <w:top w:w="80" w:type="dxa"/>
              <w:bottom w:w="80" w:type="dxa"/>
              <w:left w:w="95" w:type="dxa"/>
              <w:right w:w="95" w:type="dxa"/>
            </w:tcMar>
          </w:tcPr>
          <w:p>
            <w:pPr>
              <w:spacing w:after="0" w:line="257" w:lineRule="auto"/>
            </w:pPr>
            <w:r>
              <w:rPr>
                <w:b/>
                <w:color w:val="FFFFFF"/>
                <w:sz w:val="18"/>
              </w:rPr>
              <w:t>Loại tài sản trên toàn bộ 2 tỷ</w:t>
            </w:r>
          </w:p>
        </w:tc>
        <w:tc>
          <w:tcPr>
            <w:tcW w:type="dxa" w:w="2324"/>
            <w:vAlign w:val="center"/>
            <w:shd w:fill="334155"/>
            <w:tcMar>
              <w:top w:w="80" w:type="dxa"/>
              <w:bottom w:w="80" w:type="dxa"/>
              <w:left w:w="95" w:type="dxa"/>
              <w:right w:w="95" w:type="dxa"/>
            </w:tcMar>
          </w:tcPr>
          <w:p>
            <w:pPr>
              <w:spacing w:after="0" w:line="257" w:lineRule="auto"/>
            </w:pPr>
            <w:r>
              <w:rPr>
                <w:b/>
                <w:color w:val="FFFFFF"/>
                <w:sz w:val="18"/>
              </w:rPr>
              <w:t>Số tiền</w:t>
            </w:r>
          </w:p>
        </w:tc>
        <w:tc>
          <w:tcPr>
            <w:tcW w:type="dxa" w:w="1644"/>
            <w:vAlign w:val="center"/>
            <w:shd w:fill="334155"/>
            <w:tcMar>
              <w:top w:w="80" w:type="dxa"/>
              <w:bottom w:w="80" w:type="dxa"/>
              <w:left w:w="95" w:type="dxa"/>
              <w:right w:w="95" w:type="dxa"/>
            </w:tcMar>
          </w:tcPr>
          <w:p>
            <w:pPr>
              <w:spacing w:after="0" w:line="257" w:lineRule="auto"/>
            </w:pPr>
            <w:r>
              <w:rPr>
                <w:b/>
                <w:color w:val="FFFFFF"/>
                <w:sz w:val="18"/>
              </w:rPr>
              <w:t>Tỷ trọng</w:t>
            </w:r>
          </w:p>
        </w:tc>
      </w:tr>
      <w:tr>
        <w:trPr>
          <w:cantSplit/>
        </w:trPr>
        <w:tc>
          <w:tcPr>
            <w:tcW w:type="dxa" w:w="5669"/>
            <w:vAlign w:val="center"/>
            <w:shd w:fill="FFFFFF"/>
            <w:tcMar>
              <w:top w:w="80" w:type="dxa"/>
              <w:bottom w:w="80" w:type="dxa"/>
              <w:left w:w="95" w:type="dxa"/>
              <w:right w:w="95" w:type="dxa"/>
            </w:tcMar>
          </w:tcPr>
          <w:p>
            <w:pPr>
              <w:spacing w:after="0" w:line="257" w:lineRule="auto"/>
            </w:pPr>
            <w:r>
              <w:rPr>
                <w:sz w:val="18"/>
              </w:rPr>
              <w:t>Tiền gửi / thanh khoản</w:t>
            </w:r>
          </w:p>
        </w:tc>
        <w:tc>
          <w:tcPr>
            <w:tcW w:type="dxa" w:w="2324"/>
            <w:vAlign w:val="center"/>
            <w:shd w:fill="FFFFFF"/>
            <w:tcMar>
              <w:top w:w="80" w:type="dxa"/>
              <w:bottom w:w="80" w:type="dxa"/>
              <w:left w:w="95" w:type="dxa"/>
              <w:right w:w="95" w:type="dxa"/>
            </w:tcMar>
          </w:tcPr>
          <w:p>
            <w:pPr>
              <w:spacing w:after="0" w:line="257" w:lineRule="auto"/>
            </w:pPr>
            <w:r>
              <w:rPr>
                <w:sz w:val="18"/>
              </w:rPr>
              <w:t>668,64 triệu</w:t>
            </w:r>
          </w:p>
        </w:tc>
        <w:tc>
          <w:tcPr>
            <w:tcW w:type="dxa" w:w="1644"/>
            <w:vAlign w:val="center"/>
            <w:shd w:fill="FFFFFF"/>
            <w:tcMar>
              <w:top w:w="80" w:type="dxa"/>
              <w:bottom w:w="80" w:type="dxa"/>
              <w:left w:w="95" w:type="dxa"/>
              <w:right w:w="95" w:type="dxa"/>
            </w:tcMar>
          </w:tcPr>
          <w:p>
            <w:pPr>
              <w:spacing w:after="0" w:line="257" w:lineRule="auto"/>
            </w:pPr>
            <w:r>
              <w:rPr>
                <w:sz w:val="18"/>
              </w:rPr>
              <w:t>33,43%</w:t>
            </w:r>
          </w:p>
        </w:tc>
      </w:tr>
      <w:tr>
        <w:trPr>
          <w:cantSplit/>
        </w:trPr>
        <w:tc>
          <w:tcPr>
            <w:tcW w:type="dxa" w:w="5669"/>
            <w:vAlign w:val="center"/>
            <w:shd w:fill="F4F6F8"/>
            <w:tcMar>
              <w:top w:w="80" w:type="dxa"/>
              <w:bottom w:w="80" w:type="dxa"/>
              <w:left w:w="95" w:type="dxa"/>
              <w:right w:w="95" w:type="dxa"/>
            </w:tcMar>
          </w:tcPr>
          <w:p>
            <w:pPr>
              <w:spacing w:after="0" w:line="257" w:lineRule="auto"/>
            </w:pPr>
            <w:r>
              <w:rPr>
                <w:sz w:val="18"/>
              </w:rPr>
              <w:t>Trái phiếu Chính phủ / tiếp xúc phù hợp</w:t>
            </w:r>
          </w:p>
        </w:tc>
        <w:tc>
          <w:tcPr>
            <w:tcW w:type="dxa" w:w="2324"/>
            <w:vAlign w:val="center"/>
            <w:shd w:fill="F4F6F8"/>
            <w:tcMar>
              <w:top w:w="80" w:type="dxa"/>
              <w:bottom w:w="80" w:type="dxa"/>
              <w:left w:w="95" w:type="dxa"/>
              <w:right w:w="95" w:type="dxa"/>
            </w:tcMar>
          </w:tcPr>
          <w:p>
            <w:pPr>
              <w:spacing w:after="0" w:line="257" w:lineRule="auto"/>
            </w:pPr>
            <w:r>
              <w:rPr>
                <w:sz w:val="18"/>
              </w:rPr>
              <w:t>295,86 triệu</w:t>
            </w:r>
          </w:p>
        </w:tc>
        <w:tc>
          <w:tcPr>
            <w:tcW w:type="dxa" w:w="1644"/>
            <w:vAlign w:val="center"/>
            <w:shd w:fill="F4F6F8"/>
            <w:tcMar>
              <w:top w:w="80" w:type="dxa"/>
              <w:bottom w:w="80" w:type="dxa"/>
              <w:left w:w="95" w:type="dxa"/>
              <w:right w:w="95" w:type="dxa"/>
            </w:tcMar>
          </w:tcPr>
          <w:p>
            <w:pPr>
              <w:spacing w:after="0" w:line="257" w:lineRule="auto"/>
            </w:pPr>
            <w:r>
              <w:rPr>
                <w:sz w:val="18"/>
              </w:rPr>
              <w:t>14,79%</w:t>
            </w:r>
          </w:p>
        </w:tc>
      </w:tr>
      <w:tr>
        <w:trPr>
          <w:cantSplit/>
        </w:trPr>
        <w:tc>
          <w:tcPr>
            <w:tcW w:type="dxa" w:w="5669"/>
            <w:vAlign w:val="center"/>
            <w:shd w:fill="FFFFFF"/>
            <w:tcMar>
              <w:top w:w="80" w:type="dxa"/>
              <w:bottom w:w="80" w:type="dxa"/>
              <w:left w:w="95" w:type="dxa"/>
              <w:right w:w="95" w:type="dxa"/>
            </w:tcMar>
          </w:tcPr>
          <w:p>
            <w:pPr>
              <w:spacing w:after="0" w:line="257" w:lineRule="auto"/>
            </w:pPr>
            <w:r>
              <w:rPr>
                <w:sz w:val="18"/>
              </w:rPr>
              <w:t>Cổ phiếu đa dạng hóa</w:t>
            </w:r>
          </w:p>
        </w:tc>
        <w:tc>
          <w:tcPr>
            <w:tcW w:type="dxa" w:w="2324"/>
            <w:vAlign w:val="center"/>
            <w:shd w:fill="FFFFFF"/>
            <w:tcMar>
              <w:top w:w="80" w:type="dxa"/>
              <w:bottom w:w="80" w:type="dxa"/>
              <w:left w:w="95" w:type="dxa"/>
              <w:right w:w="95" w:type="dxa"/>
            </w:tcMar>
          </w:tcPr>
          <w:p>
            <w:pPr>
              <w:spacing w:after="0" w:line="257" w:lineRule="auto"/>
            </w:pPr>
            <w:r>
              <w:rPr>
                <w:sz w:val="18"/>
              </w:rPr>
              <w:t>887,57 triệu</w:t>
            </w:r>
          </w:p>
        </w:tc>
        <w:tc>
          <w:tcPr>
            <w:tcW w:type="dxa" w:w="1644"/>
            <w:vAlign w:val="center"/>
            <w:shd w:fill="FFFFFF"/>
            <w:tcMar>
              <w:top w:w="80" w:type="dxa"/>
              <w:bottom w:w="80" w:type="dxa"/>
              <w:left w:w="95" w:type="dxa"/>
              <w:right w:w="95" w:type="dxa"/>
            </w:tcMar>
          </w:tcPr>
          <w:p>
            <w:pPr>
              <w:spacing w:after="0" w:line="257" w:lineRule="auto"/>
            </w:pPr>
            <w:r>
              <w:rPr>
                <w:sz w:val="18"/>
              </w:rPr>
              <w:t>44,38%</w:t>
            </w:r>
          </w:p>
        </w:tc>
      </w:tr>
      <w:tr>
        <w:trPr>
          <w:cantSplit/>
        </w:trPr>
        <w:tc>
          <w:tcPr>
            <w:tcW w:type="dxa" w:w="5669"/>
            <w:vAlign w:val="center"/>
            <w:shd w:fill="F4F6F8"/>
            <w:tcMar>
              <w:top w:w="80" w:type="dxa"/>
              <w:bottom w:w="80" w:type="dxa"/>
              <w:left w:w="95" w:type="dxa"/>
              <w:right w:w="95" w:type="dxa"/>
            </w:tcMar>
          </w:tcPr>
          <w:p>
            <w:pPr>
              <w:spacing w:after="0" w:line="257" w:lineRule="auto"/>
            </w:pPr>
            <w:r>
              <w:rPr>
                <w:sz w:val="18"/>
              </w:rPr>
              <w:t>Vàng</w:t>
            </w:r>
          </w:p>
        </w:tc>
        <w:tc>
          <w:tcPr>
            <w:tcW w:type="dxa" w:w="2324"/>
            <w:vAlign w:val="center"/>
            <w:shd w:fill="F4F6F8"/>
            <w:tcMar>
              <w:top w:w="80" w:type="dxa"/>
              <w:bottom w:w="80" w:type="dxa"/>
              <w:left w:w="95" w:type="dxa"/>
              <w:right w:w="95" w:type="dxa"/>
            </w:tcMar>
          </w:tcPr>
          <w:p>
            <w:pPr>
              <w:spacing w:after="0" w:line="257" w:lineRule="auto"/>
            </w:pPr>
            <w:r>
              <w:rPr>
                <w:sz w:val="18"/>
              </w:rPr>
              <w:t>147,93 triệu</w:t>
            </w:r>
          </w:p>
        </w:tc>
        <w:tc>
          <w:tcPr>
            <w:tcW w:type="dxa" w:w="1644"/>
            <w:vAlign w:val="center"/>
            <w:shd w:fill="F4F6F8"/>
            <w:tcMar>
              <w:top w:w="80" w:type="dxa"/>
              <w:bottom w:w="80" w:type="dxa"/>
              <w:left w:w="95" w:type="dxa"/>
              <w:right w:w="95" w:type="dxa"/>
            </w:tcMar>
          </w:tcPr>
          <w:p>
            <w:pPr>
              <w:spacing w:after="0" w:line="257" w:lineRule="auto"/>
            </w:pPr>
            <w:r>
              <w:rPr>
                <w:sz w:val="18"/>
              </w:rPr>
              <w:t>7,40%</w:t>
            </w:r>
          </w:p>
        </w:tc>
      </w:tr>
      <w:tr>
        <w:trPr>
          <w:cantSplit/>
        </w:trPr>
        <w:tc>
          <w:tcPr>
            <w:tcW w:type="dxa" w:w="5669"/>
            <w:vAlign w:val="center"/>
            <w:shd w:fill="FFFFFF"/>
            <w:tcMar>
              <w:top w:w="80" w:type="dxa"/>
              <w:bottom w:w="80" w:type="dxa"/>
              <w:left w:w="95" w:type="dxa"/>
              <w:right w:w="95" w:type="dxa"/>
            </w:tcMar>
          </w:tcPr>
          <w:p>
            <w:pPr>
              <w:spacing w:after="0" w:line="257" w:lineRule="auto"/>
            </w:pPr>
            <w:r>
              <w:rPr>
                <w:sz w:val="18"/>
              </w:rPr>
              <w:t>Bạc / bất động sản mua mới</w:t>
            </w:r>
          </w:p>
        </w:tc>
        <w:tc>
          <w:tcPr>
            <w:tcW w:type="dxa" w:w="2324"/>
            <w:vAlign w:val="center"/>
            <w:shd w:fill="FFFFFF"/>
            <w:tcMar>
              <w:top w:w="80" w:type="dxa"/>
              <w:bottom w:w="80" w:type="dxa"/>
              <w:left w:w="95" w:type="dxa"/>
              <w:right w:w="95" w:type="dxa"/>
            </w:tcMar>
          </w:tcPr>
          <w:p>
            <w:pPr>
              <w:spacing w:after="0" w:line="257" w:lineRule="auto"/>
            </w:pPr>
            <w:r>
              <w:rPr>
                <w:sz w:val="18"/>
              </w:rPr>
              <w:t>0</w:t>
            </w:r>
          </w:p>
        </w:tc>
        <w:tc>
          <w:tcPr>
            <w:tcW w:type="dxa" w:w="1644"/>
            <w:vAlign w:val="center"/>
            <w:shd w:fill="FFFFFF"/>
            <w:tcMar>
              <w:top w:w="80" w:type="dxa"/>
              <w:bottom w:w="80" w:type="dxa"/>
              <w:left w:w="95" w:type="dxa"/>
              <w:right w:w="95" w:type="dxa"/>
            </w:tcMar>
          </w:tcPr>
          <w:p>
            <w:pPr>
              <w:spacing w:after="0" w:line="257" w:lineRule="auto"/>
            </w:pPr>
            <w:r>
              <w:rPr>
                <w:sz w:val="18"/>
              </w:rPr>
              <w:t>0%</w:t>
            </w:r>
          </w:p>
        </w:tc>
      </w:tr>
      <w:tr>
        <w:trPr>
          <w:cantSplit/>
        </w:trPr>
        <w:tc>
          <w:tcPr>
            <w:tcW w:type="dxa" w:w="5669"/>
            <w:vAlign w:val="center"/>
            <w:shd w:fill="F4F6F8"/>
            <w:tcMar>
              <w:top w:w="80" w:type="dxa"/>
              <w:bottom w:w="80" w:type="dxa"/>
              <w:left w:w="95" w:type="dxa"/>
              <w:right w:w="95" w:type="dxa"/>
            </w:tcMar>
          </w:tcPr>
          <w:p>
            <w:pPr>
              <w:spacing w:after="0" w:line="257" w:lineRule="auto"/>
            </w:pPr>
            <w:r>
              <w:rPr>
                <w:sz w:val="18"/>
              </w:rPr>
              <w:t>Tổng</w:t>
            </w:r>
          </w:p>
        </w:tc>
        <w:tc>
          <w:tcPr>
            <w:tcW w:type="dxa" w:w="2324"/>
            <w:vAlign w:val="center"/>
            <w:shd w:fill="F4F6F8"/>
            <w:tcMar>
              <w:top w:w="80" w:type="dxa"/>
              <w:bottom w:w="80" w:type="dxa"/>
              <w:left w:w="95" w:type="dxa"/>
              <w:right w:w="95" w:type="dxa"/>
            </w:tcMar>
          </w:tcPr>
          <w:p>
            <w:pPr>
              <w:spacing w:after="0" w:line="257" w:lineRule="auto"/>
            </w:pPr>
            <w:r>
              <w:rPr>
                <w:sz w:val="18"/>
              </w:rPr>
              <w:t>2.000,00 triệu</w:t>
            </w:r>
          </w:p>
        </w:tc>
        <w:tc>
          <w:tcPr>
            <w:tcW w:type="dxa" w:w="1644"/>
            <w:vAlign w:val="center"/>
            <w:shd w:fill="F4F6F8"/>
            <w:tcMar>
              <w:top w:w="80" w:type="dxa"/>
              <w:bottom w:w="80" w:type="dxa"/>
              <w:left w:w="95" w:type="dxa"/>
              <w:right w:w="95" w:type="dxa"/>
            </w:tcMar>
          </w:tcPr>
          <w:p>
            <w:pPr>
              <w:spacing w:after="0" w:line="257" w:lineRule="auto"/>
            </w:pPr>
            <w:r>
              <w:rPr>
                <w:sz w:val="18"/>
              </w:rPr>
              <w:t>100%</w:t>
            </w:r>
          </w:p>
        </w:tc>
      </w:tr>
    </w:tbl>
    <w:p>
      <w:pPr>
        <w:spacing w:after="0"/>
      </w:pPr>
      <w:r>
        <w:rPr>
          <w:b w:val="0"/>
        </w:rPr>
      </w:r>
    </w:p>
    <w:p>
      <w:r>
        <w:rPr>
          <w:b w:val="0"/>
        </w:rPr>
        <w:t>Nếu học phí, công cụ hoặc mức phí khác, phải tính lại vốn dành riêng. Giả định cú sốc tức thì: tiền gửi không giảm giá trị danh nghĩa, trái phiếu -5%, cổ phiếu -35%, vàng -10%; tổn thất ước tính là 340,24 triệu, tức 17,01% toàn bộ tài sản tài chính, trước chi phí và dòng thu trong kỳ. Danh mục dài hạn riêng giảm 23%. Đây là phép kiểm tra với một cú sốc, chưa xác nhận mức lỗ tối đa hoặc an toàn kế hoạch.</w:t>
      </w:r>
    </w:p>
    <w:p>
      <w:r>
        <w:rPr>
          <w:b w:val="0"/>
        </w:rPr>
        <w:t>Trước khi khuyến nghị thực tế, đối chiếu tổn thất bằng tiền với khả năng chịu lỗ, kiểm tra sản phẩm mua được và mô phỏng đủ lịch hưu, lương hưu, khoản góp, phí và các nghĩa vụ còn lại. Ngay cả danh mục có tỷ trọng hợp lý cũng không bù được một ngân sách tiết kiệm thiếu.</w:t>
      </w:r>
    </w:p>
    <w:p>
      <w:r>
        <w:br w:type="page"/>
      </w:r>
    </w:p>
    <w:p>
      <w:pPr>
        <w:pStyle w:val="Heading1"/>
      </w:pPr>
      <w:r>
        <w:t>Phạm vi triển khai và cơ sở tham khảo</w:t>
      </w:r>
    </w:p>
    <w:p>
      <w:pPr>
        <w:pStyle w:val="Heading2"/>
      </w:pPr>
      <w:r>
        <w:t>Phiên bản đầu có thể kiểm chứng</w:t>
      </w:r>
    </w:p>
    <w:p>
      <w:r>
        <w:rPr>
          <w:b w:val="0"/>
        </w:rPr>
        <w:t>Xây bộ hồ sơ và lịch nghĩa vụ; danh mục nền có giới hạn; dữ liệu cuối ngày được cấp quyền; tổng lợi nhuận theo tháng; mô phỏng, cú sốc và phí; bảng giải thích phân bổ; đề xuất tái cân bằng. Có thể nhập tài sản thủ công hoặc từ tệp được khách cung cấp. Dữ liệu thời gian thực thêm sau cho định giá và cảnh báo; khả năng đặt lệnh cần phạm vi dịch vụ và thẩm quyền riêng.</w:t>
      </w:r>
    </w:p>
    <w:p>
      <w:pPr>
        <w:pStyle w:val="Heading2"/>
      </w:pPr>
      <w:r>
        <w:t>Kiểm tra và theo dõi mô hình</w:t>
      </w:r>
    </w:p>
    <w:p>
      <w:r>
        <w:rPr>
          <w:b w:val="0"/>
        </w:rPr>
        <w:t>Kiểm tra tổng tỷ trọng, không bán tài sản bị khóa, không đếm hai lần quỹ mục tiêu hoặc phân phối, xử lý phí đúng nguồn và không xóa thiếu hụt. Kiểm tra lãi bằng lạm phát, không còn thời gian góp, nghỉ trước lương hưu, sản phẩm không mua được, giá hết hạn và rủi ro cùng xảy ra. Kiểm tra ngoài mẫu theo thời gian, không nhìn dữ liệu tương lai; tính đủ phí rồi so với danh mục đơn giản.</w:t>
      </w:r>
    </w:p>
    <w:p>
      <w:r>
        <w:rPr>
          <w:b w:val="0"/>
        </w:rPr>
        <w:t>Các phép tính của ví dụ 2 tỷ đã đối chiếu số tiền phân bổ, tổng tỷ trọng, vốn học phí và tổn thất cú sốc. Đây là kiểm tra số học và logic thiết kế. Kết nối dữ liệu sống, tối ưu trên dữ liệu thị trường và hiệu chỉnh xác suất là các phần cần thực hiện ở giai đoạn xây ứng dụng.</w:t>
      </w:r>
    </w:p>
    <w:p>
      <w:pPr>
        <w:pStyle w:val="Heading2"/>
      </w:pPr>
      <w:r>
        <w:t>Nguồn chính đã đối chiếu</w:t>
      </w:r>
    </w:p>
    <w:p>
      <w:r>
        <w:rPr>
          <w:b w:val="0"/>
          <w:sz w:val="17"/>
        </w:rPr>
        <w:t>1  Công báo Chính phủ, Văn bản hợp nhất 102/VBHN-VPQH ngày 22/04/2026. https://congbao.chinhphu.vn/van-ban/van-ban-hop-nhat-so-102-vbhn-vpqh-469444.htm</w:t>
      </w:r>
    </w:p>
    <w:p>
      <w:r>
        <w:rPr>
          <w:b w:val="0"/>
          <w:sz w:val="17"/>
        </w:rPr>
        <w:t>2  Cơ sở dữ liệu văn bản pháp luật, nội dung hợp nhất Luật Chứng khoán, các quy định về tư vấn và quản lý danh mục. https://vbpl.vn/van-ban/chi-tiet/van-ban-hop-nhat-so-102-vbhn-vpqh-2026-hop-nhat-luat-chung-khoan-so-54-2019-qh14--21c11fe0-8fea-11f1-bc9a-8fd80d1be486</w:t>
      </w:r>
    </w:p>
    <w:p>
      <w:r>
        <w:rPr>
          <w:b w:val="0"/>
          <w:sz w:val="17"/>
        </w:rPr>
        <w:t>3  CFA Institute, Principles of Asset Allocation, 2026. Khung phân bổ theo nghĩa vụ, mục tiêu, tối ưu và tái cân bằng. https://www.cfainstitute.org/insights/professional-learning/refresher-readings/2026/principles-asset-allocation</w:t>
      </w:r>
    </w:p>
    <w:p>
      <w:r>
        <w:rPr>
          <w:b w:val="0"/>
          <w:sz w:val="17"/>
        </w:rPr>
        <w:t>4  CFA Institute, Capital Market Expectations Part I, 2026. Dữ liệu, sai lệch ước lượng và bất định dự báo. https://www.cfainstitute.org/insights/professional-learning/refresher-readings/2026/capital-market-expectations-part-i</w:t>
      </w:r>
    </w:p>
    <w:p>
      <w:r>
        <w:rPr>
          <w:b w:val="0"/>
          <w:sz w:val="17"/>
        </w:rPr>
        <w:t>5  SSI FastConnect Data và hướng dẫn kết nối. https://guide.ssi.com.vn/ssi-products/tieng-viet/fastconnect-data ; https://guide.ssi.com.vn/ssi-products/tieng-viet/fastconnect-data/huong-dan-ket-noi.md</w:t>
      </w:r>
    </w:p>
    <w:p>
      <w:r>
        <w:rPr>
          <w:b w:val="0"/>
          <w:sz w:val="17"/>
        </w:rPr>
        <w:t>6  FiinGroup, dịch vụ API Datafeed. https://fiingroup.vn/upload/docs/FiinGroup_API_Datafeed.pdf ; https://dff.fiingroup.vn/</w:t>
      </w:r>
    </w:p>
    <w:p>
      <w:r>
        <w:rPr>
          <w:b w:val="0"/>
          <w:sz w:val="17"/>
        </w:rPr>
        <w:t>7  HNX, tiêu chí rổ chỉ số trái phiếu và đường cong lợi suất. https://www.hnx.vn/vi-vn/ModuleReportBonds/Bond_IDX_OverView/Bond_IDX_BaiVietTieuChiChonRoChiSo</w:t>
      </w:r>
    </w:p>
    <w:p>
      <w:r>
        <w:rPr>
          <w:b w:val="0"/>
          <w:sz w:val="17"/>
        </w:rPr>
        <w:t>8  Cục Thống kê, CPI. https://www.nso.gov.vn/chart/cpi/ ; Bộ Xây dựng, thông tin nhà ở và thị trường bất động sản. https://moc.gov.vn/vn/chuyen-muc/1206/nha-va-thi-truong-bds.aspx</w:t>
      </w:r>
    </w:p>
    <w:p>
      <w:r>
        <w:rPr>
          <w:b w:val="0"/>
          <w:sz w:val="17"/>
        </w:rPr>
        <w:t>9  SJC, giá vàng; Phú Quý, giá bạc. https://sjc.com.vn/gia-vang-online ; https://giabac.phuquygroup.vn/</w:t>
      </w:r>
    </w:p>
    <w:p>
      <w:r>
        <w:rPr>
          <w:b w:val="0"/>
          <w:sz w:val="17"/>
        </w:rPr>
        <w:t>10  scikit-learn 1.8, LedoitWolf; MathWorks, Black-Litterman. https://scikit-learn.org/1.8/modules/generated/sklearn.covariance.LedoitWolf.html ; https://es.mathworks.com/help/finance/black-litterman-portfolio-optimization.html</w:t>
      </w:r>
    </w:p>
    <w:sectPr w:rsidR="00FC693F" w:rsidRPr="0006063C" w:rsidSect="00034616">
      <w:footerReference w:type="default" r:id="rId9"/>
      <w:pgSz w:w="11906" w:h="16838"/>
      <w:pgMar w:top="1020" w:right="1134" w:bottom="1020" w:left="113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9615E"/>
        <w:sz w:val="16"/>
      </w:rPr>
      <w:t xml:space="preserve">An Hưu  |  Thiết kế sản phẩm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20"/>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DejaVu Sans" w:hAnsi="DejaVu San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Thuật toán phân bổ tài sản An Hưu</dc:title>
  <dc:subject>Phân bổ theo mục tiêu và nghĩa vụ cùng dữ liệu thị trường</dc:subject>
  <dc:creator>An Hưu</dc:creator>
  <cp:keywords>An Hưu, kế hoạch nghỉ hưu, tài chính cá nhân</cp:keywords>
  <dc:description>generated by python-docx</dc:description>
  <cp:lastModifiedBy/>
  <cp:revision>1</cp:revision>
  <dcterms:created xsi:type="dcterms:W3CDTF">2013-12-23T23:15:00Z</dcterms:created>
  <dcterms:modified xsi:type="dcterms:W3CDTF">2013-12-23T23:15:00Z</dcterms:modified>
  <cp:category/>
</cp:coreProperties>
</file>