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42.pdf" ContentType="application/pdf"/>
  <Override PartName="/word/media/rId39.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Similarity-Weighted Linguistic Time Series Forecasting</w:t>
      </w:r>
      <w:r>
        <w:t xml:space="preserve"> </w:t>
      </w:r>
      <w:r>
        <w:t xml:space="preserve">using Hedge Algebras Semantic Kernels</w:t>
      </w:r>
    </w:p>
    <w:p>
      <w:pPr>
        <w:pStyle w:val="author"/>
      </w:pPr>
      <w:r>
        <w:t xml:space="preserve">Nguyen Duy Hieu</w:t>
      </w:r>
    </w:p>
    <w:p>
      <w:pPr>
        <w:pStyle w:val="AbstractTitle"/>
      </w:pPr>
      <w:r>
        <w:t xml:space="preserve">Abstract</w:t>
      </w:r>
    </w:p>
    <w:p>
      <w:pPr>
        <w:pStyle w:val="abstract"/>
      </w:pPr>
      <w:r>
        <w:t xml:space="preserve">Linguistic Time Series (LTS) forecasting, grounded in Hedge Algebras</w:t>
      </w:r>
      <w:r>
        <w:t xml:space="preserve"> </w:t>
      </w:r>
      <w:r>
        <w:t xml:space="preserve">(HA), provides an interpretable algebraic approach to short-sequence</w:t>
      </w:r>
      <w:r>
        <w:t xml:space="preserve"> </w:t>
      </w:r>
      <w:r>
        <w:t xml:space="preserve">prediction. However, all existing LTS models rely on</w:t>
      </w:r>
      <w:r>
        <w:t xml:space="preserve"> </w:t>
      </w:r>
      <w:r>
        <w:rPr>
          <w:i/>
          <w:iCs/>
        </w:rPr>
        <w:t xml:space="preserve">exact-match lookup</w:t>
      </w:r>
      <w:r>
        <w:t xml:space="preserve">, producing a forecast only when the current</w:t>
      </w:r>
      <w:r>
        <w:t xml:space="preserve"> </w:t>
      </w:r>
      <m:oMath>
        <m:r>
          <m:t>λ</m:t>
        </m:r>
      </m:oMath>
      <w:r>
        <w:t xml:space="preserve">-gram appears verbatim in the rule base—an all-or-nothing</w:t>
      </w:r>
      <w:r>
        <w:t xml:space="preserve"> </w:t>
      </w:r>
      <w:r>
        <w:t xml:space="preserve">inference that discards the graded semantic structure of HA. We</w:t>
      </w:r>
      <w:r>
        <w:t xml:space="preserve"> </w:t>
      </w:r>
      <w:r>
        <w:t xml:space="preserve">formally characterize this</w:t>
      </w:r>
      <w:r>
        <w:t xml:space="preserve"> </w:t>
      </w:r>
      <w:r>
        <w:rPr>
          <w:i/>
          <w:iCs/>
        </w:rPr>
        <w:t xml:space="preserve">sparse-rule problem</w:t>
      </w:r>
      <w:r>
        <w:t xml:space="preserve"> </w:t>
      </w:r>
      <w:r>
        <w:t xml:space="preserve">via coverage</w:t>
      </w:r>
      <w:r>
        <w:t xml:space="preserve"> </w:t>
      </w:r>
      <w:r>
        <w:t xml:space="preserve">ratio</w:t>
      </w:r>
      <w:r>
        <w:t xml:space="preserve"> </w:t>
      </w:r>
      <m:oMath>
        <m:r>
          <m:rPr>
            <m:sty m:val="p"/>
          </m:rPr>
          <m:t>|</m:t>
        </m:r>
        <m:r>
          <m:rPr>
            <m:scr m:val="script"/>
            <m:sty m:val="p"/>
          </m:rPr>
          <m:t>R</m:t>
        </m:r>
        <m:r>
          <m:rPr>
            <m:sty m:val="p"/>
          </m:rPr>
          <m:t>|</m:t>
        </m:r>
        <m:r>
          <m:rPr>
            <m:sty m:val="p"/>
          </m:rPr>
          <m:t>/</m:t>
        </m:r>
        <m:r>
          <m:rPr>
            <m:sty m:val="p"/>
          </m:rPr>
          <m:t>|</m:t>
        </m:r>
        <m:r>
          <m:t>W</m:t>
        </m:r>
        <m:sSup>
          <m:e>
            <m:r>
              <m:rPr>
                <m:sty m:val="p"/>
              </m:rPr>
              <m:t>|</m:t>
            </m:r>
          </m:e>
          <m:sup>
            <m:r>
              <m:t>λ</m:t>
            </m:r>
          </m:sup>
        </m:sSup>
      </m:oMath>
      <w:r>
        <w:t xml:space="preserve">, which reaches 0.56% for Alabama</w:t>
      </w:r>
      <w:r>
        <w:t xml:space="preserve"> </w:t>
      </w:r>
      <w:r>
        <w:t xml:space="preserve">at</w:t>
      </w:r>
      <w:r>
        <w:t xml:space="preserve"> </w:t>
      </w:r>
      <m:oMath>
        <m:r>
          <m:t>λ</m:t>
        </m:r>
        <m:r>
          <m:rPr>
            <m:sty m:val="p"/>
          </m:rPr>
          <m:t>=</m:t>
        </m:r>
        <m:r>
          <m:t>3</m:t>
        </m:r>
      </m:oMath>
      <w:r>
        <w:t xml:space="preserve">. We propose</w:t>
      </w:r>
      <w:r>
        <w:t xml:space="preserve"> </w:t>
      </w:r>
      <w:r>
        <w:rPr>
          <w:b/>
          <w:bCs/>
        </w:rPr>
        <w:t xml:space="preserve">SW-LTS</w:t>
      </w:r>
      <w:r>
        <w:t xml:space="preserve"> </w:t>
      </w:r>
      <w:r>
        <w:t xml:space="preserve">(Similarity-Weighted LTS):</w:t>
      </w:r>
      <w:r>
        <w:t xml:space="preserve"> </w:t>
      </w:r>
      <w:r>
        <w:t xml:space="preserve">an interpretable graded inference mechanism in which every prediction</w:t>
      </w:r>
      <w:r>
        <w:t xml:space="preserve"> </w:t>
      </w:r>
      <w:r>
        <w:t xml:space="preserve">is a linguistically auditable weighted average of stored rules, with</w:t>
      </w:r>
      <w:r>
        <w:t xml:space="preserve"> </w:t>
      </w:r>
      <w:r>
        <w:t xml:space="preserve">weights derived from Gaussian kernels over normalized HA semantic</w:t>
      </w:r>
      <w:r>
        <w:t xml:space="preserve"> </w:t>
      </w:r>
      <w:r>
        <w:t xml:space="preserve">distances. Any forecast can be explained by ranking rules by their</w:t>
      </w:r>
      <w:r>
        <w:t xml:space="preserve"> </w:t>
      </w:r>
      <w:r>
        <w:t xml:space="preserve">kernel weight—semantic proximity in the algebraic structure of HA,</w:t>
      </w:r>
      <w:r>
        <w:t xml:space="preserve"> </w:t>
      </w:r>
      <w:r>
        <w:t xml:space="preserve">not geometric distance in raw data space. Two formal propositions</w:t>
      </w:r>
      <w:r>
        <w:t xml:space="preserve"> </w:t>
      </w:r>
      <w:r>
        <w:t xml:space="preserve">establish strict generalization over LTS and HO-LTS. Empirical</w:t>
      </w:r>
      <w:r>
        <w:t xml:space="preserve"> </w:t>
      </w:r>
      <w:r>
        <w:t xml:space="preserve">results confirm SW-LTS matches or improves in-sample accuracy and</w:t>
      </w:r>
      <w:r>
        <w:t xml:space="preserve"> </w:t>
      </w:r>
      <w:r>
        <w:t xml:space="preserve">achieves a statistically significant 69.5% walk-forward MSE reduction</w:t>
      </w:r>
      <w:r>
        <w:t xml:space="preserve"> </w:t>
      </w:r>
      <w:r>
        <w:t xml:space="preserve">on Wolf’s Sunspot (</w:t>
      </w:r>
      <m:oMath>
        <m:r>
          <m:t>p</m:t>
        </m:r>
        <m:r>
          <m:rPr>
            <m:sty m:val="p"/>
          </m:rPr>
          <m:t>&lt;</m:t>
        </m:r>
        <m:r>
          <m:t>0.001</m:t>
        </m:r>
      </m:oMath>
      <w:r>
        <w:t xml:space="preserve">), with interpretability demonstrated</w:t>
      </w:r>
      <w:r>
        <w:t xml:space="preserve"> </w:t>
      </w:r>
      <w:r>
        <w:t xml:space="preserve">via kernel weight attribution on a case study (Table </w:t>
      </w:r>
      <w:hyperlink w:anchor="tab:casestudy">
        <w:r>
          <w:rPr>
            <w:rStyle w:val="Hyperlink"/>
          </w:rPr>
          <w:t xml:space="preserve">[tab:casestudy]</w:t>
        </w:r>
      </w:hyperlink>
      <w:r>
        <w:t xml:space="preserve">).</w:t>
      </w:r>
    </w:p>
    <w:bookmarkStart w:id="24" w:name="sec:intro"/>
    <w:p>
      <w:pPr>
        <w:pStyle w:val="heading 1"/>
      </w:pPr>
      <w:r>
        <w:t xml:space="preserve">Introduction</w:t>
      </w:r>
    </w:p>
    <w:p>
      <w:pPr>
        <w:pStyle w:val="FirstParagraph"/>
      </w:pPr>
      <w:r>
        <w:t xml:space="preserve">Fuzzy Time Series (FTS), introduced by Song and</w:t>
      </w:r>
      <w:r>
        <w:t xml:space="preserve"> </w:t>
      </w:r>
      <w:r>
        <w:t xml:space="preserve">Chissom </w:t>
      </w:r>
      <w:r>
        <w:t xml:space="preserve">, encodes observations as linguistic</w:t>
      </w:r>
      <w:r>
        <w:t xml:space="preserve"> </w:t>
      </w:r>
      <w:r>
        <w:t xml:space="preserve">labels and extracts forecasting rules from sequential patterns,</w:t>
      </w:r>
      <w:r>
        <w:t xml:space="preserve"> </w:t>
      </w:r>
      <w:r>
        <w:t xml:space="preserve">offering interpretability where deep-learning models require much</w:t>
      </w:r>
      <w:r>
        <w:t xml:space="preserve"> </w:t>
      </w:r>
      <w:r>
        <w:t xml:space="preserve">larger corpora </w:t>
      </w:r>
      <w:r>
        <w:t xml:space="preserve">. Linguistic Time</w:t>
      </w:r>
      <w:r>
        <w:t xml:space="preserve"> </w:t>
      </w:r>
      <w:r>
        <w:t xml:space="preserve">Series (LTS) </w:t>
      </w:r>
      <w:r>
        <w:t xml:space="preserve"> </w:t>
      </w:r>
      <w:r>
        <w:t xml:space="preserve">advances FTS by replacing ad hoc</w:t>
      </w:r>
      <w:r>
        <w:t xml:space="preserve"> </w:t>
      </w:r>
      <w:r>
        <w:t xml:space="preserve">interval partitioning with Hedge Algebras</w:t>
      </w:r>
      <w:r>
        <w:t xml:space="preserve"> </w:t>
      </w:r>
      <w:r>
        <w:t xml:space="preserve">(HA) </w:t>
      </w:r>
      <w:r>
        <w:t xml:space="preserve">: a formal algebraic structure</w:t>
      </w:r>
      <w:r>
        <w:t xml:space="preserve"> </w:t>
      </w:r>
      <w:r>
        <w:t xml:space="preserve">that equips each term with an analytically computable semantic value.</w:t>
      </w:r>
      <w:r>
        <w:t xml:space="preserve"> </w:t>
      </w:r>
      <w:r>
        <w:t xml:space="preserve">Subsequent extensions include high-order LTS</w:t>
      </w:r>
      <w:r>
        <w:t xml:space="preserve"> </w:t>
      </w:r>
      <w:r>
        <w:t xml:space="preserve">(HO-LTS </w:t>
      </w:r>
      <w:r>
        <w:t xml:space="preserve">), PSO-tuned optimization</w:t>
      </w:r>
      <w:r>
        <w:t xml:space="preserve"> </w:t>
      </w:r>
      <w:r>
        <w:t xml:space="preserve">(LTS-PSO </w:t>
      </w:r>
      <w:r>
        <w:t xml:space="preserve">), and co-optimization</w:t>
      </w:r>
      <w:r>
        <w:t xml:space="preserve"> </w:t>
      </w:r>
      <w:r>
        <w:t xml:space="preserve">(CO-LTS </w:t>
      </w:r>
      <w:r>
        <w:t xml:space="preserve">).</w:t>
      </w:r>
    </w:p>
    <w:p>
      <w:pPr>
        <w:pStyle w:val="BodyText"/>
      </w:pPr>
      <w:r>
        <w:t xml:space="preserve">Despite these advances, all LTS models share one limitation:</w:t>
      </w:r>
      <w:r>
        <w:t xml:space="preserve"> </w:t>
      </w:r>
      <w:r>
        <w:rPr>
          <w:b/>
          <w:bCs/>
        </w:rPr>
        <w:t xml:space="preserve">exact-match lookup</w:t>
      </w:r>
      <w:r>
        <w:t xml:space="preserve">—a forecast is produced only when the</w:t>
      </w:r>
      <w:r>
        <w:t xml:space="preserve"> </w:t>
      </w:r>
      <w:r>
        <w:t xml:space="preserve">current</w:t>
      </w:r>
      <w:r>
        <w:t xml:space="preserve"> </w:t>
      </w:r>
      <m:oMath>
        <m:r>
          <m:t>λ</m:t>
        </m:r>
      </m:oMath>
      <w:r>
        <w:t xml:space="preserve">-gram appears verbatim in the rule base. The resulting</w:t>
      </w:r>
      <w:r>
        <w:t xml:space="preserve"> </w:t>
      </w:r>
      <w:r>
        <w:rPr>
          <w:b/>
          <w:bCs/>
        </w:rPr>
        <w:t xml:space="preserve">sparse-rule problem</w:t>
      </w:r>
      <w:r>
        <w:t xml:space="preserve"> </w:t>
      </w:r>
      <w:r>
        <w:t xml:space="preserve">(</w:t>
      </w:r>
      <m:oMath>
        <m:r>
          <m:rPr>
            <m:sty m:val="p"/>
          </m:rPr>
          <m:t>|</m:t>
        </m:r>
        <m:r>
          <m:rPr>
            <m:scr m:val="script"/>
            <m:sty m:val="p"/>
          </m:rPr>
          <m:t>R</m:t>
        </m:r>
        <m:r>
          <m:rPr>
            <m:sty m:val="p"/>
          </m:rPr>
          <m:t>|</m:t>
        </m:r>
        <m:r>
          <m:rPr>
            <m:sty m:val="p"/>
          </m:rPr>
          <m:t>/</m:t>
        </m:r>
        <m:r>
          <m:rPr>
            <m:sty m:val="p"/>
          </m:rPr>
          <m:t>|</m:t>
        </m:r>
        <m:r>
          <m:t>W</m:t>
        </m:r>
        <m:sSup>
          <m:e>
            <m:r>
              <m:rPr>
                <m:sty m:val="p"/>
              </m:rPr>
              <m:t>|</m:t>
            </m:r>
          </m:e>
          <m:sup>
            <m:r>
              <m:t>λ</m:t>
            </m:r>
          </m:sup>
        </m:sSup>
      </m:oMath>
      <w:r>
        <w:t xml:space="preserve"> </w:t>
      </w:r>
      <w:r>
        <w:t xml:space="preserve">collapses</w:t>
      </w:r>
      <w:r>
        <w:t xml:space="preserve"> </w:t>
      </w:r>
      <w:r>
        <w:t xml:space="preserve">exponentially) drives coverage to 0.56% for Alabama at</w:t>
      </w:r>
      <w:r>
        <w:t xml:space="preserve"> </w:t>
      </w:r>
      <m:oMath>
        <m:r>
          <m:t>λ</m:t>
        </m:r>
        <m:r>
          <m:rPr>
            <m:sty m:val="p"/>
          </m:rPr>
          <m:t>=</m:t>
        </m:r>
        <m:r>
          <m:t>3</m:t>
        </m:r>
      </m:oMath>
      <w:r>
        <w:t xml:space="preserve">.</w:t>
      </w:r>
      <w:r>
        <w:t xml:space="preserve"> </w:t>
      </w:r>
      <w:r>
        <w:t xml:space="preserve">HO-LTS replaces the fallback but retains binary lookup; LTS-PSO and</w:t>
      </w:r>
      <w:r>
        <w:t xml:space="preserve"> </w:t>
      </w:r>
      <w:r>
        <w:t xml:space="preserve">CO-LTS tune parameters without fixing the lookup mechanism.</w:t>
      </w:r>
    </w:p>
    <w:p>
      <w:pPr>
        <w:pStyle w:val="BodyText"/>
      </w:pPr>
      <w:r>
        <w:t xml:space="preserve">We propose</w:t>
      </w:r>
      <w:r>
        <w:t xml:space="preserve"> </w:t>
      </w:r>
      <w:r>
        <w:rPr>
          <w:b/>
          <w:bCs/>
        </w:rPr>
        <w:t xml:space="preserve">SW-LTS</w:t>
      </w:r>
      <w:r>
        <w:t xml:space="preserve"> </w:t>
      </w:r>
      <w:r>
        <w:t xml:space="preserve">(Similarity-Weighted LTS), replacing</w:t>
      </w:r>
      <w:r>
        <w:t xml:space="preserve"> </w:t>
      </w:r>
      <w:r>
        <w:t xml:space="preserve">discrete lookup with Gaussian kernel-weighted aggregation in normalized</w:t>
      </w:r>
      <w:r>
        <w:t xml:space="preserve"> </w:t>
      </w:r>
      <w:r>
        <w:t xml:space="preserve">HA semantic space (Nadaraya–Watson estimator </w:t>
      </w:r>
      <w:r>
        <w:t xml:space="preserve">).</w:t>
      </w:r>
      <w:r>
        <w:t xml:space="preserve"> </w:t>
      </w:r>
      <w:r>
        <w:t xml:space="preserve">Every prediction is a linguistically graded weighted average of stored</w:t>
      </w:r>
      <w:r>
        <w:t xml:space="preserve"> </w:t>
      </w:r>
      <w:r>
        <w:t xml:space="preserve">rules with weights ranked by HA semantic proximity, preserving and</w:t>
      </w:r>
      <w:r>
        <w:t xml:space="preserve"> </w:t>
      </w:r>
      <w:r>
        <w:t xml:space="preserve">extending LTS interpretability. Bandwidth </w:t>
      </w:r>
      <m:oMath>
        <m:r>
          <m:t>σ</m:t>
        </m:r>
      </m:oMath>
      <w:r>
        <w:t xml:space="preserve">, dimensionless in</w:t>
      </w:r>
      <w:r>
        <w:t xml:space="preserve"> </w:t>
      </w:r>
      <m:oMath>
        <m:r>
          <m:rPr>
            <m:sty m:val="p"/>
          </m:rPr>
          <m:t>[</m:t>
        </m:r>
        <m:r>
          <m:t>0</m:t>
        </m:r>
        <m:r>
          <m:rPr>
            <m:sty m:val="p"/>
          </m:rPr>
          <m:t>,</m:t>
        </m:r>
        <m:r>
          <m:t>1</m:t>
        </m:r>
        <m:sSup>
          <m:e>
            <m:r>
              <m:rPr>
                <m:sty m:val="p"/>
              </m:rPr>
              <m:t>]</m:t>
            </m:r>
          </m:e>
          <m:sup>
            <m:r>
              <m:t>λ</m:t>
            </m:r>
          </m:sup>
        </m:sSup>
      </m:oMath>
      <w:r>
        <w:t xml:space="preserve">, is the sole additional parameter.</w:t>
      </w:r>
    </w:p>
    <w:bookmarkEnd w:id="24"/>
    <w:bookmarkStart w:id="27" w:name="sec:background"/>
    <w:p>
      <w:pPr>
        <w:pStyle w:val="heading 1"/>
      </w:pPr>
      <w:r>
        <w:t xml:space="preserve">Background</w:t>
      </w:r>
    </w:p>
    <w:bookmarkStart w:id="25" w:name="X88ef6026634f322b8ce3df03e01aa7fdcc75044"/>
    <w:p>
      <w:pPr>
        <w:pStyle w:val="heading 2"/>
      </w:pPr>
      <w:r>
        <w:t xml:space="preserve">Hedge Algebras and Semantic Quantifying Measure</w:t>
      </w:r>
    </w:p>
    <w:p>
      <w:pPr>
        <w:pStyle w:val="FirstParagraph"/>
      </w:pPr>
      <w:r>
        <w:t xml:space="preserve">A Hedge Algebra </w:t>
      </w:r>
      <w:r>
        <w:t xml:space="preserve"> </w:t>
      </w:r>
      <w:r>
        <w:t xml:space="preserve">is a quintuple</w:t>
      </w:r>
      <w:r>
        <w:t xml:space="preserve"> </w:t>
      </w:r>
      <m:oMath>
        <m:r>
          <m:rPr>
            <m:scr m:val="script"/>
            <m:sty m:val="p"/>
          </m:rPr>
          <m:t>A</m:t>
        </m:r>
        <m:r>
          <m:rPr>
            <m:scr m:val="script"/>
            <m:sty m:val="p"/>
          </m:rPr>
          <m:t>X</m:t>
        </m:r>
        <m:r>
          <m:rPr>
            <m:sty m:val="p"/>
          </m:rPr>
          <m:t>=</m:t>
        </m:r>
        <m:r>
          <m:rPr>
            <m:sty m:val="p"/>
          </m:rPr>
          <m:t>(</m:t>
        </m:r>
        <m:r>
          <m:t>X</m:t>
        </m:r>
        <m:r>
          <m:rPr>
            <m:sty m:val="p"/>
          </m:rPr>
          <m:t>,</m:t>
        </m:r>
        <m:r>
          <m:t>G</m:t>
        </m:r>
        <m:r>
          <m:rPr>
            <m:sty m:val="p"/>
          </m:rPr>
          <m:t>,</m:t>
        </m:r>
        <m:r>
          <m:t>C</m:t>
        </m:r>
        <m:r>
          <m:rPr>
            <m:sty m:val="p"/>
          </m:rPr>
          <m:t>,</m:t>
        </m:r>
        <m:r>
          <m:t>H</m:t>
        </m:r>
        <m:r>
          <m:rPr>
            <m:sty m:val="p"/>
          </m:rPr>
          <m:t>,</m:t>
        </m:r>
        <m:r>
          <m:rPr>
            <m:sty m:val="p"/>
          </m:rPr>
          <m:t>≤</m:t>
        </m:r>
        <m:r>
          <m:rPr>
            <m:sty m:val="p"/>
          </m:rPr>
          <m:t>)</m:t>
        </m:r>
      </m:oMath>
      <w:r>
        <w:t xml:space="preserve">, where</w:t>
      </w:r>
      <w:r>
        <w:t xml:space="preserve"> </w:t>
      </w:r>
      <m:oMath>
        <m:r>
          <m:t>X</m:t>
        </m:r>
      </m:oMath>
      <w:r>
        <w:t xml:space="preserve"> </w:t>
      </w:r>
      <w:r>
        <w:t xml:space="preserve">is the universe of</w:t>
      </w:r>
      <w:r>
        <w:t xml:space="preserve"> </w:t>
      </w:r>
      <w:r>
        <w:t xml:space="preserve">linguistic terms,</w:t>
      </w:r>
      <w:r>
        <w:t xml:space="preserve"> </w:t>
      </w:r>
      <m:oMath>
        <m:r>
          <m:t>G</m:t>
        </m:r>
        <m:r>
          <m:rPr>
            <m:sty m:val="p"/>
          </m:rPr>
          <m:t>=</m:t>
        </m:r>
        <m:r>
          <m:rPr>
            <m:sty m:val="p"/>
          </m:rPr>
          <m:t>{</m:t>
        </m:r>
        <m:sSup>
          <m:e>
            <m:r>
              <m:t>c</m:t>
            </m:r>
          </m:e>
          <m:sup>
            <m:r>
              <m:rPr>
                <m:sty m:val="p"/>
              </m:rPr>
              <m:t>−</m:t>
            </m:r>
          </m:sup>
        </m:sSup>
        <m:r>
          <m:rPr>
            <m:sty m:val="p"/>
          </m:rPr>
          <m:t>,</m:t>
        </m:r>
        <m:sSup>
          <m:e>
            <m:r>
              <m:t>c</m:t>
            </m:r>
          </m:e>
          <m:sup>
            <m:r>
              <m:rPr>
                <m:sty m:val="p"/>
              </m:rPr>
              <m:t>+</m:t>
            </m:r>
          </m:sup>
        </m:sSup>
        <m:r>
          <m:rPr>
            <m:sty m:val="p"/>
          </m:rPr>
          <m:t>}</m:t>
        </m:r>
      </m:oMath>
      <w:r>
        <w:t xml:space="preserve"> </w:t>
      </w:r>
      <w:r>
        <w:t xml:space="preserve">are generators (</w:t>
      </w:r>
      <w:r>
        <w:rPr>
          <w:i/>
          <w:iCs/>
        </w:rPr>
        <w:t xml:space="preserve">Small</w:t>
      </w:r>
      <w:r>
        <w:t xml:space="preserve"> </w:t>
      </w:r>
      <w:r>
        <w:t xml:space="preserve">and</w:t>
      </w:r>
      <w:r>
        <w:t xml:space="preserve"> </w:t>
      </w:r>
      <w:r>
        <w:rPr>
          <w:i/>
          <w:iCs/>
        </w:rPr>
        <w:t xml:space="preserve">Large</w:t>
      </w:r>
      <w:r>
        <w:t xml:space="preserve">),</w:t>
      </w:r>
      <w:r>
        <w:t xml:space="preserve"> </w:t>
      </w:r>
      <m:oMath>
        <m:r>
          <m:t>C</m:t>
        </m:r>
        <m:r>
          <m:rPr>
            <m:sty m:val="p"/>
          </m:rPr>
          <m:t>=</m:t>
        </m:r>
        <m:r>
          <m:rPr>
            <m:sty m:val="p"/>
          </m:rPr>
          <m:t>{</m:t>
        </m:r>
        <m:sSub>
          <m:e>
            <m:r>
              <m:t>w</m:t>
            </m:r>
          </m:e>
          <m:sub>
            <m:r>
              <m:t>0</m:t>
            </m:r>
          </m:sub>
        </m:sSub>
        <m:r>
          <m:rPr>
            <m:sty m:val="p"/>
          </m:rPr>
          <m:t>}</m:t>
        </m:r>
      </m:oMath>
      <w:r>
        <w:t xml:space="preserve"> </w:t>
      </w:r>
      <w:r>
        <w:t xml:space="preserve">is the neutral element,</w:t>
      </w:r>
      <w:r>
        <w:t xml:space="preserve"> </w:t>
      </w:r>
      <m:oMath>
        <m:r>
          <m:t>H</m:t>
        </m:r>
      </m:oMath>
      <w:r>
        <w:t xml:space="preserve"> </w:t>
      </w:r>
      <w:r>
        <w:t xml:space="preserve">is a set of</w:t>
      </w:r>
      <w:r>
        <w:t xml:space="preserve"> </w:t>
      </w:r>
      <w:r>
        <w:t xml:space="preserve">hedges, and</w:t>
      </w:r>
      <w:r>
        <w:t xml:space="preserve"> </w:t>
      </w:r>
      <m:oMath>
        <m:r>
          <m:rPr>
            <m:sty m:val="p"/>
          </m:rPr>
          <m:t>≤</m:t>
        </m:r>
      </m:oMath>
      <w:r>
        <w:t xml:space="preserve"> </w:t>
      </w:r>
      <w:r>
        <w:t xml:space="preserve">is a semantically consistent linear order. Two</w:t>
      </w:r>
      <w:r>
        <w:t xml:space="preserve"> </w:t>
      </w:r>
      <w:r>
        <w:t xml:space="preserve">primary hedges</w:t>
      </w:r>
      <w:r>
        <w:t xml:space="preserve"> </w:t>
      </w:r>
      <m:oMath>
        <m:r>
          <m:t>V</m:t>
        </m:r>
      </m:oMath>
      <w:r>
        <w:t xml:space="preserve"> (</w:t>
      </w:r>
      <w:r>
        <w:rPr>
          <w:i/>
          <w:iCs/>
        </w:rPr>
        <w:t xml:space="preserve">Very</w:t>
      </w:r>
      <w:r>
        <w:t xml:space="preserve">) and</w:t>
      </w:r>
      <w:r>
        <w:t xml:space="preserve"> </w:t>
      </w:r>
      <m:oMath>
        <m:r>
          <m:t>L</m:t>
        </m:r>
      </m:oMath>
      <w:r>
        <w:t xml:space="preserve"> (</w:t>
      </w:r>
      <w:r>
        <w:rPr>
          <w:i/>
          <w:iCs/>
        </w:rPr>
        <w:t xml:space="preserve">Rather</w:t>
      </w:r>
      <w:r>
        <w:t xml:space="preserve">) are applied</w:t>
      </w:r>
      <w:r>
        <w:t xml:space="preserve"> </w:t>
      </w:r>
      <w:r>
        <w:t xml:space="preserve">recursively: at specificity</w:t>
      </w:r>
      <w:r>
        <w:t xml:space="preserve"> </w:t>
      </w:r>
      <m:oMath>
        <m:r>
          <m:t>k</m:t>
        </m:r>
      </m:oMath>
      <w:r>
        <w:t xml:space="preserve">, the vocabulary contains</w:t>
      </w:r>
      <w:r>
        <w:t xml:space="preserve"> </w:t>
      </w:r>
      <m:oMath>
        <m:r>
          <m:rPr>
            <m:sty m:val="p"/>
          </m:rPr>
          <m:t>|</m:t>
        </m:r>
        <m:r>
          <m:t>W</m:t>
        </m:r>
        <m:r>
          <m:rPr>
            <m:sty m:val="p"/>
          </m:rPr>
          <m:t>|</m:t>
        </m:r>
        <m:r>
          <m:rPr>
            <m:sty m:val="p"/>
          </m:rPr>
          <m:t>=</m:t>
        </m:r>
        <m:sSup>
          <m:e>
            <m:r>
              <m:t>2</m:t>
            </m:r>
          </m:e>
          <m:sup>
            <m:r>
              <m:t>k</m:t>
            </m:r>
            <m:r>
              <m:rPr>
                <m:sty m:val="p"/>
              </m:rPr>
              <m:t>+</m:t>
            </m:r>
            <m:r>
              <m:t>2</m:t>
            </m:r>
          </m:sup>
        </m:sSup>
        <m:r>
          <m:rPr>
            <m:sty m:val="p"/>
          </m:rPr>
          <m:t>−</m:t>
        </m:r>
        <m:r>
          <m:t>1</m:t>
        </m:r>
      </m:oMath>
      <w:r>
        <w:t xml:space="preserve"> </w:t>
      </w:r>
      <w:r>
        <w:t xml:space="preserve">terms (</w:t>
      </w:r>
      <m:oMath>
        <m:r>
          <m:t>k</m:t>
        </m:r>
        <m:r>
          <m:rPr>
            <m:sty m:val="p"/>
          </m:rPr>
          <m:t>=</m:t>
        </m:r>
        <m:r>
          <m:t>2</m:t>
        </m:r>
      </m:oMath>
      <w:r>
        <w:t xml:space="preserve">: 15;</w:t>
      </w:r>
      <w:r>
        <w:t xml:space="preserve"> </w:t>
      </w:r>
      <m:oMath>
        <m:r>
          <m:t>k</m:t>
        </m:r>
        <m:r>
          <m:rPr>
            <m:sty m:val="p"/>
          </m:rPr>
          <m:t>=</m:t>
        </m:r>
        <m:r>
          <m:t>3</m:t>
        </m:r>
      </m:oMath>
      <w:r>
        <w:t xml:space="preserve">: 31 terms).</w:t>
      </w:r>
    </w:p>
    <w:p>
      <w:pPr>
        <w:pStyle w:val="BodyText"/>
      </w:pPr>
      <w:r>
        <w:t xml:space="preserve">The</w:t>
      </w:r>
      <w:r>
        <w:t xml:space="preserve"> </w:t>
      </w:r>
      <w:r>
        <w:rPr>
          <w:b/>
          <w:bCs/>
        </w:rPr>
        <w:t xml:space="preserve">Semantic Quantifying Measure</w:t>
      </w:r>
      <w:r>
        <w:t xml:space="preserve"> </w:t>
      </w:r>
      <w:r>
        <w:t xml:space="preserve">(SQM) </w:t>
      </w:r>
      <w:r>
        <w:t xml:space="preserve"> </w:t>
      </w:r>
      <m:oMath>
        <m:r>
          <m:t>ν</m:t>
        </m:r>
        <m:r>
          <m:rPr>
            <m:sty m:val="p"/>
          </m:rPr>
          <m:t>:</m:t>
        </m:r>
        <m:r>
          <m:t>X</m:t>
        </m:r>
        <m:r>
          <m:rPr>
            <m:sty m:val="p"/>
          </m:rPr>
          <m:t>→</m:t>
        </m:r>
        <m:r>
          <m:rPr>
            <m:sty m:val="p"/>
          </m:rPr>
          <m:t>[</m:t>
        </m:r>
        <m:r>
          <m:t>0</m:t>
        </m:r>
        <m:r>
          <m:rPr>
            <m:sty m:val="p"/>
          </m:rPr>
          <m:t>,</m:t>
        </m:r>
        <m:r>
          <m:t>1</m:t>
        </m:r>
        <m:r>
          <m:rPr>
            <m:sty m:val="p"/>
          </m:rPr>
          <m:t>]</m:t>
        </m:r>
      </m:oMath>
      <w:r>
        <w:t xml:space="preserve"> </w:t>
      </w:r>
      <w:r>
        <w:t xml:space="preserve">assigns each term a unique</w:t>
      </w:r>
      <w:r>
        <w:t xml:space="preserve"> </w:t>
      </w:r>
      <w:r>
        <w:t xml:space="preserve">value via parameters</w:t>
      </w:r>
      <w:r>
        <w:t xml:space="preserve"> </w:t>
      </w:r>
      <m:oMath>
        <m:r>
          <m:t>θ</m:t>
        </m:r>
        <m:r>
          <m:rPr>
            <m:sty m:val="p"/>
          </m:rPr>
          <m:t>=</m:t>
        </m:r>
        <m:r>
          <m:t>ν</m:t>
        </m:r>
        <m:r>
          <m:rPr>
            <m:sty m:val="p"/>
          </m:rPr>
          <m:t>(</m:t>
        </m:r>
        <m:sSup>
          <m:e>
            <m:r>
              <m:t>c</m:t>
            </m:r>
          </m:e>
          <m:sup>
            <m:r>
              <m:rPr>
                <m:sty m:val="p"/>
              </m:rPr>
              <m:t>−</m:t>
            </m:r>
          </m:sup>
        </m:sSup>
        <m:r>
          <m:rPr>
            <m:sty m:val="p"/>
          </m:rPr>
          <m:t>)</m:t>
        </m:r>
      </m:oMath>
      <w:r>
        <w:t xml:space="preserve"> </w:t>
      </w:r>
      <w:r>
        <w:t xml:space="preserve">and</w:t>
      </w:r>
      <w:r>
        <w:t xml:space="preserve"> </w:t>
      </w:r>
      <m:oMath>
        <m:r>
          <m:t>α</m:t>
        </m:r>
      </m:oMath>
      <w:r>
        <w:t xml:space="preserve"> </w:t>
      </w:r>
      <w:r>
        <w:t xml:space="preserve">(weight of</w:t>
      </w:r>
      <w:r>
        <w:t xml:space="preserve"> </w:t>
      </w:r>
      <m:oMath>
        <m:r>
          <m:t>L</m:t>
        </m:r>
      </m:oMath>
      <w:r>
        <w:t xml:space="preserve">).</w:t>
      </w:r>
      <w:r>
        <w:t xml:space="preserve"> </w:t>
      </w:r>
      <w:r>
        <w:t xml:space="preserve">For universe</w:t>
      </w:r>
      <w:r>
        <w:t xml:space="preserve"> </w:t>
      </w:r>
      <m:oMath>
        <m:r>
          <m:rPr>
            <m:sty m:val="p"/>
          </m:rPr>
          <m:t>[</m:t>
        </m:r>
        <m:r>
          <m:t>ℓ</m:t>
        </m:r>
        <m:r>
          <m:rPr>
            <m:sty m:val="p"/>
          </m:rPr>
          <m:t>,</m:t>
        </m:r>
        <m:r>
          <m:t>u</m:t>
        </m:r>
        <m:r>
          <m:rPr>
            <m:sty m:val="p"/>
          </m:rPr>
          <m:t>]</m:t>
        </m:r>
      </m:oMath>
      <w:r>
        <w:t xml:space="preserve">, the</w:t>
      </w:r>
      <w:r>
        <w:t xml:space="preserve"> </w:t>
      </w:r>
      <w:r>
        <w:rPr>
          <w:b/>
          <w:bCs/>
        </w:rPr>
        <w:t xml:space="preserve">semantic point</w:t>
      </w:r>
      <w:r>
        <w:t xml:space="preserve"> </w:t>
      </w:r>
      <w:r>
        <w:t xml:space="preserve">of</w:t>
      </w:r>
      <w:r>
        <w:t xml:space="preserve"> </w:t>
      </w:r>
      <m:oMath>
        <m:r>
          <m:t>w</m:t>
        </m:r>
      </m:oMath>
      <w:r>
        <w:t xml:space="preserve"> </w:t>
      </w:r>
      <w:r>
        <w:t xml:space="preserve">is</w:t>
      </w:r>
    </w:p>
    <w:p>
      <w:pPr>
        <w:pStyle w:val="BodyText"/>
      </w:pPr>
      <m:oMathPara>
        <m:oMathParaPr>
          <m:jc m:val="center"/>
        </m:oMathParaPr>
        <m:oMath>
          <m:r>
            <m:t>s</m:t>
          </m:r>
          <m:r>
            <m:rPr>
              <m:sty m:val="p"/>
            </m:rPr>
            <m:t>(</m:t>
          </m:r>
          <m:r>
            <m:t>w</m:t>
          </m:r>
          <m:r>
            <m:rPr>
              <m:sty m:val="p"/>
            </m:rPr>
            <m:t>)</m:t>
          </m:r>
          <m:r>
            <m:rPr>
              <m:sty m:val="p"/>
            </m:rPr>
            <m:t>=</m:t>
          </m:r>
          <m:r>
            <m:t>ℓ</m:t>
          </m:r>
          <m:r>
            <m:rPr>
              <m:sty m:val="p"/>
            </m:rPr>
            <m:t>+</m:t>
          </m:r>
          <m:r>
            <m:rPr>
              <m:sty m:val="p"/>
            </m:rPr>
            <m:t>(</m:t>
          </m:r>
          <m:r>
            <m:t>u</m:t>
          </m:r>
          <m:r>
            <m:rPr>
              <m:sty m:val="p"/>
            </m:rPr>
            <m:t>−</m:t>
          </m:r>
          <m:r>
            <m:t>ℓ</m:t>
          </m:r>
          <m:r>
            <m:rPr>
              <m:sty m:val="p"/>
            </m:rPr>
            <m:t>)</m:t>
          </m:r>
          <m:r>
            <m:t> </m:t>
          </m:r>
          <m:r>
            <m:t>ν</m:t>
          </m:r>
          <m:r>
            <m:rPr>
              <m:sty m:val="p"/>
            </m:rPr>
            <m:t>(</m:t>
          </m:r>
          <m:r>
            <m:t>w</m:t>
          </m:r>
          <m:r>
            <m:rPr>
              <m:sty m:val="p"/>
            </m:rPr>
            <m:t>)</m:t>
          </m:r>
          <m:r>
            <m:rPr>
              <m:sty m:val="p"/>
            </m:rPr>
            <m:t>∈</m:t>
          </m:r>
          <m:r>
            <m:rPr>
              <m:sty m:val="p"/>
            </m:rPr>
            <m:t>[</m:t>
          </m:r>
          <m:r>
            <m:t>ℓ</m:t>
          </m:r>
          <m:r>
            <m:rPr>
              <m:sty m:val="p"/>
            </m:rPr>
            <m:t>,</m:t>
          </m:r>
          <m:r>
            <m:t>u</m:t>
          </m:r>
          <m:r>
            <m:rPr>
              <m:sty m:val="p"/>
            </m:rPr>
            <m:t>]</m:t>
          </m:r>
          <m:r>
            <m:rPr>
              <m:sty m:val="p"/>
            </m:rPr>
            <m:t>.</m:t>
          </m:r>
        </m:oMath>
      </m:oMathPara>
    </w:p>
    <w:bookmarkEnd w:id="25"/>
    <w:bookmarkStart w:id="26" w:name="sec:lts"/>
    <w:p>
      <w:pPr>
        <w:pStyle w:val="heading 2"/>
      </w:pPr>
      <w:r>
        <w:t xml:space="preserve">LTS Model and Related Context</w:t>
      </w:r>
    </w:p>
    <w:p>
      <w:pPr>
        <w:pStyle w:val="FirstParagraph"/>
      </w:pPr>
      <w:r>
        <w:t xml:space="preserve">LTS </w:t>
      </w:r>
      <w:r>
        <w:t xml:space="preserve"> </w:t>
      </w:r>
      <w:r>
        <w:t xml:space="preserve">encodes each observation as</w:t>
      </w:r>
      <w:r>
        <w:t xml:space="preserve"> </w:t>
      </w:r>
      <m:oMath>
        <m:sSub>
          <m:e>
            <m:r>
              <m:t>ℓ</m:t>
            </m:r>
          </m:e>
          <m:sub>
            <m:r>
              <m:t>t</m:t>
            </m:r>
          </m:sub>
        </m:sSub>
        <m:r>
          <m:rPr>
            <m:sty m:val="p"/>
          </m:rPr>
          <m:t>=</m:t>
        </m:r>
        <m:r>
          <m:rPr>
            <m:sty m:val="p"/>
          </m:rPr>
          <m:t>arg</m:t>
        </m:r>
        <m:sSub>
          <m:e>
            <m:r>
              <m:rPr>
                <m:sty m:val="p"/>
              </m:rPr>
              <m:t>min</m:t>
            </m:r>
          </m:e>
          <m:sub>
            <m:r>
              <m:t>w</m:t>
            </m:r>
          </m:sub>
        </m:sSub>
        <m:r>
          <m:rPr>
            <m:sty m:val="p"/>
          </m:rPr>
          <m:t>|</m:t>
        </m:r>
        <m:r>
          <m:t>s</m:t>
        </m:r>
        <m:r>
          <m:rPr>
            <m:sty m:val="p"/>
          </m:rPr>
          <m:t>(</m:t>
        </m:r>
        <m:r>
          <m:t>w</m:t>
        </m:r>
        <m:r>
          <m:rPr>
            <m:sty m:val="p"/>
          </m:rPr>
          <m:t>)</m:t>
        </m:r>
        <m:r>
          <m:rPr>
            <m:sty m:val="p"/>
          </m:rPr>
          <m:t>−</m:t>
        </m:r>
        <m:sSub>
          <m:e>
            <m:r>
              <m:t>y</m:t>
            </m:r>
          </m:e>
          <m:sub>
            <m:r>
              <m:t>t</m:t>
            </m:r>
          </m:sub>
        </m:sSub>
        <m:r>
          <m:rPr>
            <m:sty m:val="p"/>
          </m:rPr>
          <m:t>|</m:t>
        </m:r>
      </m:oMath>
      <w:r>
        <w:t xml:space="preserve">, builds order-</w:t>
      </w:r>
      <m:oMath>
        <m:r>
          <m:t>λ</m:t>
        </m:r>
      </m:oMath>
      <w:r>
        <w:t xml:space="preserve"> </w:t>
      </w:r>
      <w:r>
        <w:t xml:space="preserve">Linguistic</w:t>
      </w:r>
      <w:r>
        <w:t xml:space="preserve"> </w:t>
      </w:r>
      <w:r>
        <w:t xml:space="preserve">Logical Relationship Groups (LLRG)</w:t>
      </w:r>
      <w:r>
        <w:t xml:space="preserve"> </w:t>
      </w:r>
      <m:oMath>
        <m:r>
          <m:rPr>
            <m:scr m:val="script"/>
            <m:sty m:val="p"/>
          </m:rPr>
          <m:t>R</m:t>
        </m:r>
        <m:r>
          <m:rPr>
            <m:sty m:val="p"/>
          </m:rPr>
          <m:t>:</m:t>
        </m:r>
        <m:r>
          <m:rPr>
            <m:sty m:val="bi"/>
          </m:rPr>
          <m:t>k</m:t>
        </m:r>
        <m:r>
          <m:rPr>
            <m:sty m:val="p"/>
          </m:rPr>
          <m:t>↦</m:t>
        </m:r>
        <m:r>
          <m:t>R</m:t>
        </m:r>
      </m:oMath>
      <w:r>
        <w:t xml:space="preserve"> </w:t>
      </w:r>
      <w:r>
        <w:t xml:space="preserve">from training</w:t>
      </w:r>
      <w:r>
        <w:t xml:space="preserve"> </w:t>
      </w:r>
      <m:oMath>
        <m:r>
          <m:t>λ</m:t>
        </m:r>
      </m:oMath>
      <w:r>
        <w:t xml:space="preserve">-grams, and forecasts by</w:t>
      </w:r>
    </w:p>
    <w:p>
      <w:pPr>
        <w:pStyle w:val="BodyText"/>
      </w:pPr>
      <m:oMathPara>
        <m:oMathParaPr>
          <m:jc m:val="center"/>
        </m:oMathParaPr>
        <m:oMath>
          <m:sSub>
            <m:e>
              <m:acc>
                <m:accPr>
                  <m:chr m:val="̂"/>
                </m:accPr>
                <m:e>
                  <m:r>
                    <m:t>y</m:t>
                  </m:r>
                </m:e>
              </m:acc>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rPr>
                            <m:sty m:val="p"/>
                          </m:rPr>
                          <m:t>|</m:t>
                        </m:r>
                        <m:r>
                          <m:t>R</m:t>
                        </m:r>
                        <m:r>
                          <m:rPr>
                            <m:sty m:val="p"/>
                          </m:rPr>
                          <m:t>|</m:t>
                        </m:r>
                      </m:den>
                    </m:f>
                    <m:nary>
                      <m:naryPr>
                        <m:chr m:val="∑"/>
                        <m:limLoc m:val="undOvr"/>
                        <m:subHide m:val="off"/>
                        <m:supHide m:val="on"/>
                      </m:naryPr>
                      <m:sub>
                        <m:r>
                          <m:t>r</m:t>
                        </m:r>
                        <m:r>
                          <m:rPr>
                            <m:sty m:val="p"/>
                          </m:rPr>
                          <m:t>∈</m:t>
                        </m:r>
                        <m:r>
                          <m:t>R</m:t>
                        </m:r>
                      </m:sub>
                      <m:sup>
                        <m:r>
                          <m:t>​</m:t>
                        </m:r>
                      </m:sup>
                      <m:e>
                        <m:r>
                          <m:t>s</m:t>
                        </m:r>
                      </m:e>
                    </m:nary>
                    <m:r>
                      <m:rPr>
                        <m:sty m:val="p"/>
                      </m:rPr>
                      <m:t>(</m:t>
                    </m:r>
                    <m:r>
                      <m:t>r</m:t>
                    </m:r>
                    <m:r>
                      <m:rPr>
                        <m:sty m:val="p"/>
                      </m:rPr>
                      <m:t>)</m:t>
                    </m:r>
                  </m:e>
                  <m:e>
                    <m:r>
                      <m:rPr>
                        <m:nor/>
                        <m:sty m:val="p"/>
                      </m:rPr>
                      <m:t>if </m:t>
                    </m:r>
                    <m:sSub>
                      <m:e>
                        <m:r>
                          <m:rPr>
                            <m:sty m:val="bi"/>
                          </m:rPr>
                          <m:t>ℓ</m:t>
                        </m:r>
                      </m:e>
                      <m:sub>
                        <m:r>
                          <m:t>t</m:t>
                        </m:r>
                      </m:sub>
                    </m:sSub>
                    <m:r>
                      <m:rPr>
                        <m:sty m:val="p"/>
                      </m:rPr>
                      <m:t>∈</m:t>
                    </m:r>
                    <m:r>
                      <m:rPr>
                        <m:scr m:val="script"/>
                        <m:sty m:val="p"/>
                      </m:rPr>
                      <m:t>R</m:t>
                    </m:r>
                    <m:r>
                      <m:rPr>
                        <m:sty m:val="p"/>
                      </m:rPr>
                      <m:t>,</m:t>
                    </m:r>
                  </m:e>
                </m:mr>
                <m:mr>
                  <m:e>
                    <m:r>
                      <m:t>s</m:t>
                    </m:r>
                    <m:r>
                      <m:rPr>
                        <m:sty m:val="p"/>
                      </m:rPr>
                      <m:t>(</m:t>
                    </m:r>
                    <m:sSub>
                      <m:e>
                        <m:r>
                          <m:t>ℓ</m:t>
                        </m:r>
                      </m:e>
                      <m:sub>
                        <m:r>
                          <m:t>t</m:t>
                        </m:r>
                        <m:r>
                          <m:rPr>
                            <m:sty m:val="p"/>
                          </m:rPr>
                          <m:t>−</m:t>
                        </m:r>
                        <m:r>
                          <m:t>1</m:t>
                        </m:r>
                      </m:sub>
                    </m:sSub>
                    <m:r>
                      <m:rPr>
                        <m:sty m:val="p"/>
                      </m:rPr>
                      <m:t>)</m:t>
                    </m:r>
                  </m:e>
                  <m:e>
                    <m:r>
                      <m:rPr>
                        <m:nor/>
                        <m:sty m:val="p"/>
                      </m:rPr>
                      <m:t>(no-match fallback).</m:t>
                    </m:r>
                  </m:e>
                </m:mr>
              </m:m>
            </m:e>
          </m:d>
        </m:oMath>
      </m:oMathPara>
    </w:p>
    <w:p>
      <w:pPr>
        <w:pStyle w:val="FirstParagraph"/>
      </w:pPr>
      <w:r>
        <w:t xml:space="preserve">Three structural limitations arise:</w:t>
      </w:r>
      <w:r>
        <w:t xml:space="preserve"> </w:t>
      </w:r>
      <w:r>
        <w:rPr>
          <w:b/>
          <w:bCs/>
        </w:rPr>
        <w:t xml:space="preserve">L1 (Sparsity)</w:t>
      </w:r>
      <w:r>
        <w:t xml:space="preserve">—coverage</w:t>
      </w:r>
      <w:r>
        <w:t xml:space="preserve"> </w:t>
      </w:r>
      <w:r>
        <w:t xml:space="preserve">decays exponentially;</w:t>
      </w:r>
      <w:r>
        <w:t xml:space="preserve"> </w:t>
      </w:r>
      <w:r>
        <w:rPr>
          <w:b/>
          <w:bCs/>
        </w:rPr>
        <w:t xml:space="preserve">L2 (Discontinuity)</w:t>
      </w:r>
      <w:r>
        <w:t xml:space="preserve">—one-hedge-apart</w:t>
      </w:r>
      <w:r>
        <w:t xml:space="preserve"> </w:t>
      </w:r>
      <w:r>
        <w:t xml:space="preserve">patterns yield completely different forecasts;</w:t>
      </w:r>
      <w:r>
        <w:t xml:space="preserve"> </w:t>
      </w:r>
      <w:r>
        <w:rPr>
          <w:b/>
          <w:bCs/>
        </w:rPr>
        <w:t xml:space="preserve">L3 (Binary confidence)</w:t>
      </w:r>
      <w:r>
        <w:t xml:space="preserve">—matched and unmatched queries are</w:t>
      </w:r>
      <w:r>
        <w:t xml:space="preserve"> </w:t>
      </w:r>
      <w:r>
        <w:t xml:space="preserve">treated identically. HO-LTS replaces the fallback but retains binary</w:t>
      </w:r>
      <w:r>
        <w:t xml:space="preserve"> </w:t>
      </w:r>
      <w:r>
        <w:t xml:space="preserve">lookup; LTS-PSO and CO-LTS tune</w:t>
      </w:r>
      <w:r>
        <w:t xml:space="preserve"> </w:t>
      </w:r>
      <m:oMath>
        <m:r>
          <m:rPr>
            <m:sty m:val="p"/>
          </m:rPr>
          <m:t>(</m:t>
        </m:r>
        <m:r>
          <m:t>θ</m:t>
        </m:r>
        <m:r>
          <m:rPr>
            <m:sty m:val="p"/>
          </m:rPr>
          <m:t>,</m:t>
        </m:r>
        <m:r>
          <m:t>α</m:t>
        </m:r>
        <m:r>
          <m:rPr>
            <m:sty m:val="p"/>
          </m:rPr>
          <m:t>)</m:t>
        </m:r>
      </m:oMath>
      <w:r>
        <w:t xml:space="preserve"> </w:t>
      </w:r>
      <w:r>
        <w:t xml:space="preserve">without fixing it.</w:t>
      </w:r>
    </w:p>
    <w:p>
      <w:pPr>
        <w:pStyle w:val="BodyText"/>
      </w:pPr>
      <w:r>
        <w:t xml:space="preserve">The idea of smoothing across sparse rule sets has precedents in fuzzy</w:t>
      </w:r>
      <w:r>
        <w:t xml:space="preserve"> </w:t>
      </w:r>
      <w:r>
        <w:t xml:space="preserve">rule interpolation: Kóczy and Hirota </w:t>
      </w:r>
      <w:r>
        <w:t xml:space="preserve"> </w:t>
      </w:r>
      <w:r>
        <w:t xml:space="preserve">showed</w:t>
      </w:r>
      <w:r>
        <w:t xml:space="preserve"> </w:t>
      </w:r>
      <w:r>
        <w:t xml:space="preserve">missing rules can be approximated by linear interpolation in</w:t>
      </w:r>
      <w:r>
        <w:t xml:space="preserve"> </w:t>
      </w:r>
      <w:r>
        <w:t xml:space="preserve">consequent space. SW-LTS differs by operating within the HA algebraic</w:t>
      </w:r>
      <w:r>
        <w:t xml:space="preserve"> </w:t>
      </w:r>
      <w:r>
        <w:t xml:space="preserve">structure, where distances between antecedent patterns are grounded in</w:t>
      </w:r>
      <w:r>
        <w:t xml:space="preserve"> </w:t>
      </w:r>
      <w:r>
        <w:t xml:space="preserve">algebraically defined semantic values. Yu </w:t>
      </w:r>
      <w:r>
        <w:t xml:space="preserve"> </w:t>
      </w:r>
      <w:r>
        <w:t xml:space="preserve">weighted FTS</w:t>
      </w:r>
      <w:r>
        <w:t xml:space="preserve"> </w:t>
      </w:r>
      <w:r>
        <w:t xml:space="preserve">rules by temporal recency rather than semantic similarity, which does</w:t>
      </w:r>
      <w:r>
        <w:t xml:space="preserve"> </w:t>
      </w:r>
      <w:r>
        <w:t xml:space="preserve">not address structural sparsity. Recent FTS advances focus on</w:t>
      </w:r>
      <w:r>
        <w:t xml:space="preserve"> </w:t>
      </w:r>
      <w:r>
        <w:t xml:space="preserve">non-stationary partitioning </w:t>
      </w:r>
      <w:r>
        <w:t xml:space="preserve"> </w:t>
      </w:r>
      <w:r>
        <w:t xml:space="preserve">and interpretable</w:t>
      </w:r>
      <w:r>
        <w:t xml:space="preserve"> </w:t>
      </w:r>
      <w:r>
        <w:t xml:space="preserve">rule attribution </w:t>
      </w:r>
      <w:r>
        <w:t xml:space="preserve">; SW-LTS is the first to ground</w:t>
      </w:r>
      <w:r>
        <w:t xml:space="preserve"> </w:t>
      </w:r>
      <w:r>
        <w:t xml:space="preserve">weighted rule inference in the algebraic structure of Hedge Algebras,</w:t>
      </w:r>
      <w:r>
        <w:t xml:space="preserve"> </w:t>
      </w:r>
      <w:r>
        <w:t xml:space="preserve">making pairwise distances axiomatically defined rather than</w:t>
      </w:r>
      <w:r>
        <w:t xml:space="preserve"> </w:t>
      </w:r>
      <w:r>
        <w:t xml:space="preserve">geometrically arbitrary.</w:t>
      </w:r>
    </w:p>
    <w:bookmarkEnd w:id="26"/>
    <w:bookmarkEnd w:id="27"/>
    <w:bookmarkStart w:id="33" w:name="sec:method"/>
    <w:p>
      <w:pPr>
        <w:pStyle w:val="heading 1"/>
      </w:pPr>
      <w:r>
        <w:t xml:space="preserve">The Proposed SW-LTS Model</w:t>
      </w:r>
    </w:p>
    <w:bookmarkStart w:id="28" w:name="semantic-representation"/>
    <w:p>
      <w:pPr>
        <w:pStyle w:val="heading 2"/>
      </w:pPr>
      <w:r>
        <w:t xml:space="preserve">Semantic Representation</w:t>
      </w:r>
    </w:p>
    <w:p>
      <w:pPr>
        <w:pStyle w:val="FirstParagraph"/>
      </w:pPr>
      <w:r>
        <w:t xml:space="preserve">The</w:t>
      </w:r>
      <w:r>
        <w:t xml:space="preserve"> </w:t>
      </w:r>
      <w:r>
        <w:rPr>
          <w:b/>
          <w:bCs/>
        </w:rPr>
        <w:t xml:space="preserve">query window</w:t>
      </w:r>
      <w:r>
        <w:t xml:space="preserve"> </w:t>
      </w:r>
      <w:r>
        <w:t xml:space="preserve">at time</w:t>
      </w:r>
      <w:r>
        <w:t xml:space="preserve"> </w:t>
      </w:r>
      <m:oMath>
        <m:r>
          <m:t>t</m:t>
        </m:r>
      </m:oMath>
      <w:r>
        <w:t xml:space="preserve"> </w:t>
      </w:r>
      <w:r>
        <w:t xml:space="preserve">is the</w:t>
      </w:r>
      <w:r>
        <w:t xml:space="preserve"> </w:t>
      </w:r>
      <m:oMath>
        <m:r>
          <m:t>λ</m:t>
        </m:r>
      </m:oMath>
      <w:r>
        <w:t xml:space="preserve">-gram</w:t>
      </w:r>
      <w:r>
        <w:t xml:space="preserve"> </w:t>
      </w:r>
      <m:oMath>
        <m:sSub>
          <m:e>
            <m:r>
              <m:rPr>
                <m:sty m:val="bi"/>
              </m:rPr>
              <m:t>ℓ</m:t>
            </m:r>
          </m:e>
          <m:sub>
            <m:r>
              <m:t>t</m:t>
            </m:r>
          </m:sub>
        </m:sSub>
        <m:r>
          <m:rPr>
            <m:sty m:val="p"/>
          </m:rPr>
          <m:t>=</m:t>
        </m:r>
        <m:r>
          <m:rPr>
            <m:sty m:val="p"/>
          </m:rPr>
          <m:t>(</m:t>
        </m:r>
        <m:sSub>
          <m:e>
            <m:r>
              <m:t>ℓ</m:t>
            </m:r>
          </m:e>
          <m:sub>
            <m:r>
              <m:t>t</m:t>
            </m:r>
            <m:r>
              <m:rPr>
                <m:sty m:val="p"/>
              </m:rPr>
              <m:t>−</m:t>
            </m:r>
            <m:r>
              <m:t>λ</m:t>
            </m:r>
          </m:sub>
        </m:sSub>
        <m:r>
          <m:rPr>
            <m:sty m:val="p"/>
          </m:rPr>
          <m:t>,</m:t>
        </m:r>
        <m:r>
          <m:rPr>
            <m:sty m:val="p"/>
          </m:rPr>
          <m:t>…</m:t>
        </m:r>
        <m:r>
          <m:rPr>
            <m:sty m:val="p"/>
          </m:rPr>
          <m:t>,</m:t>
        </m:r>
        <m:sSub>
          <m:e>
            <m:r>
              <m:t>ℓ</m:t>
            </m:r>
          </m:e>
          <m:sub>
            <m:r>
              <m:t>t</m:t>
            </m:r>
            <m:r>
              <m:rPr>
                <m:sty m:val="p"/>
              </m:rPr>
              <m:t>−</m:t>
            </m:r>
            <m:r>
              <m:t>1</m:t>
            </m:r>
          </m:sub>
        </m:sSub>
        <m:r>
          <m:rPr>
            <m:sty m:val="p"/>
          </m:rPr>
          <m:t>)</m:t>
        </m:r>
        <m:r>
          <m:rPr>
            <m:sty m:val="p"/>
          </m:rPr>
          <m:t>∈</m:t>
        </m:r>
        <m:sSup>
          <m:e>
            <m:r>
              <m:t>W</m:t>
            </m:r>
          </m:e>
          <m:sup>
            <m:r>
              <m:t>λ</m:t>
            </m:r>
          </m:sup>
        </m:sSup>
      </m:oMath>
      <w:r>
        <w:t xml:space="preserve"> </w:t>
      </w:r>
      <w:r>
        <w:t xml:space="preserve">(bold notation; plain</w:t>
      </w:r>
      <w:r>
        <w:t xml:space="preserve"> </w:t>
      </w:r>
      <m:oMath>
        <m:sSub>
          <m:e>
            <m:r>
              <m:t>ℓ</m:t>
            </m:r>
          </m:e>
          <m:sub>
            <m:r>
              <m:t>t</m:t>
            </m:r>
          </m:sub>
        </m:sSub>
      </m:oMath>
      <w:r>
        <w:t xml:space="preserve"> </w:t>
      </w:r>
      <w:r>
        <w:t xml:space="preserve">denotes a single label as in</w:t>
      </w:r>
      <w:r>
        <w:t xml:space="preserve"> </w:t>
      </w:r>
      <w:r>
        <w:t xml:space="preserve">Section </w:t>
      </w:r>
      <w:hyperlink w:anchor="sec:lts">
        <w:r>
          <w:rPr>
            <w:rStyle w:val="Hyperlink"/>
          </w:rPr>
          <w:t xml:space="preserve">2.2</w:t>
        </w:r>
      </w:hyperlink>
      <w:r>
        <w:t xml:space="preserve">).</w:t>
      </w:r>
    </w:p>
    <w:p>
      <w:pPr>
        <w:pStyle w:val="BodyText"/>
      </w:pPr>
      <w:r>
        <w:t xml:space="preserve">For</w:t>
      </w:r>
      <w:r>
        <w:t xml:space="preserve"> </w:t>
      </w:r>
      <m:oMath>
        <m:r>
          <m:rPr>
            <m:sty m:val="bi"/>
          </m:rPr>
          <m:t>w</m:t>
        </m:r>
        <m:r>
          <m:rPr>
            <m:sty m:val="p"/>
          </m:rPr>
          <m:t>=</m:t>
        </m:r>
        <m:r>
          <m:rPr>
            <m:sty m:val="p"/>
          </m:rPr>
          <m:t>(</m:t>
        </m:r>
        <m:sSub>
          <m:e>
            <m:r>
              <m:t>w</m:t>
            </m:r>
          </m:e>
          <m:sub>
            <m:r>
              <m:t>1</m:t>
            </m:r>
          </m:sub>
        </m:sSub>
        <m:r>
          <m:rPr>
            <m:sty m:val="p"/>
          </m:rPr>
          <m:t>,</m:t>
        </m:r>
        <m:r>
          <m:rPr>
            <m:sty m:val="p"/>
          </m:rPr>
          <m:t>…</m:t>
        </m:r>
        <m:r>
          <m:rPr>
            <m:sty m:val="p"/>
          </m:rPr>
          <m:t>,</m:t>
        </m:r>
        <m:sSub>
          <m:e>
            <m:r>
              <m:t>w</m:t>
            </m:r>
          </m:e>
          <m:sub>
            <m:r>
              <m:t>λ</m:t>
            </m:r>
          </m:sub>
        </m:sSub>
        <m:r>
          <m:rPr>
            <m:sty m:val="p"/>
          </m:rPr>
          <m:t>)</m:t>
        </m:r>
        <m:r>
          <m:rPr>
            <m:sty m:val="p"/>
          </m:rPr>
          <m:t>∈</m:t>
        </m:r>
        <m:sSup>
          <m:e>
            <m:r>
              <m:t>W</m:t>
            </m:r>
          </m:e>
          <m:sup>
            <m:r>
              <m:t>λ</m:t>
            </m:r>
          </m:sup>
        </m:sSup>
      </m:oMath>
      <w:r>
        <w:t xml:space="preserve">, the normalized</w:t>
      </w:r>
      <w:r>
        <w:t xml:space="preserve"> </w:t>
      </w:r>
      <w:r>
        <w:t xml:space="preserve">semantic vector is</w:t>
      </w:r>
      <w:r>
        <w:t xml:space="preserve"> </w:t>
      </w:r>
      <m:oMath>
        <m:acc>
          <m:accPr>
            <m:chr m:val="̃"/>
          </m:accPr>
          <m:e>
            <m:r>
              <m:t>ϕ</m:t>
            </m:r>
          </m:e>
        </m:acc>
        <m:r>
          <m:rPr>
            <m:sty m:val="p"/>
          </m:rPr>
          <m:t>(</m:t>
        </m:r>
        <m:r>
          <m:rPr>
            <m:sty m:val="bi"/>
          </m:rPr>
          <m:t>w</m:t>
        </m:r>
        <m:r>
          <m:rPr>
            <m:sty m:val="p"/>
          </m:rPr>
          <m:t>)</m:t>
        </m:r>
        <m:r>
          <m:rPr>
            <m:sty m:val="p"/>
          </m:rPr>
          <m:t>=</m:t>
        </m:r>
        <m:f>
          <m:fPr>
            <m:type m:val="lin"/>
          </m:fPr>
          <m:num>
            <m:r>
              <m:t>1</m:t>
            </m:r>
          </m:num>
          <m:den>
            <m:r>
              <m:rPr>
                <m:sty m:val="p"/>
              </m:rPr>
              <m:t>Δ</m:t>
            </m:r>
          </m:den>
        </m:f>
        <m:r>
          <m:rPr>
            <m:sty m:val="p"/>
          </m:rPr>
          <m:t>(</m:t>
        </m:r>
        <m:r>
          <m:t>s</m:t>
        </m:r>
        <m:r>
          <m:rPr>
            <m:sty m:val="p"/>
          </m:rPr>
          <m:t>(</m:t>
        </m:r>
        <m:sSub>
          <m:e>
            <m:r>
              <m:t>w</m:t>
            </m:r>
          </m:e>
          <m:sub>
            <m:r>
              <m:t>1</m:t>
            </m:r>
          </m:sub>
        </m:sSub>
        <m:r>
          <m:rPr>
            <m:sty m:val="p"/>
          </m:rPr>
          <m:t>)</m:t>
        </m:r>
        <m:r>
          <m:rPr>
            <m:sty m:val="p"/>
          </m:rPr>
          <m:t>−</m:t>
        </m:r>
        <m:r>
          <m:t>ℓ</m:t>
        </m:r>
        <m:r>
          <m:rPr>
            <m:sty m:val="p"/>
          </m:rPr>
          <m:t>,</m:t>
        </m:r>
        <m:r>
          <m:rPr>
            <m:sty m:val="p"/>
          </m:rPr>
          <m:t>…</m:t>
        </m:r>
        <m:r>
          <m:rPr>
            <m:sty m:val="p"/>
          </m:rPr>
          <m:t>,</m:t>
        </m:r>
        <m:r>
          <m:t>s</m:t>
        </m:r>
        <m:r>
          <m:rPr>
            <m:sty m:val="p"/>
          </m:rPr>
          <m:t>(</m:t>
        </m:r>
        <m:sSub>
          <m:e>
            <m:r>
              <m:t>w</m:t>
            </m:r>
          </m:e>
          <m:sub>
            <m:r>
              <m:t>λ</m:t>
            </m:r>
          </m:sub>
        </m:sSub>
        <m:r>
          <m:rPr>
            <m:sty m:val="p"/>
          </m:rPr>
          <m:t>)</m:t>
        </m:r>
        <m:r>
          <m:rPr>
            <m:sty m:val="p"/>
          </m:rPr>
          <m:t>−</m:t>
        </m:r>
        <m:r>
          <m:t>ℓ</m:t>
        </m:r>
        <m:r>
          <m:rPr>
            <m:sty m:val="p"/>
          </m:rPr>
          <m:t>)</m:t>
        </m:r>
        <m:r>
          <m:rPr>
            <m:sty m:val="p"/>
          </m:rPr>
          <m:t>∈</m:t>
        </m:r>
        <m:r>
          <m:rPr>
            <m:sty m:val="p"/>
          </m:rPr>
          <m:t>[</m:t>
        </m:r>
        <m:r>
          <m:t>0</m:t>
        </m:r>
        <m:r>
          <m:rPr>
            <m:sty m:val="p"/>
          </m:rPr>
          <m:t>,</m:t>
        </m:r>
        <m:r>
          <m:t>1</m:t>
        </m:r>
        <m:sSup>
          <m:e>
            <m:r>
              <m:rPr>
                <m:sty m:val="p"/>
              </m:rPr>
              <m:t>]</m:t>
            </m:r>
          </m:e>
          <m:sup>
            <m:r>
              <m:t>λ</m:t>
            </m:r>
          </m:sup>
        </m:sSup>
      </m:oMath>
      <w:r>
        <w:t xml:space="preserve">, where</w:t>
      </w:r>
      <w:r>
        <w:t xml:space="preserve"> </w:t>
      </w:r>
      <m:oMath>
        <m:r>
          <m:rPr>
            <m:sty m:val="p"/>
          </m:rPr>
          <m:t>Δ</m:t>
        </m:r>
        <m:r>
          <m:rPr>
            <m:sty m:val="p"/>
          </m:rPr>
          <m:t>=</m:t>
        </m:r>
        <m:r>
          <m:t>u</m:t>
        </m:r>
        <m:r>
          <m:rPr>
            <m:sty m:val="p"/>
          </m:rPr>
          <m:t>−</m:t>
        </m:r>
        <m:r>
          <m:t>ℓ</m:t>
        </m:r>
      </m:oMath>
      <w:r>
        <w:t xml:space="preserve">.</w:t>
      </w:r>
    </w:p>
    <w:p>
      <w:pPr>
        <w:pStyle w:val="BodyText"/>
      </w:pPr>
      <w:r>
        <w:t xml:space="preserve">Normalization maps all LHS patterns into</w:t>
      </w:r>
      <w:r>
        <w:t xml:space="preserve"> </w:t>
      </w:r>
      <m:oMath>
        <m:r>
          <m:rPr>
            <m:sty m:val="p"/>
          </m:rPr>
          <m:t>[</m:t>
        </m:r>
        <m:r>
          <m:t>0</m:t>
        </m:r>
        <m:r>
          <m:rPr>
            <m:sty m:val="p"/>
          </m:rPr>
          <m:t>,</m:t>
        </m:r>
        <m:r>
          <m:t>1</m:t>
        </m:r>
        <m:sSup>
          <m:e>
            <m:r>
              <m:rPr>
                <m:sty m:val="p"/>
              </m:rPr>
              <m:t>]</m:t>
            </m:r>
          </m:e>
          <m:sup>
            <m:r>
              <m:t>λ</m:t>
            </m:r>
          </m:sup>
        </m:sSup>
      </m:oMath>
      <w:r>
        <w:t xml:space="preserve"> </w:t>
      </w:r>
      <w:r>
        <w:t xml:space="preserve">irrespective</w:t>
      </w:r>
      <w:r>
        <w:t xml:space="preserve"> </w:t>
      </w:r>
      <w:r>
        <w:t xml:space="preserve">of data scale, making pairwise distances dimensionless.</w:t>
      </w:r>
    </w:p>
    <w:bookmarkEnd w:id="28"/>
    <w:bookmarkStart w:id="29" w:name="gaussian-kernel-and-sw-lts-forecast"/>
    <w:p>
      <w:pPr>
        <w:pStyle w:val="heading 2"/>
      </w:pPr>
      <w:r>
        <w:t xml:space="preserve">Gaussian Kernel and SW-LTS Forecast</w:t>
      </w:r>
    </w:p>
    <w:p>
      <w:pPr>
        <w:pStyle w:val="FirstParagraph"/>
      </w:pPr>
      <w:r>
        <w:t xml:space="preserve">We define pattern similarity via a Gaussian kernel on normalized vectors:</w:t>
      </w:r>
    </w:p>
    <w:p>
      <w:pPr>
        <w:pStyle w:val="BodyText"/>
      </w:pPr>
      <m:oMathPara>
        <m:oMathParaPr>
          <m:jc m:val="center"/>
        </m:oMathParaPr>
        <m:oMath>
          <m:r>
            <m:t>K</m:t>
          </m:r>
          <m:r>
            <m:rPr>
              <m:sty m:val="p"/>
            </m:rPr>
            <m:t>(</m:t>
          </m:r>
          <m:r>
            <m:rPr>
              <m:sty m:val="bi"/>
            </m:rPr>
            <m:t>u</m:t>
          </m:r>
          <m:r>
            <m:rPr>
              <m:sty m:val="p"/>
            </m:rPr>
            <m:t>,</m:t>
          </m:r>
          <m:r>
            <m:rPr>
              <m:sty m:val="bi"/>
            </m:rPr>
            <m:t>v</m:t>
          </m:r>
          <m:r>
            <m:rPr>
              <m:sty m:val="p"/>
            </m:rPr>
            <m:t>)</m:t>
          </m:r>
          <m:r>
            <m:rPr>
              <m:sty m:val="p"/>
            </m:rPr>
            <m:t>=</m:t>
          </m:r>
          <m:r>
            <m:rPr>
              <m:sty m:val="p"/>
            </m:rPr>
            <m:t>exp</m:t>
          </m:r>
          <m:r>
            <m:t>​</m:t>
          </m:r>
          <m:d>
            <m:dPr>
              <m:begChr m:val="("/>
              <m:sepChr m:val=""/>
              <m:endChr m:val=")"/>
              <m:grow/>
            </m:dPr>
            <m:e>
              <m:r>
                <m:rPr>
                  <m:sty m:val="p"/>
                </m:rPr>
                <m:t>−</m:t>
              </m:r>
              <m:f>
                <m:fPr>
                  <m:type m:val="bar"/>
                </m:fPr>
                <m:num>
                  <m:r>
                    <m:rPr>
                      <m:sty m:val="p"/>
                    </m:rPr>
                    <m:t>∥</m:t>
                  </m:r>
                  <m:acc>
                    <m:accPr>
                      <m:chr m:val="̃"/>
                    </m:accPr>
                    <m:e>
                      <m:r>
                        <m:t>ϕ</m:t>
                      </m:r>
                    </m:e>
                  </m:acc>
                  <m:r>
                    <m:rPr>
                      <m:sty m:val="p"/>
                    </m:rPr>
                    <m:t>(</m:t>
                  </m:r>
                  <m:r>
                    <m:rPr>
                      <m:sty m:val="bi"/>
                    </m:rPr>
                    <m:t>u</m:t>
                  </m:r>
                  <m:r>
                    <m:rPr>
                      <m:sty m:val="p"/>
                    </m:rPr>
                    <m:t>)</m:t>
                  </m:r>
                  <m:r>
                    <m:rPr>
                      <m:sty m:val="p"/>
                    </m:rPr>
                    <m:t>−</m:t>
                  </m:r>
                  <m:acc>
                    <m:accPr>
                      <m:chr m:val="̃"/>
                    </m:accPr>
                    <m:e>
                      <m:r>
                        <m:t>ϕ</m:t>
                      </m:r>
                    </m:e>
                  </m:acc>
                  <m:r>
                    <m:rPr>
                      <m:sty m:val="p"/>
                    </m:rPr>
                    <m:t>(</m:t>
                  </m:r>
                  <m:r>
                    <m:rPr>
                      <m:sty m:val="bi"/>
                    </m:rPr>
                    <m:t>v</m:t>
                  </m:r>
                  <m:r>
                    <m:rPr>
                      <m:sty m:val="p"/>
                    </m:rPr>
                    <m:t>)</m:t>
                  </m:r>
                  <m:sSup>
                    <m:e>
                      <m:r>
                        <m:rPr>
                          <m:sty m:val="p"/>
                        </m:rPr>
                        <m:t>∥</m:t>
                      </m:r>
                    </m:e>
                    <m:sup>
                      <m:r>
                        <m:t>2</m:t>
                      </m:r>
                    </m:sup>
                  </m:sSup>
                </m:num>
                <m:den>
                  <m:r>
                    <m:t>2</m:t>
                  </m:r>
                  <m:sSup>
                    <m:e>
                      <m:r>
                        <m:t>σ</m:t>
                      </m:r>
                    </m:e>
                    <m:sup>
                      <m:r>
                        <m:t>2</m:t>
                      </m:r>
                    </m:sup>
                  </m:sSup>
                </m:den>
              </m:f>
            </m:e>
          </m:d>
          <m:r>
            <m:rPr>
              <m:sty m:val="p"/>
            </m:rPr>
            <m:t>,</m:t>
          </m:r>
          <m:r>
            <m:t> </m:t>
          </m:r>
          <m:r>
            <m:t>σ</m:t>
          </m:r>
          <m:r>
            <m:rPr>
              <m:sty m:val="p"/>
            </m:rPr>
            <m:t>&gt;</m:t>
          </m:r>
          <m:r>
            <m:t>0</m:t>
          </m:r>
          <m:r>
            <m:rPr>
              <m:sty m:val="p"/>
            </m:rPr>
            <m:t>.</m:t>
          </m:r>
        </m:oMath>
      </m:oMathPara>
    </w:p>
    <w:p>
      <w:pPr>
        <w:pStyle w:val="FirstParagraph"/>
      </w:pPr>
      <w:r>
        <w:t xml:space="preserve">Let</w:t>
      </w:r>
      <w:r>
        <w:t xml:space="preserve"> </w:t>
      </w:r>
      <m:oMath>
        <m:r>
          <m:rPr>
            <m:scr m:val="script"/>
            <m:sty m:val="p"/>
          </m:rPr>
          <m:t>R</m:t>
        </m:r>
        <m:r>
          <m:rPr>
            <m:sty m:val="p"/>
          </m:rPr>
          <m:t>=</m:t>
        </m:r>
        <m:r>
          <m:rPr>
            <m:sty m:val="p"/>
          </m:rPr>
          <m:t>{</m:t>
        </m:r>
        <m:r>
          <m:rPr>
            <m:sty m:val="p"/>
          </m:rPr>
          <m:t>(</m:t>
        </m:r>
        <m:sSub>
          <m:e>
            <m:r>
              <m:rPr>
                <m:sty m:val="bi"/>
              </m:rPr>
              <m:t>k</m:t>
            </m:r>
          </m:e>
          <m:sub>
            <m:r>
              <m:t>j</m:t>
            </m:r>
          </m:sub>
        </m:sSub>
        <m:r>
          <m:rPr>
            <m:sty m:val="p"/>
          </m:rPr>
          <m:t>,</m:t>
        </m:r>
        <m:sSub>
          <m:e>
            <m:r>
              <m:t>R</m:t>
            </m:r>
          </m:e>
          <m:sub>
            <m:r>
              <m:t>j</m:t>
            </m:r>
          </m:sub>
        </m:sSub>
        <m:r>
          <m:rPr>
            <m:sty m:val="p"/>
          </m:rPr>
          <m:t>)</m:t>
        </m:r>
        <m:sSubSup>
          <m:e>
            <m:r>
              <m:rPr>
                <m:sty m:val="p"/>
              </m:rPr>
              <m:t>}</m:t>
            </m:r>
          </m:e>
          <m:sub>
            <m:r>
              <m:t>j</m:t>
            </m:r>
            <m:r>
              <m:rPr>
                <m:sty m:val="p"/>
              </m:rPr>
              <m:t>=</m:t>
            </m:r>
            <m:r>
              <m:t>1</m:t>
            </m:r>
          </m:sub>
          <m:sup>
            <m:r>
              <m:t>M</m:t>
            </m:r>
          </m:sup>
        </m:sSubSup>
      </m:oMath>
      <w:r>
        <w:t xml:space="preserve"> </w:t>
      </w:r>
      <w:r>
        <w:t xml:space="preserve">be the LLRG and</w:t>
      </w:r>
      <w:r>
        <w:t xml:space="preserve"> </w:t>
      </w:r>
      <m:oMath>
        <m:acc>
          <m:accPr>
            <m:chr m:val="‾"/>
          </m:accPr>
          <m:e>
            <m:r>
              <m:t>s</m:t>
            </m:r>
          </m:e>
        </m:acc>
        <m:r>
          <m:rPr>
            <m:sty m:val="p"/>
          </m:rPr>
          <m:t>(</m:t>
        </m:r>
        <m:sSub>
          <m:e>
            <m:r>
              <m:t>R</m:t>
            </m:r>
          </m:e>
          <m:sub>
            <m:r>
              <m:t>j</m:t>
            </m:r>
          </m:sub>
        </m:sSub>
        <m:r>
          <m:rPr>
            <m:sty m:val="p"/>
          </m:rPr>
          <m:t>)</m:t>
        </m:r>
        <m:r>
          <m:rPr>
            <m:sty m:val="p"/>
          </m:rPr>
          <m:t>=</m:t>
        </m:r>
        <m:f>
          <m:fPr>
            <m:type m:val="bar"/>
          </m:fPr>
          <m:num>
            <m:r>
              <m:t>1</m:t>
            </m:r>
          </m:num>
          <m:den>
            <m:r>
              <m:rPr>
                <m:sty m:val="p"/>
              </m:rPr>
              <m:t>|</m:t>
            </m:r>
            <m:sSub>
              <m:e>
                <m:r>
                  <m:t>R</m:t>
                </m:r>
              </m:e>
              <m:sub>
                <m:r>
                  <m:t>j</m:t>
                </m:r>
              </m:sub>
            </m:sSub>
            <m:r>
              <m:rPr>
                <m:sty m:val="p"/>
              </m:rPr>
              <m:t>|</m:t>
            </m:r>
          </m:den>
        </m:f>
        <m:nary>
          <m:naryPr>
            <m:chr m:val="∑"/>
            <m:limLoc m:val="undOvr"/>
            <m:subHide m:val="off"/>
            <m:supHide m:val="on"/>
          </m:naryPr>
          <m:sub>
            <m:r>
              <m:t>r</m:t>
            </m:r>
            <m:r>
              <m:rPr>
                <m:sty m:val="p"/>
              </m:rPr>
              <m:t>∈</m:t>
            </m:r>
            <m:sSub>
              <m:e>
                <m:r>
                  <m:t>R</m:t>
                </m:r>
              </m:e>
              <m:sub>
                <m:r>
                  <m:t>j</m:t>
                </m:r>
              </m:sub>
            </m:sSub>
          </m:sub>
          <m:sup>
            <m:r>
              <m:t>​</m:t>
            </m:r>
          </m:sup>
          <m:e>
            <m:r>
              <m:t>s</m:t>
            </m:r>
          </m:e>
        </m:nary>
        <m:r>
          <m:rPr>
            <m:sty m:val="p"/>
          </m:rPr>
          <m:t>(</m:t>
        </m:r>
        <m:r>
          <m:t>r</m:t>
        </m:r>
        <m:r>
          <m:rPr>
            <m:sty m:val="p"/>
          </m:rPr>
          <m:t>)</m:t>
        </m:r>
      </m:oMath>
      <w:r>
        <w:t xml:space="preserve"> </w:t>
      </w:r>
      <w:r>
        <w:t xml:space="preserve">the mean RHS</w:t>
      </w:r>
      <w:r>
        <w:t xml:space="preserve"> </w:t>
      </w:r>
      <w:r>
        <w:t xml:space="preserve">semantic point. The SW-LTS forecast applies the</w:t>
      </w:r>
      <w:r>
        <w:t xml:space="preserve"> </w:t>
      </w:r>
      <w:r>
        <w:t xml:space="preserve">Nadaraya–Watson estimator </w:t>
      </w:r>
      <w:r>
        <w:t xml:space="preserve"> </w:t>
      </w:r>
      <w:r>
        <w:t xml:space="preserve">in HA semantic space:</w:t>
      </w:r>
    </w:p>
    <w:p>
      <w:pPr>
        <w:pStyle w:val="BodyText"/>
      </w:pPr>
      <m:oMathPara>
        <m:oMathParaPr>
          <m:jc m:val="center"/>
        </m:oMathParaPr>
        <m:oMath>
          <m:sSubSup>
            <m:e>
              <m:acc>
                <m:accPr>
                  <m:chr m:val="̂"/>
                </m:accPr>
                <m:e>
                  <m:r>
                    <m:t>y</m:t>
                  </m:r>
                </m:e>
              </m:acc>
            </m:e>
            <m:sub>
              <m:r>
                <m:t>t</m:t>
              </m:r>
            </m:sub>
            <m:sup>
              <m:r>
                <m:rPr>
                  <m:sty m:val="p"/>
                </m:rPr>
                <m:t>S</m:t>
              </m:r>
              <m:r>
                <m:rPr>
                  <m:sty m:val="p"/>
                </m:rPr>
                <m:t>W</m:t>
              </m:r>
            </m:sup>
          </m:sSubSup>
          <m:r>
            <m:rPr>
              <m:sty m:val="p"/>
            </m:rPr>
            <m:t>=</m:t>
          </m:r>
          <m:f>
            <m:fPr>
              <m:type m:val="bar"/>
            </m:fPr>
            <m:num>
              <m:nary>
                <m:naryPr>
                  <m:chr m:val="∑"/>
                  <m:limLoc m:val="undOvr"/>
                  <m:subHide m:val="off"/>
                  <m:supHide m:val="off"/>
                </m:naryPr>
                <m:sub>
                  <m:r>
                    <m:t>j</m:t>
                  </m:r>
                  <m:r>
                    <m:rPr>
                      <m:sty m:val="p"/>
                    </m:rPr>
                    <m:t>=</m:t>
                  </m:r>
                  <m:r>
                    <m:t>1</m:t>
                  </m:r>
                </m:sub>
                <m:sup>
                  <m:r>
                    <m:t>M</m:t>
                  </m:r>
                </m:sup>
                <m:e>
                  <m:r>
                    <m:t>K</m:t>
                  </m:r>
                </m:e>
              </m:nary>
              <m:r>
                <m:rPr>
                  <m:sty m:val="p"/>
                </m:rPr>
                <m:t>(</m:t>
              </m:r>
              <m:sSub>
                <m:e>
                  <m:r>
                    <m:rPr>
                      <m:sty m:val="bi"/>
                    </m:rPr>
                    <m:t>ℓ</m:t>
                  </m:r>
                </m:e>
                <m:sub>
                  <m:r>
                    <m:t>t</m:t>
                  </m:r>
                </m:sub>
              </m:sSub>
              <m:r>
                <m:rPr>
                  <m:sty m:val="p"/>
                </m:rPr>
                <m:t>,</m:t>
              </m:r>
              <m:sSub>
                <m:e>
                  <m:r>
                    <m:rPr>
                      <m:sty m:val="bi"/>
                    </m:rPr>
                    <m:t>k</m:t>
                  </m:r>
                </m:e>
                <m:sub>
                  <m:r>
                    <m:t>j</m:t>
                  </m:r>
                </m:sub>
              </m:sSub>
              <m:r>
                <m:rPr>
                  <m:sty m:val="p"/>
                </m:rPr>
                <m:t>)</m:t>
              </m:r>
              <m:r>
                <m:t> </m:t>
              </m:r>
              <m:acc>
                <m:accPr>
                  <m:chr m:val="‾"/>
                </m:accPr>
                <m:e>
                  <m:r>
                    <m:t>s</m:t>
                  </m:r>
                </m:e>
              </m:acc>
              <m:r>
                <m:rPr>
                  <m:sty m:val="p"/>
                </m:rPr>
                <m:t>(</m:t>
              </m:r>
              <m:sSub>
                <m:e>
                  <m:r>
                    <m:t>R</m:t>
                  </m:r>
                </m:e>
                <m:sub>
                  <m:r>
                    <m:t>j</m:t>
                  </m:r>
                </m:sub>
              </m:sSub>
              <m:r>
                <m:rPr>
                  <m:sty m:val="p"/>
                </m:rPr>
                <m:t>)</m:t>
              </m:r>
            </m:num>
            <m:den>
              <m:nary>
                <m:naryPr>
                  <m:chr m:val="∑"/>
                  <m:limLoc m:val="undOvr"/>
                  <m:subHide m:val="off"/>
                  <m:supHide m:val="off"/>
                </m:naryPr>
                <m:sub>
                  <m:r>
                    <m:t>j</m:t>
                  </m:r>
                  <m:r>
                    <m:rPr>
                      <m:sty m:val="p"/>
                    </m:rPr>
                    <m:t>=</m:t>
                  </m:r>
                  <m:r>
                    <m:t>1</m:t>
                  </m:r>
                </m:sub>
                <m:sup>
                  <m:r>
                    <m:t>M</m:t>
                  </m:r>
                </m:sup>
                <m:e>
                  <m:r>
                    <m:t>K</m:t>
                  </m:r>
                </m:e>
              </m:nary>
              <m:r>
                <m:rPr>
                  <m:sty m:val="p"/>
                </m:rPr>
                <m:t>(</m:t>
              </m:r>
              <m:sSub>
                <m:e>
                  <m:r>
                    <m:rPr>
                      <m:sty m:val="bi"/>
                    </m:rPr>
                    <m:t>ℓ</m:t>
                  </m:r>
                </m:e>
                <m:sub>
                  <m:r>
                    <m:t>t</m:t>
                  </m:r>
                </m:sub>
              </m:sSub>
              <m:r>
                <m:rPr>
                  <m:sty m:val="p"/>
                </m:rPr>
                <m:t>,</m:t>
              </m:r>
              <m:sSub>
                <m:e>
                  <m:r>
                    <m:rPr>
                      <m:sty m:val="bi"/>
                    </m:rPr>
                    <m:t>k</m:t>
                  </m:r>
                </m:e>
                <m:sub>
                  <m:r>
                    <m:t>j</m:t>
                  </m:r>
                </m:sub>
              </m:sSub>
              <m:r>
                <m:rPr>
                  <m:sty m:val="p"/>
                </m:rPr>
                <m:t>)</m:t>
              </m:r>
            </m:den>
          </m:f>
          <m:r>
            <m:rPr>
              <m:sty m:val="p"/>
            </m:rPr>
            <m:t>,</m:t>
          </m:r>
        </m:oMath>
      </m:oMathPara>
    </w:p>
    <w:p>
      <w:pPr>
        <w:pStyle w:val="FirstParagraph"/>
      </w:pPr>
      <w:r>
        <w:t xml:space="preserve">with fallback</w:t>
      </w:r>
      <w:r>
        <w:t xml:space="preserve"> </w:t>
      </w:r>
      <m:oMath>
        <m:sSub>
          <m:e>
            <m:acc>
              <m:accPr>
                <m:chr m:val="̂"/>
              </m:accPr>
              <m:e>
                <m:r>
                  <m:t>y</m:t>
                </m:r>
              </m:e>
            </m:acc>
          </m:e>
          <m:sub>
            <m:r>
              <m:t>t</m:t>
            </m:r>
          </m:sub>
        </m:sSub>
        <m:r>
          <m:rPr>
            <m:sty m:val="p"/>
          </m:rPr>
          <m:t>=</m:t>
        </m:r>
        <m:r>
          <m:t>s</m:t>
        </m:r>
        <m:r>
          <m:rPr>
            <m:sty m:val="p"/>
          </m:rPr>
          <m:t>(</m:t>
        </m:r>
        <m:sSub>
          <m:e>
            <m:r>
              <m:t>ℓ</m:t>
            </m:r>
          </m:e>
          <m:sub>
            <m:r>
              <m:t>t</m:t>
            </m:r>
            <m:r>
              <m:rPr>
                <m:sty m:val="p"/>
              </m:rPr>
              <m:t>−</m:t>
            </m:r>
            <m:r>
              <m:t>1</m:t>
            </m:r>
          </m:sub>
        </m:sSub>
        <m:r>
          <m:rPr>
            <m:sty m:val="p"/>
          </m:rPr>
          <m:t>)</m:t>
        </m:r>
      </m:oMath>
      <w:r>
        <w:t xml:space="preserve"> </w:t>
      </w:r>
      <w:r>
        <w:t xml:space="preserve">when the denominator is zero.</w:t>
      </w:r>
      <w:r>
        <w:t xml:space="preserve"> </w:t>
      </w:r>
      <w:r>
        <w:t xml:space="preserve">Every query uses</w:t>
      </w:r>
      <w:r>
        <w:t xml:space="preserve"> </w:t>
      </w:r>
      <w:r>
        <w:rPr>
          <w:i/>
          <w:iCs/>
        </w:rPr>
        <w:t xml:space="preserve">all</w:t>
      </w:r>
      <w:r>
        <w:t xml:space="preserve"> </w:t>
      </w:r>
      <m:oMath>
        <m:r>
          <m:t>M</m:t>
        </m:r>
      </m:oMath>
      <w:r>
        <w:t xml:space="preserve"> </w:t>
      </w:r>
      <w:r>
        <w:t xml:space="preserve">rules with semantically graded weights.</w:t>
      </w:r>
    </w:p>
    <w:p>
      <w:pPr>
        <w:pStyle w:val="BodyText"/>
      </w:pPr>
      <w:r>
        <w:rPr>
          <w:b/>
          <w:bCs/>
        </w:rPr>
        <w:t xml:space="preserve">Interpretability and complexity.</w:t>
      </w:r>
      <w:r>
        <w:t xml:space="preserve"> </w:t>
      </w:r>
      <w:r>
        <w:t xml:space="preserve">The normalized weight</w:t>
      </w:r>
      <w:r>
        <w:t xml:space="preserve"> </w:t>
      </w:r>
      <m:oMath>
        <m:sSub>
          <m:e>
            <m:r>
              <m:t>w</m:t>
            </m:r>
          </m:e>
          <m:sub>
            <m:r>
              <m:t>j</m:t>
            </m:r>
          </m:sub>
        </m:sSub>
        <m:r>
          <m:rPr>
            <m:sty m:val="p"/>
          </m:rPr>
          <m:t>=</m:t>
        </m:r>
        <m:r>
          <m:t>K</m:t>
        </m:r>
        <m:r>
          <m:rPr>
            <m:sty m:val="p"/>
          </m:rPr>
          <m:t>(</m:t>
        </m:r>
        <m:sSub>
          <m:e>
            <m:r>
              <m:rPr>
                <m:sty m:val="bi"/>
              </m:rPr>
              <m:t>ℓ</m:t>
            </m:r>
          </m:e>
          <m:sub>
            <m:r>
              <m:t>t</m:t>
            </m:r>
          </m:sub>
        </m:sSub>
        <m:r>
          <m:rPr>
            <m:sty m:val="p"/>
          </m:rPr>
          <m:t>,</m:t>
        </m:r>
        <m:sSub>
          <m:e>
            <m:r>
              <m:rPr>
                <m:sty m:val="bi"/>
              </m:rPr>
              <m:t>k</m:t>
            </m:r>
          </m:e>
          <m:sub>
            <m:r>
              <m:t>j</m:t>
            </m:r>
          </m:sub>
        </m:sSub>
        <m:r>
          <m:rPr>
            <m:sty m:val="p"/>
          </m:rPr>
          <m:t>)</m:t>
        </m:r>
        <m:r>
          <m:rPr>
            <m:sty m:val="p"/>
          </m:rPr>
          <m:t>/</m:t>
        </m:r>
        <m:nary>
          <m:naryPr>
            <m:chr m:val="∑"/>
            <m:limLoc m:val="undOvr"/>
            <m:subHide m:val="off"/>
            <m:supHide m:val="on"/>
          </m:naryPr>
          <m:sub>
            <m:r>
              <m:t>i</m:t>
            </m:r>
          </m:sub>
          <m:sup>
            <m:r>
              <m:t>​</m:t>
            </m:r>
          </m:sup>
          <m:e>
            <m:r>
              <m:t>K</m:t>
            </m:r>
          </m:e>
        </m:nary>
        <m:r>
          <m:rPr>
            <m:sty m:val="p"/>
          </m:rPr>
          <m:t>(</m:t>
        </m:r>
        <m:sSub>
          <m:e>
            <m:r>
              <m:rPr>
                <m:sty m:val="bi"/>
              </m:rPr>
              <m:t>ℓ</m:t>
            </m:r>
          </m:e>
          <m:sub>
            <m:r>
              <m:t>t</m:t>
            </m:r>
          </m:sub>
        </m:sSub>
        <m:r>
          <m:rPr>
            <m:sty m:val="p"/>
          </m:rPr>
          <m:t>,</m:t>
        </m:r>
        <m:sSub>
          <m:e>
            <m:r>
              <m:rPr>
                <m:sty m:val="bi"/>
              </m:rPr>
              <m:t>k</m:t>
            </m:r>
          </m:e>
          <m:sub>
            <m:r>
              <m:t>i</m:t>
            </m:r>
          </m:sub>
        </m:sSub>
        <m:r>
          <m:rPr>
            <m:sty m:val="p"/>
          </m:rPr>
          <m:t>)</m:t>
        </m:r>
      </m:oMath>
      <w:r>
        <w:t xml:space="preserve"> </w:t>
      </w:r>
      <w:r>
        <w:t xml:space="preserve">quantifies the</w:t>
      </w:r>
      <w:r>
        <w:t xml:space="preserve"> </w:t>
      </w:r>
      <w:r>
        <w:rPr>
          <w:i/>
          <w:iCs/>
        </w:rPr>
        <w:t xml:space="preserve">linguistic relevance</w:t>
      </w:r>
      <w:r>
        <w:t xml:space="preserve"> </w:t>
      </w:r>
      <w:r>
        <w:t xml:space="preserve">of rule</w:t>
      </w:r>
      <w:r>
        <w:t xml:space="preserve"> </w:t>
      </w:r>
      <m:oMath>
        <m:r>
          <m:t>j</m:t>
        </m:r>
      </m:oMath>
      <w:r>
        <w:t xml:space="preserve">: semantically adjacent patterns receive high weight,</w:t>
      </w:r>
      <w:r>
        <w:t xml:space="preserve"> </w:t>
      </w:r>
      <w:r>
        <w:t xml:space="preserve">distant patterns low weight. Any forecast is auditable by ranking</w:t>
      </w:r>
      <w:r>
        <w:t xml:space="preserve"> </w:t>
      </w:r>
      <w:r>
        <w:t xml:space="preserve">rules by</w:t>
      </w:r>
      <w:r>
        <w:t xml:space="preserve"> </w:t>
      </w:r>
      <m:oMath>
        <m:sSub>
          <m:e>
            <m:r>
              <m:t>w</m:t>
            </m:r>
          </m:e>
          <m:sub>
            <m:r>
              <m:t>j</m:t>
            </m:r>
          </m:sub>
        </m:sSub>
      </m:oMath>
      <w:r>
        <w:t xml:space="preserve">—an explanation grounded in the HA algebraic</w:t>
      </w:r>
      <w:r>
        <w:t xml:space="preserve"> </w:t>
      </w:r>
      <w:r>
        <w:t xml:space="preserve">structure, not in raw numeric distance. Per-query cost is</w:t>
      </w:r>
      <w:r>
        <w:t xml:space="preserve"> </w:t>
      </w:r>
      <m:oMath>
        <m:r>
          <m:t>O</m:t>
        </m:r>
        <m:r>
          <m:rPr>
            <m:sty m:val="p"/>
          </m:rPr>
          <m:t>(</m:t>
        </m:r>
        <m:r>
          <m:t>M</m:t>
        </m:r>
        <m:r>
          <m:t>λ</m:t>
        </m:r>
        <m:r>
          <m:rPr>
            <m:sty m:val="p"/>
          </m:rPr>
          <m:t>)</m:t>
        </m:r>
      </m:oMath>
      <w:r>
        <w:t xml:space="preserve"> </w:t>
      </w:r>
      <w:r>
        <w:t xml:space="preserve">with</w:t>
      </w:r>
      <w:r>
        <w:t xml:space="preserve"> </w:t>
      </w:r>
      <m:oMath>
        <m:r>
          <m:t>M</m:t>
        </m:r>
        <m:r>
          <m:rPr>
            <m:sty m:val="p"/>
          </m:rPr>
          <m:t>≤</m:t>
        </m:r>
        <m:r>
          <m:t>139</m:t>
        </m:r>
      </m:oMath>
      <w:r>
        <w:t xml:space="preserve">, comparable to HO-LTS.</w:t>
      </w:r>
    </w:p>
    <w:bookmarkEnd w:id="29"/>
    <w:bookmarkStart w:id="32" w:name="theoretical-properties"/>
    <w:p>
      <w:pPr>
        <w:pStyle w:val="heading 2"/>
      </w:pPr>
      <w:r>
        <w:t xml:space="preserve">Theoretical Properties</w:t>
      </w:r>
    </w:p>
    <w:p>
      <w:pPr>
        <w:pStyle w:val="FirstParagraph"/>
      </w:pPr>
      <w:bookmarkStart w:id="30" w:name="prop:sigma0"/>
      <w:bookmarkEnd w:id="30"/>
      <w:r>
        <w:t xml:space="preserve"> </w:t>
      </w:r>
      <w:r>
        <w:t xml:space="preserve">As</w:t>
      </w:r>
      <w:r>
        <w:t xml:space="preserve"> </w:t>
      </w:r>
      <m:oMath>
        <m:r>
          <m:t>σ</m:t>
        </m:r>
        <m:r>
          <m:rPr>
            <m:sty m:val="p"/>
          </m:rPr>
          <m:t>→</m:t>
        </m:r>
        <m:r>
          <m:t>0</m:t>
        </m:r>
      </m:oMath>
      <w:r>
        <w:t xml:space="preserve">, kernel mass concentrates on the exact-match rule if</w:t>
      </w:r>
      <w:r>
        <w:t xml:space="preserve"> </w:t>
      </w:r>
      <w:r>
        <w:t xml:space="preserve">it exists, and</w:t>
      </w:r>
      <w:r>
        <w:t xml:space="preserve"> </w:t>
      </w:r>
      <w:hyperlink w:anchor="eq:sw">
        <w:r>
          <w:rPr>
            <w:rStyle w:val="Hyperlink"/>
          </w:rPr>
          <w:t xml:space="preserve">[eq:sw]</w:t>
        </w:r>
      </w:hyperlink>
      <w:r>
        <w:t xml:space="preserve"> </w:t>
      </w:r>
      <w:r>
        <w:t xml:space="preserve">reduces to</w:t>
      </w:r>
      <w:r>
        <w:t xml:space="preserve"> </w:t>
      </w:r>
      <w:hyperlink w:anchor="eq:lts">
        <w:r>
          <w:rPr>
            <w:rStyle w:val="Hyperlink"/>
          </w:rPr>
          <w:t xml:space="preserve">[eq:lts]</w:t>
        </w:r>
      </w:hyperlink>
      <w:r>
        <w:t xml:space="preserve">; with no match</w:t>
      </w:r>
      <w:r>
        <w:t xml:space="preserve"> </w:t>
      </w:r>
      <w:r>
        <w:t xml:space="preserve">the fallback</w:t>
      </w:r>
      <w:r>
        <w:t xml:space="preserve"> </w:t>
      </w:r>
      <m:oMath>
        <m:r>
          <m:t>s</m:t>
        </m:r>
        <m:r>
          <m:rPr>
            <m:sty m:val="p"/>
          </m:rPr>
          <m:t>(</m:t>
        </m:r>
        <m:sSub>
          <m:e>
            <m:r>
              <m:t>ℓ</m:t>
            </m:r>
          </m:e>
          <m:sub>
            <m:r>
              <m:t>t</m:t>
            </m:r>
            <m:r>
              <m:rPr>
                <m:sty m:val="p"/>
              </m:rPr>
              <m:t>−</m:t>
            </m:r>
            <m:r>
              <m:t>1</m:t>
            </m:r>
          </m:sub>
        </m:sSub>
        <m:r>
          <m:rPr>
            <m:sty m:val="p"/>
          </m:rPr>
          <m:t>)</m:t>
        </m:r>
      </m:oMath>
      <w:r>
        <w:t xml:space="preserve"> </w:t>
      </w:r>
      <w:r>
        <w:t xml:space="preserve">applies. SW-LTS exactly recovers LTS.</w:t>
      </w:r>
    </w:p>
    <w:p>
      <w:pPr>
        <w:pStyle w:val="BodyText"/>
      </w:pPr>
      <w:bookmarkStart w:id="31" w:name="prop:sigmainf"/>
      <w:bookmarkEnd w:id="31"/>
      <w:r>
        <w:t xml:space="preserve"> </w:t>
      </w:r>
      <w:r>
        <w:t xml:space="preserve">As</w:t>
      </w:r>
      <w:r>
        <w:t xml:space="preserve"> </w:t>
      </w:r>
      <m:oMath>
        <m:r>
          <m:t>σ</m:t>
        </m:r>
        <m:r>
          <m:rPr>
            <m:sty m:val="p"/>
          </m:rPr>
          <m:t>→</m:t>
        </m:r>
        <m:r>
          <m:rPr>
            <m:sty m:val="p"/>
          </m:rPr>
          <m:t>∞</m:t>
        </m:r>
      </m:oMath>
      <w:r>
        <w:t xml:space="preserve">, all kernel weights equal 1, and</w:t>
      </w:r>
      <w:r>
        <w:t xml:space="preserve"> </w:t>
      </w:r>
      <w:hyperlink w:anchor="eq:sw">
        <w:r>
          <w:rPr>
            <w:rStyle w:val="Hyperlink"/>
          </w:rPr>
          <w:t xml:space="preserve">[eq:sw]</w:t>
        </w:r>
      </w:hyperlink>
      <w:r>
        <w:t xml:space="preserve"> </w:t>
      </w:r>
      <w:r>
        <w:t xml:space="preserve">reduces to</w:t>
      </w:r>
      <w:r>
        <w:t xml:space="preserve"> </w:t>
      </w:r>
      <m:oMath>
        <m:f>
          <m:fPr>
            <m:type m:val="bar"/>
          </m:fPr>
          <m:num>
            <m:r>
              <m:t>1</m:t>
            </m:r>
          </m:num>
          <m:den>
            <m:r>
              <m:t>M</m:t>
            </m:r>
          </m:den>
        </m:f>
        <m:nary>
          <m:naryPr>
            <m:chr m:val="∑"/>
            <m:limLoc m:val="undOvr"/>
            <m:subHide m:val="off"/>
            <m:supHide m:val="on"/>
          </m:naryPr>
          <m:sub>
            <m:r>
              <m:t>j</m:t>
            </m:r>
          </m:sub>
          <m:sup>
            <m:r>
              <m:t>​</m:t>
            </m:r>
          </m:sup>
          <m:e>
            <m:acc>
              <m:accPr>
                <m:chr m:val="‾"/>
              </m:accPr>
              <m:e>
                <m:r>
                  <m:t>s</m:t>
                </m:r>
              </m:e>
            </m:acc>
          </m:e>
        </m:nary>
        <m:r>
          <m:rPr>
            <m:sty m:val="p"/>
          </m:rPr>
          <m:t>(</m:t>
        </m:r>
        <m:sSub>
          <m:e>
            <m:r>
              <m:t>R</m:t>
            </m:r>
          </m:e>
          <m:sub>
            <m:r>
              <m:t>j</m:t>
            </m:r>
          </m:sub>
        </m:sSub>
        <m:r>
          <m:rPr>
            <m:sty m:val="p"/>
          </m:rPr>
          <m:t>)</m:t>
        </m:r>
      </m:oMath>
      <w:r>
        <w:t xml:space="preserve">—the global-mean fallback</w:t>
      </w:r>
      <w:r>
        <w:t xml:space="preserve"> </w:t>
      </w:r>
      <w:r>
        <w:t xml:space="preserve">of HO-LTS.</w:t>
      </w:r>
    </w:p>
    <w:p>
      <w:pPr>
        <w:pStyle w:val="BodyText"/>
      </w:pPr>
      <w:r>
        <w:t xml:space="preserve">Both results follow from the exponential form of</w:t>
      </w:r>
      <w:r>
        <w:t xml:space="preserve"> </w:t>
      </w:r>
      <m:oMath>
        <m:r>
          <m:t>K</m:t>
        </m:r>
      </m:oMath>
      <w:r>
        <w:t xml:space="preserve">, establishing</w:t>
      </w:r>
      <w:r>
        <w:t xml:space="preserve"> </w:t>
      </w:r>
      <w:r>
        <w:t xml:space="preserve">SW-LTS as a</w:t>
      </w:r>
      <w:r>
        <w:t xml:space="preserve"> </w:t>
      </w:r>
      <w:r>
        <w:rPr>
          <w:i/>
          <w:iCs/>
        </w:rPr>
        <w:t xml:space="preserve">strict generalization</w:t>
      </w:r>
      <w:r>
        <w:t xml:space="preserve">: any</w:t>
      </w:r>
      <w:r>
        <w:t xml:space="preserve"> </w:t>
      </w:r>
      <m:oMath>
        <m:r>
          <m:t>σ</m:t>
        </m:r>
        <m:r>
          <m:rPr>
            <m:sty m:val="p"/>
          </m:rPr>
          <m:t>∈</m:t>
        </m:r>
        <m:r>
          <m:rPr>
            <m:sty m:val="p"/>
          </m:rPr>
          <m:t>(</m:t>
        </m:r>
        <m:r>
          <m:t>0</m:t>
        </m:r>
        <m:r>
          <m:rPr>
            <m:sty m:val="p"/>
          </m:rPr>
          <m:t>,</m:t>
        </m:r>
        <m:r>
          <m:rPr>
            <m:sty m:val="p"/>
          </m:rPr>
          <m:t>∞</m:t>
        </m:r>
        <m:r>
          <m:rPr>
            <m:sty m:val="p"/>
          </m:rPr>
          <m:t>)</m:t>
        </m:r>
      </m:oMath>
      <w:r>
        <w:t xml:space="preserve"> </w:t>
      </w:r>
      <w:r>
        <w:t xml:space="preserve">interpolates between exact-match and global-mean extremes.</w:t>
      </w:r>
    </w:p>
    <w:bookmarkEnd w:id="32"/>
    <w:bookmarkEnd w:id="33"/>
    <w:bookmarkStart w:id="48" w:name="sec:exp"/>
    <w:p>
      <w:pPr>
        <w:pStyle w:val="heading 1"/>
      </w:pPr>
      <w:r>
        <w:t xml:space="preserve">Experiments</w:t>
      </w:r>
    </w:p>
    <w:bookmarkStart w:id="35" w:name="experimental-setup"/>
    <w:p>
      <w:pPr>
        <w:pStyle w:val="heading 2"/>
      </w:pPr>
      <w:r>
        <w:t xml:space="preserve">Experimental Setup</w:t>
      </w:r>
    </w:p>
    <w:p>
      <w:pPr>
        <w:pStyle w:val="FirstParagraph"/>
      </w:pPr>
      <w:r>
        <w:rPr>
          <w:b/>
          <w:bCs/>
        </w:rPr>
        <w:t xml:space="preserve">Datasets</w:t>
      </w:r>
      <w:r>
        <w:t xml:space="preserve"> </w:t>
      </w:r>
      <w:r>
        <w:t xml:space="preserve">(Table </w:t>
      </w:r>
      <w:hyperlink w:anchor="tab:datasets">
        <w:r>
          <w:rPr>
            <w:rStyle w:val="Hyperlink"/>
          </w:rPr>
          <w:t xml:space="preserve">1</w:t>
        </w:r>
      </w:hyperlink>
      <w:r>
        <w:t xml:space="preserve">). Alabama Enrollment</w:t>
      </w:r>
      <w:r>
        <w:t xml:space="preserve"> </w:t>
      </w:r>
      <w:r>
        <w:t xml:space="preserve">(</w:t>
      </w:r>
      <m:oMath>
        <m:r>
          <m:t>n</m:t>
        </m:r>
        <m:r>
          <m:rPr>
            <m:sty m:val="p"/>
          </m:rPr>
          <m:t>=</m:t>
        </m:r>
        <m:r>
          <m:t>22</m:t>
        </m:r>
      </m:oMath>
      <w:r>
        <w:t xml:space="preserve">,</w:t>
      </w:r>
      <w:r>
        <w:t xml:space="preserve"> </w:t>
      </w:r>
      <w:r>
        <w:t xml:space="preserve">) is the primary sparse-coverage benchmark.</w:t>
      </w:r>
      <w:r>
        <w:t xml:space="preserve"> </w:t>
      </w:r>
      <w:r>
        <w:t xml:space="preserve">TAIEX 1999 (</w:t>
      </w:r>
      <m:oMath>
        <m:r>
          <m:t>n</m:t>
        </m:r>
        <m:r>
          <m:rPr>
            <m:sty m:val="p"/>
          </m:rPr>
          <m:t>=</m:t>
        </m:r>
        <m:r>
          <m:t>241</m:t>
        </m:r>
      </m:oMath>
      <w:r>
        <w:t xml:space="preserve">,</w:t>
      </w:r>
      <w:r>
        <w:t xml:space="preserve"> </w:t>
      </w:r>
      <w:r>
        <w:t xml:space="preserve">), Wolf’s Sunspot (</w:t>
      </w:r>
      <m:oMath>
        <m:r>
          <m:t>n</m:t>
        </m:r>
        <m:r>
          <m:rPr>
            <m:sty m:val="p"/>
          </m:rPr>
          <m:t>=</m:t>
        </m:r>
        <m:r>
          <m:t>288</m:t>
        </m:r>
      </m:oMath>
      <w:r>
        <w:t xml:space="preserve">), and</w:t>
      </w:r>
      <w:r>
        <w:t xml:space="preserve"> </w:t>
      </w:r>
      <w:r>
        <w:t xml:space="preserve">Tuscaloosa Temperature (</w:t>
      </w:r>
      <m:oMath>
        <m:r>
          <m:t>n</m:t>
        </m:r>
        <m:r>
          <m:rPr>
            <m:sty m:val="p"/>
          </m:rPr>
          <m:t>=</m:t>
        </m:r>
        <m:r>
          <m:t>122</m:t>
        </m:r>
      </m:oMath>
      <w:r>
        <w:t xml:space="preserve">) cover finance, astronomy, and</w:t>
      </w:r>
      <w:r>
        <w:t xml:space="preserve"> </w:t>
      </w:r>
      <w:r>
        <w:t xml:space="preserve">meteorology domains.</w:t>
      </w:r>
    </w:p>
    <w:bookmarkStart w:id="34" w:name="tab:datasets"/>
    <w:p>
      <w:pPr>
        <w:pStyle w:val="TableCaption"/>
      </w:pPr>
      <w:r>
        <w:t xml:space="preserve">Benchmark Datasets</w:t>
      </w:r>
    </w:p>
    <w:tbl>
      <w:tblPr>
        <w:tblStyle w:val="Table"/>
        <w:tblW w:type="auto" w:w="0"/>
        <w:tblLook w:firstRow="1" w:lastRow="0" w:firstColumn="0" w:lastColumn="0" w:noHBand="0" w:noVBand="0" w:val="0020"/>
        <w:tblCaption w:val="Benchmark Datasets"/>
      </w:tblPr>
      <w:tblGrid>
        <w:gridCol w:w="1980"/>
        <w:gridCol w:w="1980"/>
        <w:gridCol w:w="1980"/>
        <w:gridCol w:w="1980"/>
      </w:tblGrid>
      <w:tr>
        <w:trPr>
          <w:tblHeader w:val="on"/>
        </w:trPr>
        <w:tc>
          <w:tcPr/>
          <w:p>
            <w:pPr>
              <w:pStyle w:val="Compact"/>
              <w:jc w:val="left"/>
            </w:pPr>
            <w:r>
              <w:t xml:space="preserve">Dataset</w:t>
            </w:r>
          </w:p>
        </w:tc>
        <w:tc>
          <w:tcPr/>
          <w:p>
            <w:pPr>
              <w:pStyle w:val="Compact"/>
              <w:jc w:val="right"/>
            </w:pPr>
            <m:oMath>
              <m:r>
                <m:t>n</m:t>
              </m:r>
            </m:oMath>
          </w:p>
        </w:tc>
        <w:tc>
          <w:tcPr/>
          <w:p>
            <w:pPr>
              <w:pStyle w:val="Compact"/>
              <w:jc w:val="center"/>
            </w:pPr>
            <w:r>
              <w:t xml:space="preserve">Universe</w:t>
            </w:r>
            <w:r>
              <w:t xml:space="preserve"> </w:t>
            </w:r>
            <m:oMath>
              <m:r>
                <m:rPr>
                  <m:sty m:val="p"/>
                </m:rPr>
                <m:t>[</m:t>
              </m:r>
              <m:r>
                <m:t>ℓ</m:t>
              </m:r>
              <m:r>
                <m:rPr>
                  <m:sty m:val="p"/>
                </m:rPr>
                <m:t>,</m:t>
              </m:r>
              <m:r>
                <m:t>u</m:t>
              </m:r>
              <m:r>
                <m:rPr>
                  <m:sty m:val="p"/>
                </m:rPr>
                <m:t>]</m:t>
              </m:r>
            </m:oMath>
          </w:p>
        </w:tc>
        <w:tc>
          <w:tcPr/>
          <w:p>
            <w:pPr>
              <w:pStyle w:val="Compact"/>
              <w:jc w:val="center"/>
            </w:pPr>
            <w:r>
              <w:t xml:space="preserve">Domain</w:t>
            </w:r>
          </w:p>
        </w:tc>
      </w:tr>
      <w:tr>
        <w:tc>
          <w:tcPr/>
          <w:p>
            <w:pPr>
              <w:pStyle w:val="Compact"/>
              <w:jc w:val="left"/>
            </w:pPr>
            <w:r>
              <w:t xml:space="preserve">Alabama Enrollment</w:t>
            </w:r>
          </w:p>
        </w:tc>
        <w:tc>
          <w:tcPr/>
          <w:p>
            <w:pPr>
              <w:pStyle w:val="Compact"/>
              <w:jc w:val="right"/>
            </w:pPr>
            <w:r>
              <w:t xml:space="preserve">22</w:t>
            </w:r>
          </w:p>
        </w:tc>
        <w:tc>
          <w:tcPr/>
          <w:p>
            <w:pPr>
              <w:pStyle w:val="Compact"/>
              <w:jc w:val="center"/>
            </w:pPr>
            <m:oMath>
              <m:r>
                <m:rPr>
                  <m:sty m:val="p"/>
                </m:rPr>
                <m:t>[</m:t>
              </m:r>
              <m:r>
                <m:t>13</m:t>
              </m:r>
              <m:r>
                <m:rPr>
                  <m:sty m:val="p"/>
                </m:rPr>
                <m:t>,</m:t>
              </m:r>
              <m:r>
                <m:t>000</m:t>
              </m:r>
              <m:r>
                <m:rPr>
                  <m:sty m:val="p"/>
                </m:rPr>
                <m:t>,</m:t>
              </m:r>
              <m:r>
                <m:t> </m:t>
              </m:r>
              <m:r>
                <m:t>20</m:t>
              </m:r>
              <m:r>
                <m:rPr>
                  <m:sty m:val="p"/>
                </m:rPr>
                <m:t>,</m:t>
              </m:r>
              <m:r>
                <m:t>000</m:t>
              </m:r>
              <m:r>
                <m:rPr>
                  <m:sty m:val="p"/>
                </m:rPr>
                <m:t>]</m:t>
              </m:r>
            </m:oMath>
          </w:p>
        </w:tc>
        <w:tc>
          <w:tcPr/>
          <w:p>
            <w:pPr>
              <w:pStyle w:val="Compact"/>
              <w:jc w:val="center"/>
            </w:pPr>
            <w:r>
              <w:t xml:space="preserve">Education</w:t>
            </w:r>
          </w:p>
        </w:tc>
      </w:tr>
      <w:tr>
        <w:tc>
          <w:tcPr/>
          <w:p>
            <w:pPr>
              <w:pStyle w:val="Compact"/>
              <w:jc w:val="left"/>
            </w:pPr>
            <w:r>
              <w:t xml:space="preserve">TAIEX 1999</w:t>
            </w:r>
          </w:p>
        </w:tc>
        <w:tc>
          <w:tcPr/>
          <w:p>
            <w:pPr>
              <w:pStyle w:val="Compact"/>
              <w:jc w:val="right"/>
            </w:pPr>
            <w:r>
              <w:t xml:space="preserve">241</w:t>
            </w:r>
          </w:p>
        </w:tc>
        <w:tc>
          <w:tcPr/>
          <w:p>
            <w:pPr>
              <w:pStyle w:val="Compact"/>
              <w:jc w:val="center"/>
            </w:pPr>
            <m:oMath>
              <m:r>
                <m:rPr>
                  <m:sty m:val="p"/>
                </m:rPr>
                <m:t>[</m:t>
              </m:r>
              <m:r>
                <m:t>5</m:t>
              </m:r>
              <m:r>
                <m:rPr>
                  <m:sty m:val="p"/>
                </m:rPr>
                <m:t>,</m:t>
              </m:r>
              <m:r>
                <m:t>201</m:t>
              </m:r>
              <m:r>
                <m:rPr>
                  <m:sty m:val="p"/>
                </m:rPr>
                <m:t>,</m:t>
              </m:r>
              <m:r>
                <m:t> </m:t>
              </m:r>
              <m:r>
                <m:t>9</m:t>
              </m:r>
              <m:r>
                <m:rPr>
                  <m:sty m:val="p"/>
                </m:rPr>
                <m:t>,</m:t>
              </m:r>
              <m:r>
                <m:t>039</m:t>
              </m:r>
              <m:r>
                <m:rPr>
                  <m:sty m:val="p"/>
                </m:rPr>
                <m:t>]</m:t>
              </m:r>
            </m:oMath>
          </w:p>
        </w:tc>
        <w:tc>
          <w:tcPr/>
          <w:p>
            <w:pPr>
              <w:pStyle w:val="Compact"/>
              <w:jc w:val="center"/>
            </w:pPr>
            <w:r>
              <w:t xml:space="preserve">Finance</w:t>
            </w:r>
          </w:p>
        </w:tc>
      </w:tr>
      <w:tr>
        <w:tc>
          <w:tcPr/>
          <w:p>
            <w:pPr>
              <w:pStyle w:val="Compact"/>
              <w:jc w:val="left"/>
            </w:pPr>
            <w:r>
              <w:t xml:space="preserve">Wolf’s Sunspot</w:t>
            </w:r>
          </w:p>
        </w:tc>
        <w:tc>
          <w:tcPr/>
          <w:p>
            <w:pPr>
              <w:pStyle w:val="Compact"/>
              <w:jc w:val="right"/>
            </w:pPr>
            <w:r>
              <w:t xml:space="preserve">288</w:t>
            </w:r>
          </w:p>
        </w:tc>
        <w:tc>
          <w:tcPr/>
          <w:p>
            <w:pPr>
              <w:pStyle w:val="Compact"/>
              <w:jc w:val="center"/>
            </w:pPr>
            <m:oMath>
              <m:r>
                <m:rPr>
                  <m:sty m:val="p"/>
                </m:rPr>
                <m:t>[</m:t>
              </m:r>
              <m:r>
                <m:t>0</m:t>
              </m:r>
              <m:r>
                <m:rPr>
                  <m:sty m:val="p"/>
                </m:rPr>
                <m:t>,</m:t>
              </m:r>
              <m:r>
                <m:t> </m:t>
              </m:r>
              <m:r>
                <m:t>296.23</m:t>
              </m:r>
              <m:r>
                <m:rPr>
                  <m:sty m:val="p"/>
                </m:rPr>
                <m:t>]</m:t>
              </m:r>
            </m:oMath>
          </w:p>
        </w:tc>
        <w:tc>
          <w:tcPr/>
          <w:p>
            <w:pPr>
              <w:pStyle w:val="Compact"/>
              <w:jc w:val="center"/>
            </w:pPr>
            <w:r>
              <w:t xml:space="preserve">Astronomy</w:t>
            </w:r>
          </w:p>
        </w:tc>
      </w:tr>
      <w:tr>
        <w:tc>
          <w:tcPr/>
          <w:p>
            <w:pPr>
              <w:pStyle w:val="Compact"/>
              <w:jc w:val="left"/>
            </w:pPr>
            <w:r>
              <w:t xml:space="preserve">Tuscaloosa Temp.</w:t>
            </w:r>
          </w:p>
        </w:tc>
        <w:tc>
          <w:tcPr/>
          <w:p>
            <w:pPr>
              <w:pStyle w:val="Compact"/>
              <w:jc w:val="right"/>
            </w:pPr>
            <w:r>
              <w:t xml:space="preserve">122</w:t>
            </w:r>
          </w:p>
        </w:tc>
        <w:tc>
          <w:tcPr/>
          <w:p>
            <w:pPr>
              <w:pStyle w:val="Compact"/>
              <w:jc w:val="center"/>
            </w:pPr>
            <m:oMath>
              <m:r>
                <m:rPr>
                  <m:sty m:val="p"/>
                </m:rPr>
                <m:t>[</m:t>
              </m:r>
              <m:r>
                <m:t>23</m:t>
              </m:r>
              <m:r>
                <m:rPr>
                  <m:sty m:val="p"/>
                </m:rPr>
                <m:t>,</m:t>
              </m:r>
              <m:r>
                <m:t> </m:t>
              </m:r>
              <m:r>
                <m:t>32</m:t>
              </m:r>
              <m:r>
                <m:rPr>
                  <m:sty m:val="p"/>
                </m:rPr>
                <m:t>]</m:t>
              </m:r>
            </m:oMath>
          </w:p>
        </w:tc>
        <w:tc>
          <w:tcPr/>
          <w:p>
            <w:pPr>
              <w:pStyle w:val="Compact"/>
              <w:jc w:val="center"/>
            </w:pPr>
            <w:r>
              <w:t xml:space="preserve">Meteorology</w:t>
            </w:r>
          </w:p>
        </w:tc>
      </w:tr>
    </w:tbl>
    <w:bookmarkEnd w:id="34"/>
    <w:p>
      <w:pPr>
        <w:pStyle w:val="BodyText"/>
      </w:pPr>
      <w:r>
        <w:rPr>
          <w:b/>
          <w:bCs/>
        </w:rPr>
        <w:t xml:space="preserve">Baselines:</w:t>
      </w:r>
      <w:r>
        <w:t xml:space="preserve"> </w:t>
      </w:r>
      <w:r>
        <w:t xml:space="preserve">Song &amp; Chissom </w:t>
      </w:r>
      <w:r>
        <w:t xml:space="preserve">, Chen </w:t>
      </w:r>
      <w:r>
        <w:t xml:space="preserve">,</w:t>
      </w:r>
      <w:r>
        <w:t xml:space="preserve"> </w:t>
      </w:r>
      <w:r>
        <w:t xml:space="preserve">LTS </w:t>
      </w:r>
      <w:r>
        <w:t xml:space="preserve">, HO-LTS </w:t>
      </w:r>
      <w:r>
        <w:t xml:space="preserve"> </w:t>
      </w:r>
      <w:r>
        <w:t xml:space="preserve">(</w:t>
      </w:r>
      <m:oMath>
        <m:r>
          <m:t>λ</m:t>
        </m:r>
        <m:r>
          <m:rPr>
            <m:sty m:val="p"/>
          </m:rPr>
          <m:t>∈</m:t>
        </m:r>
        <m:r>
          <m:rPr>
            <m:sty m:val="p"/>
          </m:rPr>
          <m:t>{</m:t>
        </m:r>
        <m:r>
          <m:t>2</m:t>
        </m:r>
        <m:r>
          <m:rPr>
            <m:sty m:val="p"/>
          </m:rPr>
          <m:t>,</m:t>
        </m:r>
        <m:r>
          <m:t>3</m:t>
        </m:r>
        <m:r>
          <m:rPr>
            <m:sty m:val="p"/>
          </m:rPr>
          <m:t>}</m:t>
        </m:r>
      </m:oMath>
      <w:r>
        <w:t xml:space="preserve">),</w:t>
      </w:r>
      <w:r>
        <w:t xml:space="preserve"> </w:t>
      </w:r>
      <w:r>
        <w:t xml:space="preserve">and LTS-PSO </w:t>
      </w:r>
      <w:r>
        <w:t xml:space="preserve">. All LTS-family models use</w:t>
      </w:r>
      <w:r>
        <w:t xml:space="preserve"> </w:t>
      </w:r>
      <m:oMath>
        <m:r>
          <m:t>k</m:t>
        </m:r>
        <m:r>
          <m:rPr>
            <m:sty m:val="p"/>
          </m:rPr>
          <m:t>=</m:t>
        </m:r>
        <m:r>
          <m:t>2</m:t>
        </m:r>
      </m:oMath>
      <w:r>
        <w:t xml:space="preserve">,</w:t>
      </w:r>
      <w:r>
        <w:t xml:space="preserve"> </w:t>
      </w:r>
      <m:oMath>
        <m:r>
          <m:t>θ</m:t>
        </m:r>
        <m:r>
          <m:rPr>
            <m:sty m:val="p"/>
          </m:rPr>
          <m:t>=</m:t>
        </m:r>
        <m:r>
          <m:t>0.57</m:t>
        </m:r>
      </m:oMath>
      <w:r>
        <w:t xml:space="preserve">,</w:t>
      </w:r>
      <w:r>
        <w:t xml:space="preserve"> </w:t>
      </w:r>
      <m:oMath>
        <m:r>
          <m:t>α</m:t>
        </m:r>
        <m:r>
          <m:rPr>
            <m:sty m:val="p"/>
          </m:rPr>
          <m:t>=</m:t>
        </m:r>
        <m:r>
          <m:t>0.49</m:t>
        </m:r>
      </m:oMath>
      <w:r>
        <w:t xml:space="preserve">.</w:t>
      </w:r>
    </w:p>
    <w:p>
      <w:pPr>
        <w:pStyle w:val="BodyText"/>
      </w:pPr>
      <w:r>
        <w:rPr>
          <w:b/>
          <w:bCs/>
        </w:rPr>
        <w:t xml:space="preserve">Evaluation.</w:t>
      </w:r>
      <w:r>
        <w:t xml:space="preserve"> </w:t>
      </w:r>
      <w:r>
        <w:t xml:space="preserve">(i) </w:t>
      </w:r>
      <w:r>
        <w:rPr>
          <w:i/>
          <w:iCs/>
        </w:rPr>
        <w:t xml:space="preserve">In-sample</w:t>
      </w:r>
      <w:r>
        <w:t xml:space="preserve"> </w:t>
      </w:r>
      <w:r>
        <w:t xml:space="preserve">follows the standard LTS</w:t>
      </w:r>
      <w:r>
        <w:t xml:space="preserve"> </w:t>
      </w:r>
      <w:r>
        <w:t xml:space="preserve">protocol </w:t>
      </w:r>
      <w:r>
        <w:t xml:space="preserve"> </w:t>
      </w:r>
      <w:r>
        <w:t xml:space="preserve">for direct baseline</w:t>
      </w:r>
      <w:r>
        <w:t xml:space="preserve"> </w:t>
      </w:r>
      <w:r>
        <w:t xml:space="preserve">comparison. (ii) </w:t>
      </w:r>
      <w:r>
        <w:rPr>
          <w:i/>
          <w:iCs/>
        </w:rPr>
        <w:t xml:space="preserve">Walk-forward</w:t>
      </w:r>
      <w:r>
        <w:t xml:space="preserve"> </w:t>
      </w:r>
      <w:r>
        <w:t xml:space="preserve">uses an expanding window</w:t>
      </w:r>
      <w:r>
        <w:t xml:space="preserve"> </w:t>
      </w:r>
      <w:r>
        <w:t xml:space="preserve">(initial fold: 70% Alabama, 80% others);</w:t>
      </w:r>
      <w:r>
        <w:t xml:space="preserve"> </w:t>
      </w:r>
      <m:oMath>
        <m:sSup>
          <m:e>
            <m:r>
              <m:t>σ</m:t>
            </m:r>
          </m:e>
          <m:sup>
            <m:r>
              <m:rPr>
                <m:sty m:val="p"/>
              </m:rPr>
              <m:t>*</m:t>
            </m:r>
          </m:sup>
        </m:sSup>
      </m:oMath>
      <w:r>
        <w:t xml:space="preserve"> </w:t>
      </w:r>
      <w:r>
        <w:t xml:space="preserve">is fixed from</w:t>
      </w:r>
      <w:r>
        <w:t xml:space="preserve"> </w:t>
      </w:r>
      <w:r>
        <w:t xml:space="preserve">the initial fold then the model retrains up to each step</w:t>
      </w:r>
      <w:r>
        <w:t xml:space="preserve"> </w:t>
      </w:r>
      <m:oMath>
        <m:r>
          <m:t>t</m:t>
        </m:r>
      </m:oMath>
      <w:r>
        <w:t xml:space="preserve">, predicts</w:t>
      </w:r>
      <w:r>
        <w:t xml:space="preserve"> </w:t>
      </w:r>
      <m:oMath>
        <m:sSub>
          <m:e>
            <m:r>
              <m:t>y</m:t>
            </m:r>
          </m:e>
          <m:sub>
            <m:r>
              <m:t>t</m:t>
            </m:r>
          </m:sub>
        </m:sSub>
      </m:oMath>
      <w:r>
        <w:t xml:space="preserve">, and results are compared against a naive last-value predictor</w:t>
      </w:r>
      <w:r>
        <w:t xml:space="preserve"> </w:t>
      </w:r>
      <m:oMath>
        <m:sSub>
          <m:e>
            <m:acc>
              <m:accPr>
                <m:chr m:val="̂"/>
              </m:accPr>
              <m:e>
                <m:r>
                  <m:t>y</m:t>
                </m:r>
              </m:e>
            </m:acc>
          </m:e>
          <m:sub>
            <m:r>
              <m:t>t</m:t>
            </m:r>
          </m:sub>
        </m:sSub>
        <m:r>
          <m:rPr>
            <m:sty m:val="p"/>
          </m:rPr>
          <m:t>=</m:t>
        </m:r>
        <m:sSub>
          <m:e>
            <m:r>
              <m:t>y</m:t>
            </m:r>
          </m:e>
          <m:sub>
            <m:r>
              <m:t>t</m:t>
            </m:r>
            <m:r>
              <m:rPr>
                <m:sty m:val="p"/>
              </m:rPr>
              <m:t>−</m:t>
            </m:r>
            <m:r>
              <m:t>1</m:t>
            </m:r>
          </m:sub>
        </m:sSub>
      </m:oMath>
      <w:r>
        <w:t xml:space="preserve">. Bootstrap 95% CI (10</w:t>
      </w:r>
      <w:r>
        <w:t xml:space="preserve">,</w:t>
      </w:r>
      <w:r>
        <w:t xml:space="preserve">000 resamples)</w:t>
      </w:r>
      <w:r>
        <w:t xml:space="preserve"> </w:t>
      </w:r>
      <w:r>
        <w:t xml:space="preserve">quantifies uncertainty in paired MSE differences.</w:t>
      </w:r>
    </w:p>
    <w:bookmarkEnd w:id="35"/>
    <w:bookmarkStart w:id="36" w:name="sec:results"/>
    <w:p>
      <w:pPr>
        <w:pStyle w:val="heading 2"/>
      </w:pPr>
      <w:r>
        <w:t xml:space="preserve">In-Sample Results</w:t>
      </w:r>
    </w:p>
    <w:p>
      <w:pPr>
        <w:pStyle w:val="FirstParagraph"/>
      </w:pPr>
      <w:r>
        <w:t xml:space="preserve">Table </w:t>
      </w:r>
      <w:hyperlink w:anchor="tab:results">
        <w:r>
          <w:rPr>
            <w:rStyle w:val="Hyperlink"/>
          </w:rPr>
          <w:t xml:space="preserve">[tab:results]</w:t>
        </w:r>
      </w:hyperlink>
      <w:r>
        <w:t xml:space="preserve"> </w:t>
      </w:r>
      <w:r>
        <w:t xml:space="preserve">reports MSE and MAE. SW-LTS (</w:t>
      </w:r>
      <m:oMath>
        <m:r>
          <m:t>λ</m:t>
        </m:r>
        <m:r>
          <m:rPr>
            <m:sty m:val="p"/>
          </m:rPr>
          <m:t>=</m:t>
        </m:r>
        <m:r>
          <m:t>3</m:t>
        </m:r>
      </m:oMath>
      <w:r>
        <w:t xml:space="preserve">)</w:t>
      </w:r>
      <w:r>
        <w:t xml:space="preserve"> </w:t>
      </w:r>
      <w:r>
        <w:t xml:space="preserve">achieves the lowest MSE on Alabama (14,420 vs. 15,077 for HO-LTS:</w:t>
      </w:r>
      <w:r>
        <w:t xml:space="preserve"> </w:t>
      </w:r>
      <w:r>
        <w:rPr>
          <w:b/>
          <w:bCs/>
        </w:rPr>
        <w:t xml:space="preserve">4.4%</w:t>
      </w:r>
      <w:r>
        <w:t xml:space="preserve">) and matches HO-LTS on TAIEX-99, Sunspot, and</w:t>
      </w:r>
      <w:r>
        <w:t xml:space="preserve"> </w:t>
      </w:r>
      <w:r>
        <w:t xml:space="preserve">Temperature—where high coverage drives SW-LTS to the exact-match</w:t>
      </w:r>
      <w:r>
        <w:t xml:space="preserve"> </w:t>
      </w:r>
      <w:r>
        <w:t xml:space="preserve">regime (</w:t>
      </w:r>
      <m:oMath>
        <m:sSup>
          <m:e>
            <m:r>
              <m:t>σ</m:t>
            </m:r>
          </m:e>
          <m:sup>
            <m:r>
              <m:rPr>
                <m:sty m:val="p"/>
              </m:rPr>
              <m:t>*</m:t>
            </m:r>
          </m:sup>
        </m:sSup>
        <m:r>
          <m:rPr>
            <m:sty m:val="p"/>
          </m:rPr>
          <m:t>=</m:t>
        </m:r>
        <m:r>
          <m:t>0.01</m:t>
        </m:r>
      </m:oMath>
      <w:r>
        <w:t xml:space="preserve">, Proposition </w:t>
      </w:r>
      <w:hyperlink w:anchor="prop:sigma0">
        <w:r>
          <w:rPr>
            <w:rStyle w:val="Hyperlink"/>
          </w:rPr>
          <w:t xml:space="preserve">[prop:sigma0]</w:t>
        </w:r>
      </w:hyperlink>
      <w:r>
        <w:t xml:space="preserve">).</w:t>
      </w:r>
      <w:r>
        <w:t xml:space="preserve"> </w:t>
      </w:r>
      <w:r>
        <w:t xml:space="preserve">At</w:t>
      </w:r>
      <w:r>
        <w:t xml:space="preserve"> </w:t>
      </w:r>
      <m:oMath>
        <m:r>
          <m:t>λ</m:t>
        </m:r>
        <m:r>
          <m:rPr>
            <m:sty m:val="p"/>
          </m:rPr>
          <m:t>=</m:t>
        </m:r>
        <m:r>
          <m:t>2</m:t>
        </m:r>
      </m:oMath>
      <w:r>
        <w:t xml:space="preserve">, SW-LTS outperforms HO-LTS on TAIEX-99: MSE 18,283</w:t>
      </w:r>
      <w:r>
        <w:t xml:space="preserve"> </w:t>
      </w:r>
      <w:r>
        <w:t xml:space="preserve">vs. 20,255 (</w:t>
      </w:r>
      <w:r>
        <w:rPr>
          <w:b/>
          <w:bCs/>
        </w:rPr>
        <w:t xml:space="preserve">9.7%</w:t>
      </w:r>
      <w:r>
        <w:t xml:space="preserve">, coverage 20%, 80% of queries unmatched).</w:t>
      </w:r>
    </w:p>
    <w:bookmarkEnd w:id="36"/>
    <w:bookmarkStart w:id="37" w:name="sec:walkforward"/>
    <w:p>
      <w:pPr>
        <w:pStyle w:val="heading 2"/>
      </w:pPr>
      <w:r>
        <w:t xml:space="preserve">Out-of-Sample Walk-Forward Validation</w:t>
      </w:r>
    </w:p>
    <w:p>
      <w:pPr>
        <w:pStyle w:val="FirstParagraph"/>
      </w:pPr>
      <w:r>
        <w:t xml:space="preserve">Table </w:t>
      </w:r>
      <w:hyperlink w:anchor="tab:walkforward">
        <w:r>
          <w:rPr>
            <w:rStyle w:val="Hyperlink"/>
          </w:rPr>
          <w:t xml:space="preserve">[tab:walkforward]</w:t>
        </w:r>
      </w:hyperlink>
      <w:r>
        <w:t xml:space="preserve"> </w:t>
      </w:r>
      <w:r>
        <w:t xml:space="preserve">reports walk-forward MSE at</w:t>
      </w:r>
      <w:r>
        <w:t xml:space="preserve"> </w:t>
      </w:r>
      <m:oMath>
        <m:r>
          <m:t>λ</m:t>
        </m:r>
        <m:r>
          <m:rPr>
            <m:sty m:val="p"/>
          </m:rPr>
          <m:t>=</m:t>
        </m:r>
        <m:r>
          <m:t>3</m:t>
        </m:r>
      </m:oMath>
      <w:r>
        <w:t xml:space="preserve">.</w:t>
      </w:r>
      <w:r>
        <w:t xml:space="preserve"> </w:t>
      </w:r>
      <w:r>
        <w:t xml:space="preserve">On Sunspot, SW-LTS (MSE 1,100) achieves</w:t>
      </w:r>
      <w:r>
        <w:t xml:space="preserve"> </w:t>
      </w:r>
      <w:r>
        <w:rPr>
          <w:b/>
          <w:bCs/>
        </w:rPr>
        <w:t xml:space="preserve">69.5%</w:t>
      </w:r>
      <w:r>
        <w:t xml:space="preserve"> </w:t>
      </w:r>
      <w:r>
        <w:t xml:space="preserve">reduction</w:t>
      </w:r>
      <w:r>
        <w:t xml:space="preserve"> </w:t>
      </w:r>
      <w:r>
        <w:t xml:space="preserve">vs. HO-LTS (3,604) and beats the naive predictor (2,155),</w:t>
      </w:r>
      <w:r>
        <w:t xml:space="preserve"> </w:t>
      </w:r>
      <m:oMath>
        <m:r>
          <m:t>p</m:t>
        </m:r>
        <m:r>
          <m:rPr>
            <m:sty m:val="p"/>
          </m:rPr>
          <m:t>&lt;</m:t>
        </m:r>
        <m:r>
          <m:t>0.001</m:t>
        </m:r>
      </m:oMath>
      <w:r>
        <w:t xml:space="preserve">. Temperature reverses: SW-LTS (2.145) is 47.7% worse</w:t>
      </w:r>
      <w:r>
        <w:t xml:space="preserve"> </w:t>
      </w:r>
      <w:r>
        <w:t xml:space="preserve">than HO-LTS (1.452), both exceeding naive (0.891). Alabama</w:t>
      </w:r>
      <w:r>
        <w:t xml:space="preserve"> </w:t>
      </w:r>
      <w:r>
        <w:t xml:space="preserve">(</w:t>
      </w:r>
      <m:oMath>
        <m:sSub>
          <m:e>
            <m:r>
              <m:t>n</m:t>
            </m:r>
          </m:e>
          <m:sub>
            <m:r>
              <m:rPr>
                <m:nor/>
                <m:sty m:val="p"/>
              </m:rPr>
              <m:t>test</m:t>
            </m:r>
          </m:sub>
        </m:sSub>
        <m:r>
          <m:rPr>
            <m:sty m:val="p"/>
          </m:rPr>
          <m:t>=</m:t>
        </m:r>
        <m:r>
          <m:t>7</m:t>
        </m:r>
      </m:oMath>
      <w:r>
        <w:t xml:space="preserve">) is included for completeness only.</w:t>
      </w:r>
    </w:p>
    <w:bookmarkEnd w:id="37"/>
    <w:bookmarkStart w:id="46" w:name="sec:coverage"/>
    <w:p>
      <w:pPr>
        <w:pStyle w:val="heading 2"/>
      </w:pPr>
      <w:r>
        <w:t xml:space="preserve">Coverage and Bandwidth Analysis</w:t>
      </w:r>
    </w:p>
    <w:p>
      <w:pPr>
        <w:pStyle w:val="FirstParagraph"/>
      </w:pPr>
      <w:r>
        <w:t xml:space="preserve">Table </w:t>
      </w:r>
      <w:hyperlink w:anchor="tab:coverage">
        <w:r>
          <w:rPr>
            <w:rStyle w:val="Hyperlink"/>
          </w:rPr>
          <w:t xml:space="preserve">2</w:t>
        </w:r>
      </w:hyperlink>
      <w:r>
        <w:t xml:space="preserve"> </w:t>
      </w:r>
      <w:r>
        <w:t xml:space="preserve">reports LLRG coverage at</w:t>
      </w:r>
      <w:r>
        <w:t xml:space="preserve"> </w:t>
      </w:r>
      <m:oMath>
        <m:r>
          <m:t>λ</m:t>
        </m:r>
        <m:r>
          <m:rPr>
            <m:sty m:val="p"/>
          </m:rPr>
          <m:t>=</m:t>
        </m:r>
        <m:r>
          <m:t>1</m:t>
        </m:r>
        <m:r>
          <m:rPr>
            <m:sty m:val="p"/>
          </m:rPr>
          <m:t>,</m:t>
        </m:r>
        <m:r>
          <m:t>2</m:t>
        </m:r>
        <m:r>
          <m:rPr>
            <m:sty m:val="p"/>
          </m:rPr>
          <m:t>,</m:t>
        </m:r>
        <m:r>
          <m:t>3</m:t>
        </m:r>
      </m:oMath>
      <w:r>
        <w:t xml:space="preserve">;</w:t>
      </w:r>
      <w:r>
        <w:t xml:space="preserve"> </w:t>
      </w:r>
      <w:r>
        <w:t xml:space="preserve">Figure </w:t>
      </w:r>
      <w:hyperlink w:anchor="fig:coverage">
        <w:r>
          <w:rPr>
            <w:rStyle w:val="Hyperlink"/>
          </w:rPr>
          <w:t xml:space="preserve">1</w:t>
        </w:r>
      </w:hyperlink>
      <w:r>
        <w:t xml:space="preserve">(a) visualizes the decay profile. Alabama is</w:t>
      </w:r>
      <w:r>
        <w:t xml:space="preserve"> </w:t>
      </w:r>
      <w:r>
        <w:t xml:space="preserve">most extreme: 73.3% at</w:t>
      </w:r>
      <w:r>
        <w:t xml:space="preserve"> </w:t>
      </w:r>
      <m:oMath>
        <m:r>
          <m:t>λ</m:t>
        </m:r>
        <m:r>
          <m:rPr>
            <m:sty m:val="p"/>
          </m:rPr>
          <m:t>=</m:t>
        </m:r>
        <m:r>
          <m:t>1</m:t>
        </m:r>
      </m:oMath>
      <w:r>
        <w:t xml:space="preserve"> </w:t>
      </w:r>
      <w:r>
        <w:t xml:space="preserve">collapses to 0.56% at</w:t>
      </w:r>
      <w:r>
        <w:t xml:space="preserve"> </w:t>
      </w:r>
      <m:oMath>
        <m:r>
          <m:t>λ</m:t>
        </m:r>
        <m:r>
          <m:rPr>
            <m:sty m:val="p"/>
          </m:rPr>
          <m:t>=</m:t>
        </m:r>
        <m:r>
          <m:t>3</m:t>
        </m:r>
      </m:oMath>
      <w:r>
        <w:t xml:space="preserve"> </w:t>
      </w:r>
      <w:r>
        <w:t xml:space="preserve">(19 of</w:t>
      </w:r>
      <w:r>
        <w:t xml:space="preserve"> </w:t>
      </w:r>
      <m:oMath>
        <m:sSup>
          <m:e>
            <m:r>
              <m:t>15</m:t>
            </m:r>
          </m:e>
          <m:sup>
            <m:r>
              <m:t>3</m:t>
            </m:r>
          </m:sup>
        </m:sSup>
        <m:r>
          <m:rPr>
            <m:sty m:val="p"/>
          </m:rPr>
          <m:t>=</m:t>
        </m:r>
        <m:r>
          <m:t>3</m:t>
        </m:r>
        <m:r>
          <m:rPr>
            <m:sty m:val="p"/>
          </m:rPr>
          <m:t>,</m:t>
        </m:r>
        <m:r>
          <m:t>375</m:t>
        </m:r>
      </m:oMath>
      <w:r>
        <w:t xml:space="preserve"> </w:t>
      </w:r>
      <w:r>
        <w:t xml:space="preserve">possible). SW-LTS assigns non-zero weight to</w:t>
      </w:r>
      <w:r>
        <w:t xml:space="preserve"> </w:t>
      </w:r>
      <w:r>
        <w:t xml:space="preserve">all 19 rules for every query. Coverage explains the in-sample pattern:</w:t>
      </w:r>
      <w:r>
        <w:t xml:space="preserve"> </w:t>
      </w:r>
      <w:r>
        <w:t xml:space="preserve">on TAIEX-99 at</w:t>
      </w:r>
      <w:r>
        <w:t xml:space="preserve"> </w:t>
      </w:r>
      <m:oMath>
        <m:r>
          <m:t>λ</m:t>
        </m:r>
        <m:r>
          <m:rPr>
            <m:sty m:val="p"/>
          </m:rPr>
          <m:t>=</m:t>
        </m:r>
        <m:r>
          <m:t>2</m:t>
        </m:r>
      </m:oMath>
      <w:r>
        <w:t xml:space="preserve"> </w:t>
      </w:r>
      <w:r>
        <w:t xml:space="preserve">(coverage 20%), the 9.7% gain arises</w:t>
      </w:r>
      <w:r>
        <w:t xml:space="preserve"> </w:t>
      </w:r>
      <w:r>
        <w:t xml:space="preserve">because 80% of queries no longer fall to the global mean.</w:t>
      </w:r>
    </w:p>
    <w:bookmarkStart w:id="38" w:name="tab:coverage"/>
    <w:p>
      <w:pPr>
        <w:pStyle w:val="TableCaption"/>
      </w:pPr>
      <w:r>
        <w:t xml:space="preserve">LLRG coverage (%) at</w:t>
      </w:r>
      <w:r>
        <w:t xml:space="preserve"> </w:t>
      </w:r>
      <m:oMath>
        <m:r>
          <m:t>k</m:t>
        </m:r>
        <m:r>
          <m:rPr>
            <m:sty m:val="p"/>
          </m:rPr>
          <m:t>=</m:t>
        </m:r>
        <m:r>
          <m:t>2</m:t>
        </m:r>
      </m:oMath>
      <w:r>
        <w:t xml:space="preserve">,</w:t>
      </w:r>
      <w:r>
        <w:t xml:space="preserve"> </w:t>
      </w:r>
      <m:oMath>
        <m:r>
          <m:rPr>
            <m:sty m:val="p"/>
          </m:rPr>
          <m:t>|</m:t>
        </m:r>
        <m:r>
          <m:t>W</m:t>
        </m:r>
        <m:r>
          <m:rPr>
            <m:sty m:val="p"/>
          </m:rPr>
          <m:t>|</m:t>
        </m:r>
        <m:r>
          <m:rPr>
            <m:sty m:val="p"/>
          </m:rPr>
          <m:t>=</m:t>
        </m:r>
        <m:r>
          <m:t>15</m:t>
        </m:r>
      </m:oMath>
      <w:r>
        <w:t xml:space="preserve">;</w:t>
      </w:r>
      <w:r>
        <w:t xml:space="preserve"> </w:t>
      </w:r>
      <m:oMath>
        <m:r>
          <m:rPr>
            <m:sty m:val="p"/>
          </m:rPr>
          <m:t>|</m:t>
        </m:r>
        <m:r>
          <m:rPr>
            <m:scr m:val="script"/>
            <m:sty m:val="p"/>
          </m:rPr>
          <m:t>R</m:t>
        </m:r>
        <m:r>
          <m:rPr>
            <m:sty m:val="p"/>
          </m:rPr>
          <m:t>|</m:t>
        </m:r>
      </m:oMath>
      <w:r>
        <w:t xml:space="preserve"> </w:t>
      </w:r>
      <w:r>
        <w:t xml:space="preserve">in parentheses</w:t>
      </w:r>
    </w:p>
    <w:tbl>
      <w:tblPr>
        <w:tblStyle w:val="Table"/>
        <w:tblW w:type="auto" w:w="0"/>
        <w:tblLook w:firstRow="1" w:lastRow="0" w:firstColumn="0" w:lastColumn="0" w:noHBand="0" w:noVBand="0" w:val="0020"/>
        <w:tblCaption w:val="LLRG coverage (%) at k=2, |W|=15; |\mathcal{R}| in parentheses"/>
      </w:tblPr>
      <w:tblGrid>
        <w:gridCol w:w="1980"/>
        <w:gridCol w:w="1980"/>
        <w:gridCol w:w="1980"/>
        <w:gridCol w:w="1980"/>
      </w:tblGrid>
      <w:tr>
        <w:trPr>
          <w:tblHeader w:val="on"/>
        </w:trPr>
        <w:tc>
          <w:tcPr/>
          <w:p>
            <w:pPr>
              <w:pStyle w:val="Compact"/>
              <w:jc w:val="left"/>
            </w:pPr>
            <w:r>
              <w:t xml:space="preserve">Dataset</w:t>
            </w:r>
          </w:p>
        </w:tc>
        <w:tc>
          <w:tcPr/>
          <w:p>
            <w:pPr>
              <w:pStyle w:val="Compact"/>
              <w:jc w:val="right"/>
            </w:pPr>
            <m:oMath>
              <m:r>
                <m:t>λ</m:t>
              </m:r>
              <m:r>
                <m:rPr>
                  <m:sty m:val="p"/>
                </m:rPr>
                <m:t>=</m:t>
              </m:r>
              <m:r>
                <m:t>1</m:t>
              </m:r>
            </m:oMath>
          </w:p>
        </w:tc>
        <w:tc>
          <w:tcPr/>
          <w:p>
            <w:pPr>
              <w:pStyle w:val="Compact"/>
              <w:jc w:val="right"/>
            </w:pPr>
            <m:oMath>
              <m:r>
                <m:t>λ</m:t>
              </m:r>
              <m:r>
                <m:rPr>
                  <m:sty m:val="p"/>
                </m:rPr>
                <m:t>=</m:t>
              </m:r>
              <m:r>
                <m:t>2</m:t>
              </m:r>
            </m:oMath>
          </w:p>
        </w:tc>
        <w:tc>
          <w:tcPr/>
          <w:p>
            <w:pPr>
              <w:pStyle w:val="Compact"/>
              <w:jc w:val="right"/>
            </w:pPr>
            <m:oMath>
              <m:r>
                <m:t>λ</m:t>
              </m:r>
              <m:r>
                <m:rPr>
                  <m:sty m:val="p"/>
                </m:rPr>
                <m:t>=</m:t>
              </m:r>
              <m:r>
                <m:t>3</m:t>
              </m:r>
            </m:oMath>
          </w:p>
        </w:tc>
      </w:tr>
      <w:tr>
        <w:tc>
          <w:tcPr/>
          <w:p>
            <w:pPr>
              <w:pStyle w:val="Compact"/>
              <w:jc w:val="left"/>
            </w:pPr>
            <w:r>
              <w:t xml:space="preserve">Alabama</w:t>
            </w:r>
          </w:p>
        </w:tc>
        <w:tc>
          <w:tcPr/>
          <w:p>
            <w:pPr>
              <w:pStyle w:val="Compact"/>
              <w:jc w:val="right"/>
            </w:pPr>
            <w:r>
              <w:t xml:space="preserve">73.33% (11)</w:t>
            </w:r>
          </w:p>
        </w:tc>
        <w:tc>
          <w:tcPr/>
          <w:p>
            <w:pPr>
              <w:pStyle w:val="Compact"/>
              <w:jc w:val="right"/>
            </w:pPr>
            <w:r>
              <w:t xml:space="preserve">7.56% (17)</w:t>
            </w:r>
          </w:p>
        </w:tc>
        <w:tc>
          <w:tcPr/>
          <w:p>
            <w:pPr>
              <w:pStyle w:val="Compact"/>
              <w:jc w:val="right"/>
            </w:pPr>
            <w:r>
              <w:rPr>
                <w:b/>
                <w:bCs/>
              </w:rPr>
              <w:t xml:space="preserve">0.56%</w:t>
            </w:r>
            <w:r>
              <w:t xml:space="preserve"> </w:t>
            </w:r>
            <w:r>
              <w:t xml:space="preserve">(19)</w:t>
            </w:r>
          </w:p>
        </w:tc>
      </w:tr>
      <w:tr>
        <w:tc>
          <w:tcPr/>
          <w:p>
            <w:pPr>
              <w:pStyle w:val="Compact"/>
              <w:jc w:val="left"/>
            </w:pPr>
            <w:r>
              <w:t xml:space="preserve">TAIEX-99</w:t>
            </w:r>
          </w:p>
        </w:tc>
        <w:tc>
          <w:tcPr/>
          <w:p>
            <w:pPr>
              <w:pStyle w:val="Compact"/>
              <w:jc w:val="right"/>
            </w:pPr>
            <w:r>
              <w:t xml:space="preserve">93.33% (14)</w:t>
            </w:r>
          </w:p>
        </w:tc>
        <w:tc>
          <w:tcPr/>
          <w:p>
            <w:pPr>
              <w:pStyle w:val="Compact"/>
              <w:jc w:val="right"/>
            </w:pPr>
            <w:r>
              <w:t xml:space="preserve">20.00% (45)</w:t>
            </w:r>
          </w:p>
        </w:tc>
        <w:tc>
          <w:tcPr/>
          <w:p>
            <w:pPr>
              <w:pStyle w:val="Compact"/>
              <w:jc w:val="right"/>
            </w:pPr>
            <w:r>
              <w:t xml:space="preserve">2.64% (89)</w:t>
            </w:r>
          </w:p>
        </w:tc>
      </w:tr>
      <w:tr>
        <w:tc>
          <w:tcPr/>
          <w:p>
            <w:pPr>
              <w:pStyle w:val="Compact"/>
              <w:jc w:val="left"/>
            </w:pPr>
            <w:r>
              <w:t xml:space="preserve">Sunspot</w:t>
            </w:r>
          </w:p>
        </w:tc>
        <w:tc>
          <w:tcPr/>
          <w:p>
            <w:pPr>
              <w:pStyle w:val="Compact"/>
              <w:jc w:val="right"/>
            </w:pPr>
            <w:r>
              <w:t xml:space="preserve">86.67% (13)</w:t>
            </w:r>
          </w:p>
        </w:tc>
        <w:tc>
          <w:tcPr/>
          <w:p>
            <w:pPr>
              <w:pStyle w:val="Compact"/>
              <w:jc w:val="right"/>
            </w:pPr>
            <w:r>
              <w:t xml:space="preserve">31.56% (71)</w:t>
            </w:r>
          </w:p>
        </w:tc>
        <w:tc>
          <w:tcPr/>
          <w:p>
            <w:pPr>
              <w:pStyle w:val="Compact"/>
              <w:jc w:val="right"/>
            </w:pPr>
            <w:r>
              <w:t xml:space="preserve">4.12% (139)</w:t>
            </w:r>
          </w:p>
        </w:tc>
      </w:tr>
      <w:tr>
        <w:tc>
          <w:tcPr/>
          <w:p>
            <w:pPr>
              <w:pStyle w:val="Compact"/>
              <w:jc w:val="left"/>
            </w:pPr>
            <w:r>
              <w:t xml:space="preserve">Temp.</w:t>
            </w:r>
          </w:p>
        </w:tc>
        <w:tc>
          <w:tcPr/>
          <w:p>
            <w:pPr>
              <w:pStyle w:val="Compact"/>
              <w:jc w:val="right"/>
            </w:pPr>
            <w:r>
              <w:t xml:space="preserve">100.00% (15)</w:t>
            </w:r>
          </w:p>
        </w:tc>
        <w:tc>
          <w:tcPr/>
          <w:p>
            <w:pPr>
              <w:pStyle w:val="Compact"/>
              <w:jc w:val="right"/>
            </w:pPr>
            <w:r>
              <w:t xml:space="preserve">26.22% (59)</w:t>
            </w:r>
          </w:p>
        </w:tc>
        <w:tc>
          <w:tcPr/>
          <w:p>
            <w:pPr>
              <w:pStyle w:val="Compact"/>
              <w:jc w:val="right"/>
            </w:pPr>
            <w:r>
              <w:t xml:space="preserve">3.11% (105)</w:t>
            </w:r>
          </w:p>
        </w:tc>
      </w:tr>
    </w:tbl>
    <w:bookmarkEnd w:id="38"/>
    <w:p>
      <w:pPr>
        <w:pStyle w:val="BodyText"/>
      </w:pPr>
      <w:r>
        <w:t xml:space="preserve">Figure </w:t>
      </w:r>
      <w:hyperlink w:anchor="fig:coverage">
        <w:r>
          <w:rPr>
            <w:rStyle w:val="Hyperlink"/>
          </w:rPr>
          <w:t xml:space="preserve">1</w:t>
        </w:r>
      </w:hyperlink>
      <w:r>
        <w:t xml:space="preserve">(b) plots MSE vs. </w:t>
      </w:r>
      <m:oMath>
        <m:r>
          <m:t>σ</m:t>
        </m:r>
      </m:oMath>
      <w:r>
        <w:t xml:space="preserve"> </w:t>
      </w:r>
      <w:r>
        <w:t xml:space="preserve">on Alabama</w:t>
      </w:r>
      <w:r>
        <w:t xml:space="preserve"> </w:t>
      </w:r>
      <w:r>
        <w:t xml:space="preserve">(</w:t>
      </w:r>
      <m:oMath>
        <m:r>
          <m:t>λ</m:t>
        </m:r>
        <m:r>
          <m:rPr>
            <m:sty m:val="p"/>
          </m:rPr>
          <m:t>=</m:t>
        </m:r>
        <m:r>
          <m:t>3</m:t>
        </m:r>
      </m:oMath>
      <w:r>
        <w:t xml:space="preserve">). For</w:t>
      </w:r>
      <w:r>
        <w:t xml:space="preserve"> </w:t>
      </w:r>
      <m:oMath>
        <m:r>
          <m:t>σ</m:t>
        </m:r>
        <m:r>
          <m:rPr>
            <m:sty m:val="p"/>
          </m:rPr>
          <m:t>≤</m:t>
        </m:r>
        <m:r>
          <m:t>0.01</m:t>
        </m:r>
      </m:oMath>
      <w:r>
        <w:t xml:space="preserve">, MSE is flat at 15,077 (exact-match</w:t>
      </w:r>
      <w:r>
        <w:t xml:space="preserve"> </w:t>
      </w:r>
      <w:r>
        <w:t xml:space="preserve">regime, Proposition </w:t>
      </w:r>
      <w:hyperlink w:anchor="prop:sigma0">
        <w:r>
          <w:rPr>
            <w:rStyle w:val="Hyperlink"/>
          </w:rPr>
          <w:t xml:space="preserve">[prop:sigma0]</w:t>
        </w:r>
      </w:hyperlink>
      <w:r>
        <w:t xml:space="preserve">); at</w:t>
      </w:r>
      <w:r>
        <w:t xml:space="preserve"> </w:t>
      </w:r>
      <m:oMath>
        <m:sSup>
          <m:e>
            <m:r>
              <m:t>σ</m:t>
            </m:r>
          </m:e>
          <m:sup>
            <m:r>
              <m:rPr>
                <m:sty m:val="p"/>
              </m:rPr>
              <m:t>*</m:t>
            </m:r>
          </m:sup>
        </m:sSup>
        <m:r>
          <m:rPr>
            <m:sty m:val="p"/>
          </m:rPr>
          <m:t>=</m:t>
        </m:r>
        <m:r>
          <m:t>0.03</m:t>
        </m:r>
      </m:oMath>
      <w:r>
        <w:t xml:space="preserve"> </w:t>
      </w:r>
      <w:r>
        <w:t xml:space="preserve">MSE</w:t>
      </w:r>
      <w:r>
        <w:t xml:space="preserve"> </w:t>
      </w:r>
      <w:r>
        <w:t xml:space="preserve">reaches 14,420; for</w:t>
      </w:r>
      <w:r>
        <w:t xml:space="preserve"> </w:t>
      </w:r>
      <m:oMath>
        <m:r>
          <m:t>σ</m:t>
        </m:r>
        <m:r>
          <m:rPr>
            <m:sty m:val="p"/>
          </m:rPr>
          <m:t>&gt;</m:t>
        </m:r>
        <m:r>
          <m:t>0.03</m:t>
        </m:r>
      </m:oMath>
      <w:r>
        <w:t xml:space="preserve"> </w:t>
      </w:r>
      <w:r>
        <w:t xml:space="preserve">MSE rises toward the global-mean</w:t>
      </w:r>
      <w:r>
        <w:t xml:space="preserve"> </w:t>
      </w:r>
      <w:r>
        <w:t xml:space="preserve">limit (Proposition </w:t>
      </w:r>
      <w:hyperlink w:anchor="prop:sigmainf">
        <w:r>
          <w:rPr>
            <w:rStyle w:val="Hyperlink"/>
          </w:rPr>
          <w:t xml:space="preserve">[prop:sigmainf]</w:t>
        </w:r>
      </w:hyperlink>
      <w:r>
        <w:t xml:space="preserve">).</w:t>
      </w:r>
    </w:p>
    <w:bookmarkStart w:id="45" w:name="fig:coverage"/>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190750" cy="1158845"/>
                  <wp:effectExtent b="0" l="0" r="0" t="0"/>
                  <wp:docPr descr="" title="" id="40" name="Picture"/>
                  <a:graphic>
                    <a:graphicData uri="http://schemas.openxmlformats.org/drawingml/2006/picture">
                      <pic:pic>
                        <pic:nvPicPr>
                          <pic:cNvPr descr="figures/fig3_coverage.pdf" id="41" name="Picture"/>
                          <pic:cNvPicPr>
                            <a:picLocks noChangeArrowheads="1" noChangeAspect="1"/>
                          </pic:cNvPicPr>
                        </pic:nvPicPr>
                        <pic:blipFill>
                          <a:blip r:embed="rId39"/>
                          <a:stretch>
                            <a:fillRect/>
                          </a:stretch>
                        </pic:blipFill>
                        <pic:spPr bwMode="auto">
                          <a:xfrm>
                            <a:off x="0" y="0"/>
                            <a:ext cx="2190750" cy="1158845"/>
                          </a:xfrm>
                          <a:prstGeom prst="rect">
                            <a:avLst/>
                          </a:prstGeom>
                          <a:noFill/>
                          <a:ln w="9525">
                            <a:noFill/>
                            <a:headEnd/>
                            <a:tailEnd/>
                          </a:ln>
                        </pic:spPr>
                      </pic:pic>
                    </a:graphicData>
                  </a:graphic>
                </wp:inline>
              </w:drawing>
            </w:r>
          </w:p>
          <w:p>
            <w:pPr>
              <w:jc w:val="center"/>
            </w:pPr>
            <w:r>
              <w:t xml:space="preserve">(a) LLRG Coverage vs. Order</w:t>
            </w:r>
          </w:p>
        </w:tc>
        <w:tc>
          <w:tcPr/>
          <w:p>
            <w:pPr>
              <w:pStyle w:val="Compact"/>
              <w:jc w:val="center"/>
            </w:pPr>
            <w:r>
              <w:drawing>
                <wp:inline>
                  <wp:extent cx="2190750" cy="1263348"/>
                  <wp:effectExtent b="0" l="0" r="0" t="0"/>
                  <wp:docPr descr="" title="" id="43" name="Picture"/>
                  <a:graphic>
                    <a:graphicData uri="http://schemas.openxmlformats.org/drawingml/2006/picture">
                      <pic:pic>
                        <pic:nvPicPr>
                          <pic:cNvPr descr="figures/fig2_sigma_sensitivity.pdf" id="44" name="Picture"/>
                          <pic:cNvPicPr>
                            <a:picLocks noChangeArrowheads="1" noChangeAspect="1"/>
                          </pic:cNvPicPr>
                        </pic:nvPicPr>
                        <pic:blipFill>
                          <a:blip r:embed="rId42"/>
                          <a:stretch>
                            <a:fillRect/>
                          </a:stretch>
                        </pic:blipFill>
                        <pic:spPr bwMode="auto">
                          <a:xfrm>
                            <a:off x="0" y="0"/>
                            <a:ext cx="2190750" cy="1263348"/>
                          </a:xfrm>
                          <a:prstGeom prst="rect">
                            <a:avLst/>
                          </a:prstGeom>
                          <a:noFill/>
                          <a:ln w="9525">
                            <a:noFill/>
                            <a:headEnd/>
                            <a:tailEnd/>
                          </a:ln>
                        </pic:spPr>
                      </pic:pic>
                    </a:graphicData>
                  </a:graphic>
                </wp:inline>
              </w:drawing>
            </w:r>
          </w:p>
          <w:p>
            <w:pPr>
              <w:jc w:val="center"/>
            </w:pPr>
            <w:r>
              <w:t xml:space="preserve">(b) Bandwidth Sensitivity (Alabama)</w:t>
            </w:r>
          </w:p>
        </w:tc>
      </w:tr>
    </w:tbl>
    <w:p>
      <w:pPr>
        <w:pStyle w:val="ImageCaption"/>
      </w:pPr>
      <w:r>
        <w:t xml:space="preserve">(a) Coverage (%) at</w:t>
      </w:r>
      <w:r>
        <w:t xml:space="preserve"> </w:t>
      </w:r>
      <m:oMath>
        <m:r>
          <m:t>λ</m:t>
        </m:r>
        <m:r>
          <m:rPr>
            <m:sty m:val="p"/>
          </m:rPr>
          <m:t>=</m:t>
        </m:r>
        <m:r>
          <m:t>1</m:t>
        </m:r>
        <m:r>
          <m:rPr>
            <m:sty m:val="p"/>
          </m:rPr>
          <m:t>,</m:t>
        </m:r>
        <m:r>
          <m:t>2</m:t>
        </m:r>
        <m:r>
          <m:rPr>
            <m:sty m:val="p"/>
          </m:rPr>
          <m:t>,</m:t>
        </m:r>
        <m:r>
          <m:t>3</m:t>
        </m:r>
      </m:oMath>
      <w:r>
        <w:t xml:space="preserve"> </w:t>
      </w:r>
      <w:r>
        <w:t xml:space="preserve">for all datasets.</w:t>
      </w:r>
      <w:r>
        <w:t xml:space="preserve"> </w:t>
      </w:r>
      <w:r>
        <w:t xml:space="preserve">(b) MSE vs. </w:t>
      </w:r>
      <m:oMath>
        <m:r>
          <m:t>σ</m:t>
        </m:r>
      </m:oMath>
      <w:r>
        <w:t xml:space="preserve"> </w:t>
      </w:r>
      <w:r>
        <w:t xml:space="preserve">on Alabama (</w:t>
      </w:r>
      <m:oMath>
        <m:r>
          <m:t>λ</m:t>
        </m:r>
        <m:r>
          <m:rPr>
            <m:sty m:val="p"/>
          </m:rPr>
          <m:t>=</m:t>
        </m:r>
        <m:r>
          <m:t>3</m:t>
        </m:r>
      </m:oMath>
      <w:r>
        <w:t xml:space="preserve">). Star: in-sample</w:t>
      </w:r>
      <w:r>
        <w:t xml:space="preserve"> </w:t>
      </w:r>
      <w:r>
        <w:t xml:space="preserve">optimum</w:t>
      </w:r>
      <w:r>
        <w:t xml:space="preserve"> </w:t>
      </w:r>
      <m:oMath>
        <m:sSup>
          <m:e>
            <m:r>
              <m:t>σ</m:t>
            </m:r>
          </m:e>
          <m:sup>
            <m:r>
              <m:rPr>
                <m:sty m:val="p"/>
              </m:rPr>
              <m:t>*</m:t>
            </m:r>
          </m:sup>
        </m:sSup>
        <m:r>
          <m:rPr>
            <m:sty m:val="p"/>
          </m:rPr>
          <m:t>=</m:t>
        </m:r>
        <m:r>
          <m:t>0.03</m:t>
        </m:r>
      </m:oMath>
      <w:r>
        <w:t xml:space="preserve"> </w:t>
      </w:r>
      <w:r>
        <w:t xml:space="preserve">(MSE = 14,420); dashed: LTS exact-match</w:t>
      </w:r>
      <w:r>
        <w:t xml:space="preserve"> </w:t>
      </w:r>
      <w:r>
        <w:t xml:space="preserve">baseline (MSE = 15,077).</w:t>
      </w:r>
    </w:p>
    <w:bookmarkEnd w:id="45"/>
    <w:bookmarkEnd w:id="46"/>
    <w:bookmarkStart w:id="47" w:name="sec:discussion"/>
    <w:p>
      <w:pPr>
        <w:pStyle w:val="heading 2"/>
      </w:pPr>
      <w:r>
        <w:t xml:space="preserve">Discussion</w:t>
      </w:r>
    </w:p>
    <w:p>
      <w:pPr>
        <w:pStyle w:val="FirstParagraph"/>
      </w:pPr>
      <w:r>
        <w:rPr>
          <w:b/>
          <w:bCs/>
        </w:rPr>
        <w:t xml:space="preserve">Sunspot: kernel aggregation over high-dynamic-range cycles.</w:t>
      </w:r>
      <w:r>
        <w:t xml:space="preserve"> </w:t>
      </w:r>
      <w:r>
        <w:t xml:space="preserve">Sunspot numbers span 0–296, so HO-LTS’s global-mean fallback for</w:t>
      </w:r>
      <w:r>
        <w:t xml:space="preserve"> </w:t>
      </w:r>
      <m:oMath>
        <m:r>
          <m:rPr>
            <m:sty m:val="p"/>
          </m:rPr>
          <m:t>≈</m:t>
        </m:r>
        <m:r>
          <m:t>96</m:t>
        </m:r>
        <m:r>
          <m:rPr>
            <m:sty m:val="p"/>
          </m:rPr>
          <m:t>%</m:t>
        </m:r>
      </m:oMath>
      <w:r>
        <w:t xml:space="preserve"> </w:t>
      </w:r>
      <w:r>
        <w:t xml:space="preserve">of unmatched queries is far from the actual value in</w:t>
      </w:r>
      <w:r>
        <w:t xml:space="preserve"> </w:t>
      </w:r>
      <w:r>
        <w:t xml:space="preserve">both active and quiet solar phases. SW-LTS (</w:t>
      </w:r>
      <m:oMath>
        <m:sSup>
          <m:e>
            <m:r>
              <m:t>σ</m:t>
            </m:r>
          </m:e>
          <m:sup>
            <m:r>
              <m:rPr>
                <m:sty m:val="p"/>
              </m:rPr>
              <m:t>*</m:t>
            </m:r>
          </m:sup>
        </m:sSup>
        <m:r>
          <m:rPr>
            <m:sty m:val="p"/>
          </m:rPr>
          <m:t>=</m:t>
        </m:r>
        <m:r>
          <m:t>0.020</m:t>
        </m:r>
      </m:oMath>
      <w:r>
        <w:t xml:space="preserve">) kernels</w:t>
      </w:r>
      <w:r>
        <w:t xml:space="preserve"> </w:t>
      </w:r>
      <w:r>
        <w:t xml:space="preserve">over all 139 training rules, weighting semantically adjacent patterns,</w:t>
      </w:r>
      <w:r>
        <w:t xml:space="preserve"> </w:t>
      </w:r>
      <w:r>
        <w:t xml:space="preserve">and achieves MSE = 1,100—below both HO-LTS (3,604,</w:t>
      </w:r>
      <w:r>
        <w:t xml:space="preserve"> </w:t>
      </w:r>
      <m:oMath>
        <m:r>
          <m:rPr>
            <m:sty m:val="p"/>
          </m:rPr>
          <m:t>−</m:t>
        </m:r>
      </m:oMath>
      <w:r>
        <w:t xml:space="preserve">69.5%,</w:t>
      </w:r>
      <w:r>
        <w:t xml:space="preserve"> </w:t>
      </w:r>
      <m:oMath>
        <m:r>
          <m:t>p</m:t>
        </m:r>
        <m:r>
          <m:rPr>
            <m:sty m:val="p"/>
          </m:rPr>
          <m:t>&lt;</m:t>
        </m:r>
        <m:r>
          <m:t>0.001</m:t>
        </m:r>
      </m:oMath>
      <w:r>
        <w:t xml:space="preserve">) and the naive predictor (2,155).</w:t>
      </w:r>
    </w:p>
    <w:p>
      <w:pPr>
        <w:pStyle w:val="BodyText"/>
      </w:pPr>
      <w:r>
        <w:rPr>
          <w:b/>
          <w:bCs/>
        </w:rPr>
        <w:t xml:space="preserve">Temperature: limits of kernel smoothing.</w:t>
      </w:r>
      <w:r>
        <w:t xml:space="preserve"> </w:t>
      </w:r>
      <w:r>
        <w:t xml:space="preserve">On Tuscaloosa Temperature (</w:t>
      </w:r>
      <m:oMath>
        <m:r>
          <m:t>23</m:t>
        </m:r>
      </m:oMath>
      <w:r>
        <w:t xml:space="preserve">–</w:t>
      </w:r>
      <m:oMath>
        <m:sSup>
          <m:e>
            <m:r>
              <m:t>32</m:t>
            </m:r>
          </m:e>
          <m:sup>
            <m:r>
              <m:rPr>
                <m:sty m:val="p"/>
              </m:rPr>
              <m:t>∘</m:t>
            </m:r>
          </m:sup>
        </m:sSup>
      </m:oMath>
      <w:r>
        <w:t xml:space="preserve">C), SW-LTS walk-forward</w:t>
      </w:r>
      <w:r>
        <w:t xml:space="preserve"> </w:t>
      </w:r>
      <w:r>
        <w:t xml:space="preserve">MSE is 47.7% higher than HO-LTS (2.145 vs. 1.452,</w:t>
      </w:r>
      <w:r>
        <w:t xml:space="preserve"> </w:t>
      </w:r>
      <m:oMath>
        <m:r>
          <m:t>p</m:t>
        </m:r>
        <m:r>
          <m:rPr>
            <m:sty m:val="p"/>
          </m:rPr>
          <m:t>=</m:t>
        </m:r>
        <m:r>
          <m:t>0.969</m:t>
        </m:r>
      </m:oMath>
      <w:r>
        <w:t xml:space="preserve">),</w:t>
      </w:r>
      <w:r>
        <w:t xml:space="preserve"> </w:t>
      </w:r>
      <w:r>
        <w:t xml:space="preserve">with both exceeding naive (0.891). The narrow range makes the global</w:t>
      </w:r>
      <w:r>
        <w:t xml:space="preserve"> </w:t>
      </w:r>
      <w:r>
        <w:t xml:space="preserve">mean a reliable fallback; kernel-weighted rules from phase-shifted</w:t>
      </w:r>
      <w:r>
        <w:t xml:space="preserve"> </w:t>
      </w:r>
      <w:r>
        <w:t xml:space="preserve">seasons introduce additional error. SW-LTS’s benefit requires high</w:t>
      </w:r>
      <w:r>
        <w:t xml:space="preserve"> </w:t>
      </w:r>
      <w:r>
        <w:t xml:space="preserve">dynamic range with structured periodicity.</w:t>
      </w:r>
    </w:p>
    <w:p>
      <w:pPr>
        <w:pStyle w:val="BodyText"/>
      </w:pPr>
      <w:r>
        <w:rPr>
          <w:b/>
          <w:bCs/>
        </w:rPr>
        <w:t xml:space="preserve">Interpretability: kernel weight attribution.</w:t>
      </w:r>
      <w:r>
        <w:t xml:space="preserve"> </w:t>
      </w:r>
      <w:r>
        <w:t xml:space="preserve">Table </w:t>
      </w:r>
      <w:hyperlink w:anchor="tab:casestudy">
        <w:r>
          <w:rPr>
            <w:rStyle w:val="Hyperlink"/>
          </w:rPr>
          <w:t xml:space="preserve">[tab:casestudy]</w:t>
        </w:r>
      </w:hyperlink>
      <w:r>
        <w:t xml:space="preserve"> </w:t>
      </w:r>
      <w:r>
        <w:t xml:space="preserve">decomposes walk-forward step</w:t>
      </w:r>
      <w:r>
        <w:t xml:space="preserve"> </w:t>
      </w:r>
      <m:oMath>
        <m:r>
          <m:t>t</m:t>
        </m:r>
        <m:r>
          <m:rPr>
            <m:sty m:val="p"/>
          </m:rPr>
          <m:t>=</m:t>
        </m:r>
        <m:r>
          <m:t>237</m:t>
        </m:r>
      </m:oMath>
      <w:r>
        <w:t xml:space="preserve"> </w:t>
      </w:r>
      <w:r>
        <w:t xml:space="preserve">on Sunspot (</w:t>
      </w:r>
      <m:oMath>
        <m:sSub>
          <m:e>
            <m:r>
              <m:t>y</m:t>
            </m:r>
          </m:e>
          <m:sub>
            <m:r>
              <m:t>t</m:t>
            </m:r>
          </m:sub>
        </m:sSub>
        <m:r>
          <m:rPr>
            <m:sty m:val="p"/>
          </m:rPr>
          <m:t>=</m:t>
        </m:r>
        <m:r>
          <m:t>190.6</m:t>
        </m:r>
      </m:oMath>
      <w:r>
        <w:t xml:space="preserve">,</w:t>
      </w:r>
      <w:r>
        <w:t xml:space="preserve"> </w:t>
      </w:r>
      <m:oMath>
        <m:sSub>
          <m:e>
            <m:acc>
              <m:accPr>
                <m:chr m:val="̂"/>
              </m:accPr>
              <m:e>
                <m:r>
                  <m:t>y</m:t>
                </m:r>
              </m:e>
            </m:acc>
          </m:e>
          <m:sub>
            <m:r>
              <m:t>t</m:t>
            </m:r>
          </m:sub>
        </m:sSub>
        <m:r>
          <m:rPr>
            <m:sty m:val="p"/>
          </m:rPr>
          <m:t>=</m:t>
        </m:r>
        <m:r>
          <m:t>190.1</m:t>
        </m:r>
      </m:oMath>
      <w:r>
        <w:t xml:space="preserve">, error 0.3%).</w:t>
      </w:r>
      <w:r>
        <w:t xml:space="preserve"> </w:t>
      </w:r>
      <w:r>
        <w:t xml:space="preserve">Rule 1 (exact match, Prop. </w:t>
      </w:r>
      <w:hyperlink w:anchor="prop:sigma0">
        <w:r>
          <w:rPr>
            <w:rStyle w:val="Hyperlink"/>
          </w:rPr>
          <w:t xml:space="preserve">[prop:sigma0]</w:t>
        </w:r>
      </w:hyperlink>
      <w:r>
        <w:t xml:space="preserve">) takes 99.5% weight;</w:t>
      </w:r>
      <w:r>
        <w:t xml:space="preserve"> </w:t>
      </w:r>
      <w:r>
        <w:t xml:space="preserve">Rules 2–3, at HA distance</w:t>
      </w:r>
      <w:r>
        <w:t xml:space="preserve"> </w:t>
      </w:r>
      <m:oMath>
        <m:r>
          <m:rPr>
            <m:sty m:val="p"/>
          </m:rPr>
          <m:t>≈</m:t>
        </m:r>
        <m:r>
          <m:t>0.07</m:t>
        </m:r>
      </m:oMath>
      <w:r>
        <w:t xml:space="preserve">, share</w:t>
      </w:r>
      <w:r>
        <w:t xml:space="preserve"> </w:t>
      </w:r>
      <m:oMath>
        <m:r>
          <m:t>0.3</m:t>
        </m:r>
        <m:r>
          <m:rPr>
            <m:sty m:val="p"/>
          </m:rPr>
          <m:t>%</m:t>
        </m:r>
      </m:oMath>
      <w:r>
        <w:t xml:space="preserve">; all</w:t>
      </w:r>
      <w:r>
        <w:t xml:space="preserve"> </w:t>
      </w:r>
      <w:r>
        <w:t xml:space="preserve">110 remaining rules together contribute</w:t>
      </w:r>
      <w:r>
        <w:t xml:space="preserve"> </w:t>
      </w:r>
      <m:oMath>
        <m:r>
          <m:rPr>
            <m:sty m:val="p"/>
          </m:rPr>
          <m:t>&lt;</m:t>
        </m:r>
        <m:r>
          <m:t>0.2</m:t>
        </m:r>
        <m:r>
          <m:rPr>
            <m:sty m:val="p"/>
          </m:rPr>
          <m:t>%</m:t>
        </m:r>
      </m:oMath>
      <w:r>
        <w:t xml:space="preserve">. This attribution</w:t>
      </w:r>
      <w:r>
        <w:t xml:space="preserve"> </w:t>
      </w:r>
      <w:r>
        <w:t xml:space="preserve">is impossible under binary lookup and is auditable in the HA</w:t>
      </w:r>
      <w:r>
        <w:t xml:space="preserve"> </w:t>
      </w:r>
      <w:r>
        <w:t xml:space="preserve">algebraic structure.</w:t>
      </w:r>
    </w:p>
    <w:p>
      <w:pPr>
        <w:pStyle w:val="BodyText"/>
      </w:pPr>
      <w:r>
        <w:t xml:space="preserve">@c l r r@</w:t>
      </w:r>
      <w:r>
        <w:t xml:space="preserve"> </w:t>
      </w:r>
      <w:r>
        <w:t xml:space="preserve">Rank &amp; LHS</w:t>
      </w:r>
      <w:r>
        <w:t xml:space="preserve"> </w:t>
      </w:r>
      <m:oMath>
        <m:sSub>
          <m:e>
            <m:r>
              <m:rPr>
                <m:sty m:val="bi"/>
              </m:rPr>
              <m:t>k</m:t>
            </m:r>
          </m:e>
          <m:sub>
            <m:r>
              <m:t>j</m:t>
            </m:r>
          </m:sub>
        </m:sSub>
      </m:oMath>
      <w:r>
        <w:t xml:space="preserve"> </w:t>
      </w:r>
      <w:r>
        <w:t xml:space="preserve">&amp;</w:t>
      </w:r>
      <w:r>
        <w:t xml:space="preserve"> </w:t>
      </w:r>
      <m:oMath>
        <m:acc>
          <m:accPr>
            <m:chr m:val="‾"/>
          </m:accPr>
          <m:e>
            <m:r>
              <m:t>s</m:t>
            </m:r>
          </m:e>
        </m:acc>
        <m:r>
          <m:rPr>
            <m:sty m:val="p"/>
          </m:rPr>
          <m:t>(</m:t>
        </m:r>
        <m:sSub>
          <m:e>
            <m:r>
              <m:t>R</m:t>
            </m:r>
          </m:e>
          <m:sub>
            <m:r>
              <m:t>j</m:t>
            </m:r>
          </m:sub>
        </m:sSub>
        <m:r>
          <m:rPr>
            <m:sty m:val="p"/>
          </m:rPr>
          <m:t>)</m:t>
        </m:r>
      </m:oMath>
      <w:r>
        <w:t xml:space="preserve"> </w:t>
      </w:r>
      <w:r>
        <w:t xml:space="preserve">&amp;</w:t>
      </w:r>
      <w:r>
        <w:t xml:space="preserve"> </w:t>
      </w:r>
      <m:oMath>
        <m:sSub>
          <m:e>
            <m:r>
              <m:t>w</m:t>
            </m:r>
          </m:e>
          <m:sub>
            <m:r>
              <m:t>j</m:t>
            </m:r>
          </m:sub>
        </m:sSub>
      </m:oMath>
      <w:r>
        <w:br/>
      </w:r>
      <w:r>
        <w:t xml:space="preserve">&amp;</w:t>
      </w:r>
      <w:r>
        <w:t xml:space="preserve"> </w:t>
      </w:r>
      <m:oMath>
        <m:r>
          <m:rPr>
            <m:sty m:val="p"/>
          </m:rPr>
          <m:t>(</m:t>
        </m:r>
        <m:r>
          <m:t>V</m:t>
        </m:r>
        <m:sSup>
          <m:e>
            <m:r>
              <m:t>V</m:t>
            </m:r>
          </m:e>
          <m:sup>
            <m:r>
              <m:rPr>
                <m:sty m:val="p"/>
              </m:rPr>
              <m:t>−</m:t>
            </m:r>
          </m:sup>
        </m:sSup>
        <m:r>
          <m:rPr>
            <m:sty m:val="p"/>
          </m:rPr>
          <m:t>,</m:t>
        </m:r>
        <m:r>
          <m:t> </m:t>
        </m:r>
        <m:r>
          <m:t>L</m:t>
        </m:r>
        <m:sSup>
          <m:e>
            <m:r>
              <m:t>V</m:t>
            </m:r>
          </m:e>
          <m:sup>
            <m:r>
              <m:rPr>
                <m:sty m:val="p"/>
              </m:rPr>
              <m:t>−</m:t>
            </m:r>
          </m:sup>
        </m:sSup>
        <m:r>
          <m:rPr>
            <m:sty m:val="p"/>
          </m:rPr>
          <m:t>,</m:t>
        </m:r>
        <m:r>
          <m:t> </m:t>
        </m:r>
        <m:sSup>
          <m:e>
            <m:r>
              <m:t>L</m:t>
            </m:r>
          </m:e>
          <m:sup>
            <m:r>
              <m:rPr>
                <m:sty m:val="p"/>
              </m:rPr>
              <m:t>−</m:t>
            </m:r>
          </m:sup>
        </m:sSup>
        <m:r>
          <m:rPr>
            <m:sty m:val="p"/>
          </m:rPr>
          <m:t>)</m:t>
        </m:r>
      </m:oMath>
      <w:r>
        <w:t xml:space="preserve"> </w:t>
      </w:r>
      <w:r>
        <w:t xml:space="preserve">&amp; 190.1 &amp; 99.5%</w:t>
      </w:r>
      <w:r>
        <w:br/>
      </w:r>
      <w:r>
        <w:t xml:space="preserve">2 &amp;</w:t>
      </w:r>
      <w:r>
        <w:t xml:space="preserve"> </w:t>
      </w:r>
      <m:oMath>
        <m:r>
          <m:rPr>
            <m:sty m:val="p"/>
          </m:rPr>
          <m:t>(</m:t>
        </m:r>
        <m:r>
          <m:t>V</m:t>
        </m:r>
        <m:sSup>
          <m:e>
            <m:r>
              <m:t>V</m:t>
            </m:r>
          </m:e>
          <m:sup>
            <m:r>
              <m:rPr>
                <m:sty m:val="p"/>
              </m:rPr>
              <m:t>−</m:t>
            </m:r>
          </m:sup>
        </m:sSup>
        <m:r>
          <m:rPr>
            <m:sty m:val="p"/>
          </m:rPr>
          <m:t>,</m:t>
        </m:r>
        <m:r>
          <m:t> </m:t>
        </m:r>
        <m:r>
          <m:t>L</m:t>
        </m:r>
        <m:sSup>
          <m:e>
            <m:r>
              <m:t>V</m:t>
            </m:r>
          </m:e>
          <m:sup>
            <m:r>
              <m:rPr>
                <m:sty m:val="p"/>
              </m:rPr>
              <m:t>−</m:t>
            </m:r>
          </m:sup>
        </m:sSup>
        <m:r>
          <m:rPr>
            <m:sty m:val="p"/>
          </m:rPr>
          <m:t>,</m:t>
        </m:r>
        <m:r>
          <m:t> </m:t>
        </m:r>
        <m:r>
          <m:t>L</m:t>
        </m:r>
        <m:sSup>
          <m:e>
            <m:r>
              <m:t>L</m:t>
            </m:r>
          </m:e>
          <m:sup>
            <m:r>
              <m:rPr>
                <m:sty m:val="p"/>
              </m:rPr>
              <m:t>−</m:t>
            </m:r>
          </m:sup>
        </m:sSup>
        <m:r>
          <m:rPr>
            <m:sty m:val="p"/>
          </m:rPr>
          <m:t>)</m:t>
        </m:r>
      </m:oMath>
      <w:r>
        <w:t xml:space="preserve"> </w:t>
      </w:r>
      <w:r>
        <w:t xml:space="preserve">&amp; 147.2 &amp; 0.2%</w:t>
      </w:r>
      <w:r>
        <w:br/>
      </w:r>
      <w:r>
        <w:t xml:space="preserve">3 &amp;</w:t>
      </w:r>
      <w:r>
        <w:t xml:space="preserve"> </w:t>
      </w:r>
      <m:oMath>
        <m:r>
          <m:rPr>
            <m:sty m:val="p"/>
          </m:rPr>
          <m:t>(</m:t>
        </m:r>
        <m:sSup>
          <m:e>
            <m:r>
              <m:t>V</m:t>
            </m:r>
          </m:e>
          <m:sup>
            <m:r>
              <m:rPr>
                <m:sty m:val="p"/>
              </m:rPr>
              <m:t>−</m:t>
            </m:r>
          </m:sup>
        </m:sSup>
        <m:r>
          <m:rPr>
            <m:sty m:val="p"/>
          </m:rPr>
          <m:t>,</m:t>
        </m:r>
        <m:r>
          <m:t> </m:t>
        </m:r>
        <m:r>
          <m:t>L</m:t>
        </m:r>
        <m:sSup>
          <m:e>
            <m:r>
              <m:t>V</m:t>
            </m:r>
          </m:e>
          <m:sup>
            <m:r>
              <m:rPr>
                <m:sty m:val="p"/>
              </m:rPr>
              <m:t>−</m:t>
            </m:r>
          </m:sup>
        </m:sSup>
        <m:r>
          <m:rPr>
            <m:sty m:val="p"/>
          </m:rPr>
          <m:t>,</m:t>
        </m:r>
        <m:r>
          <m:t> </m:t>
        </m:r>
        <m:sSup>
          <m:e>
            <m:r>
              <m:t>L</m:t>
            </m:r>
          </m:e>
          <m:sup>
            <m:r>
              <m:rPr>
                <m:sty m:val="p"/>
              </m:rPr>
              <m:t>−</m:t>
            </m:r>
          </m:sup>
        </m:sSup>
        <m:r>
          <m:rPr>
            <m:sty m:val="p"/>
          </m:rPr>
          <m:t>)</m:t>
        </m:r>
      </m:oMath>
      <w:r>
        <w:t xml:space="preserve"> </w:t>
      </w:r>
      <w:r>
        <w:t xml:space="preserve">&amp; 199.4 &amp; 0.1%</w:t>
      </w:r>
      <w:r>
        <w:br/>
      </w:r>
      <w:r>
        <w:t xml:space="preserve">&amp;</w:t>
      </w:r>
      <w:r>
        <w:t xml:space="preserve"> </w:t>
      </w:r>
      <m:oMath>
        <m:r>
          <m:rPr>
            <m:sty m:val="p"/>
          </m:rPr>
          <m:t>&lt;</m:t>
        </m:r>
        <m:r>
          <m:t>0.2</m:t>
        </m:r>
        <m:r>
          <m:rPr>
            <m:sty m:val="p"/>
          </m:rPr>
          <m:t>%</m:t>
        </m:r>
      </m:oMath>
      <w:r>
        <w:br/>
      </w:r>
    </w:p>
    <w:p>
      <w:pPr>
        <w:pStyle w:val="BodyText"/>
      </w:pPr>
      <w:r>
        <w:rPr>
          <w:b/>
          <w:bCs/>
        </w:rPr>
        <w:t xml:space="preserve">Why LTS-PSO cannot fix sparsity.</w:t>
      </w:r>
      <w:r>
        <w:t xml:space="preserve"> </w:t>
      </w:r>
      <w:r>
        <w:t xml:space="preserve">With</w:t>
      </w:r>
      <w:r>
        <w:t xml:space="preserve"> </w:t>
      </w:r>
      <m:oMath>
        <m:r>
          <m:t>n</m:t>
        </m:r>
        <m:r>
          <m:rPr>
            <m:sty m:val="p"/>
          </m:rPr>
          <m:t>−</m:t>
        </m:r>
        <m:r>
          <m:t>λ</m:t>
        </m:r>
        <m:r>
          <m:rPr>
            <m:sty m:val="p"/>
          </m:rPr>
          <m:t>=</m:t>
        </m:r>
        <m:r>
          <m:t>19</m:t>
        </m:r>
      </m:oMath>
      <w:r>
        <w:t xml:space="preserve"> </w:t>
      </w:r>
      <m:oMath>
        <m:r>
          <m:t>λ</m:t>
        </m:r>
      </m:oMath>
      <w:r>
        <w:t xml:space="preserve">-grams, the</w:t>
      </w:r>
      <w:r>
        <w:t xml:space="preserve"> </w:t>
      </w:r>
      <m:oMath>
        <m:r>
          <m:t>0.56</m:t>
        </m:r>
        <m:r>
          <m:rPr>
            <m:sty m:val="p"/>
          </m:rPr>
          <m:t>%</m:t>
        </m:r>
      </m:oMath>
      <w:r>
        <w:t xml:space="preserve"> </w:t>
      </w:r>
      <w:r>
        <w:t xml:space="preserve">ceiling holds</w:t>
      </w:r>
      <w:r>
        <w:t xml:space="preserve"> </w:t>
      </w:r>
      <w:r>
        <w:t xml:space="preserve">regardless of</w:t>
      </w:r>
      <w:r>
        <w:t xml:space="preserve"> </w:t>
      </w:r>
      <m:oMath>
        <m:r>
          <m:rPr>
            <m:sty m:val="p"/>
          </m:rPr>
          <m:t>(</m:t>
        </m:r>
        <m:r>
          <m:t>θ</m:t>
        </m:r>
        <m:r>
          <m:rPr>
            <m:sty m:val="p"/>
          </m:rPr>
          <m:t>,</m:t>
        </m:r>
        <m:r>
          <m:t>α</m:t>
        </m:r>
        <m:r>
          <m:rPr>
            <m:sty m:val="p"/>
          </m:rPr>
          <m:t>)</m:t>
        </m:r>
      </m:oMath>
      <w:r>
        <w:t xml:space="preserve">: the lookup mechanism must change.</w:t>
      </w:r>
    </w:p>
    <w:bookmarkEnd w:id="47"/>
    <w:bookmarkEnd w:id="48"/>
    <w:bookmarkStart w:id="66" w:name="sec:conclusion"/>
    <w:p>
      <w:pPr>
        <w:pStyle w:val="heading 1"/>
      </w:pPr>
      <w:r>
        <w:t xml:space="preserve">Conclusion</w:t>
      </w:r>
    </w:p>
    <w:p>
      <w:pPr>
        <w:pStyle w:val="FirstParagraph"/>
      </w:pPr>
      <w:r>
        <w:t xml:space="preserve">SW-LTS advances LTS forecasting on two fronts.</w:t>
      </w:r>
      <w:r>
        <w:t xml:space="preserve"> </w:t>
      </w:r>
      <w:r>
        <w:rPr>
          <w:i/>
          <w:iCs/>
        </w:rPr>
        <w:t xml:space="preserve">Interpretability</w:t>
      </w:r>
      <w:r>
        <w:t xml:space="preserve">:</w:t>
      </w:r>
      <w:r>
        <w:t xml:space="preserve"> </w:t>
      </w:r>
      <w:r>
        <w:t xml:space="preserve">graded kernel aggregation makes every prediction a linguistically</w:t>
      </w:r>
      <w:r>
        <w:t xml:space="preserve"> </w:t>
      </w:r>
      <w:r>
        <w:t xml:space="preserve">auditable weighted average of stored rules, with weights derived from</w:t>
      </w:r>
      <w:r>
        <w:t xml:space="preserve"> </w:t>
      </w:r>
      <w:r>
        <w:t xml:space="preserve">the HA algebraic structure—demonstrated via kernel weight attribution</w:t>
      </w:r>
      <w:r>
        <w:t xml:space="preserve"> </w:t>
      </w:r>
      <w:r>
        <w:t xml:space="preserve">at</w:t>
      </w:r>
      <w:r>
        <w:t xml:space="preserve"> </w:t>
      </w:r>
      <m:oMath>
        <m:r>
          <m:t>t</m:t>
        </m:r>
        <m:r>
          <m:rPr>
            <m:sty m:val="p"/>
          </m:rPr>
          <m:t>=</m:t>
        </m:r>
        <m:r>
          <m:t>237</m:t>
        </m:r>
      </m:oMath>
      <w:r>
        <w:t xml:space="preserve"> </w:t>
      </w:r>
      <w:r>
        <w:t xml:space="preserve">on Sunspot (Table </w:t>
      </w:r>
      <w:hyperlink w:anchor="tab:casestudy">
        <w:r>
          <w:rPr>
            <w:rStyle w:val="Hyperlink"/>
          </w:rPr>
          <w:t xml:space="preserve">[tab:casestudy]</w:t>
        </w:r>
      </w:hyperlink>
      <w:r>
        <w:t xml:space="preserve">).</w:t>
      </w:r>
      <w:r>
        <w:t xml:space="preserve"> </w:t>
      </w:r>
      <w:r>
        <w:rPr>
          <w:i/>
          <w:iCs/>
        </w:rPr>
        <w:t xml:space="preserve">Generalization</w:t>
      </w:r>
      <w:r>
        <w:t xml:space="preserve">:</w:t>
      </w:r>
      <w:r>
        <w:t xml:space="preserve"> </w:t>
      </w:r>
      <w:r>
        <w:t xml:space="preserve">we formally characterize the sparse-rule problem (coverage decays to</w:t>
      </w:r>
      <w:r>
        <w:t xml:space="preserve"> </w:t>
      </w:r>
      <w:r>
        <w:t xml:space="preserve">0.56% on Alabama at</w:t>
      </w:r>
      <w:r>
        <w:t xml:space="preserve"> </w:t>
      </w:r>
      <m:oMath>
        <m:r>
          <m:t>λ</m:t>
        </m:r>
        <m:r>
          <m:rPr>
            <m:sty m:val="p"/>
          </m:rPr>
          <m:t>=</m:t>
        </m:r>
        <m:r>
          <m:t>3</m:t>
        </m:r>
      </m:oMath>
      <w:r>
        <w:t xml:space="preserve">) and prove SW-LTS recovers both LTS</w:t>
      </w:r>
      <w:r>
        <w:t xml:space="preserve"> </w:t>
      </w:r>
      <w:r>
        <w:t xml:space="preserve">(</w:t>
      </w:r>
      <m:oMath>
        <m:r>
          <m:t>σ</m:t>
        </m:r>
        <m:r>
          <m:rPr>
            <m:sty m:val="p"/>
          </m:rPr>
          <m:t>→</m:t>
        </m:r>
        <m:r>
          <m:t>0</m:t>
        </m:r>
      </m:oMath>
      <w:r>
        <w:t xml:space="preserve">) and HO-LTS (</w:t>
      </w:r>
      <m:oMath>
        <m:r>
          <m:t>σ</m:t>
        </m:r>
        <m:r>
          <m:rPr>
            <m:sty m:val="p"/>
          </m:rPr>
          <m:t>→</m:t>
        </m:r>
        <m:r>
          <m:rPr>
            <m:sty m:val="p"/>
          </m:rPr>
          <m:t>∞</m:t>
        </m:r>
      </m:oMath>
      <w:r>
        <w:t xml:space="preserve">). In-sample experiments</w:t>
      </w:r>
      <w:r>
        <w:t xml:space="preserve"> </w:t>
      </w:r>
      <w:r>
        <w:t xml:space="preserve">confirm SW-LTS matches or improves the best baseline across four</w:t>
      </w:r>
      <w:r>
        <w:t xml:space="preserve"> </w:t>
      </w:r>
      <w:r>
        <w:t xml:space="preserve">datasets; walk-forward validation shows a significant 69.5% MSE</w:t>
      </w:r>
      <w:r>
        <w:t xml:space="preserve"> </w:t>
      </w:r>
      <w:r>
        <w:t xml:space="preserve">reduction on Wolf’s Sunspot (</w:t>
      </w:r>
      <m:oMath>
        <m:r>
          <m:t>p</m:t>
        </m:r>
        <m:r>
          <m:rPr>
            <m:sty m:val="p"/>
          </m:rPr>
          <m:t>&lt;</m:t>
        </m:r>
        <m:r>
          <m:t>0.001</m:t>
        </m:r>
      </m:oMath>
      <w:r>
        <w:t xml:space="preserve">). Future work includes adaptive bandwidth, multi-step forecasting,</w:t>
      </w:r>
      <w:r>
        <w:t xml:space="preserve"> </w:t>
      </w:r>
      <w:r>
        <w:t xml:space="preserve">and non-Gaussian kernels compatible with the HA partial order.</w:t>
      </w:r>
    </w:p>
    <w:bookmarkStart w:id="65" w:name="disclosure-of-interests"/>
    <w:p>
      <w:pPr>
        <w:pStyle w:val="heading 3"/>
      </w:pPr>
      <w:r>
        <w:t xml:space="preserve">Disclosure of Interests</w:t>
      </w:r>
    </w:p>
    <w:p>
      <w:pPr>
        <w:pStyle w:val="FirstParagraph"/>
      </w:pPr>
      <w:r>
        <w:t xml:space="preserve">The author has no competing interests to declare relevant to this</w:t>
      </w:r>
      <w:r>
        <w:t xml:space="preserve"> </w:t>
      </w:r>
      <w:r>
        <w:t xml:space="preserve">article.</w:t>
      </w:r>
    </w:p>
    <w:p>
      <w:pPr>
        <w:pStyle w:val="BodyText"/>
      </w:pPr>
      <w:r>
        <w:t xml:space="preserve">16</w:t>
      </w:r>
    </w:p>
    <w:p>
      <w:pPr>
        <w:pStyle w:val="BodyText"/>
      </w:pPr>
      <w:r>
        <w:t xml:space="preserve">Dixit, A., Jain, S.: Intuitionistic fuzzy time series forecasting for</w:t>
      </w:r>
      <w:r>
        <w:t xml:space="preserve"> </w:t>
      </w:r>
      <w:r>
        <w:t xml:space="preserve">non-stationary data with suitable cluster count and window size.</w:t>
      </w:r>
      <w:r>
        <w:t xml:space="preserve"> </w:t>
      </w:r>
      <w:r>
        <w:t xml:space="preserve">Inf. Sci.</w:t>
      </w:r>
      <w:r>
        <w:t xml:space="preserve"> </w:t>
      </w:r>
      <w:r>
        <w:rPr>
          <w:b/>
          <w:bCs/>
        </w:rPr>
        <w:t xml:space="preserve">623</w:t>
      </w:r>
      <w:r>
        <w:t xml:space="preserve">, 132–145 (2023).</w:t>
      </w:r>
      <w:r>
        <w:t xml:space="preserve"> </w:t>
      </w:r>
      <w:hyperlink r:id="rId49">
        <w:r>
          <w:rPr>
            <w:rStyle w:val="Hyperlink"/>
          </w:rPr>
          <w:t xml:space="preserve">https://doi.org/10.1016/j.ins.2022.12.015</w:t>
        </w:r>
      </w:hyperlink>
    </w:p>
    <w:p>
      <w:pPr>
        <w:pStyle w:val="BodyText"/>
      </w:pPr>
      <w:r>
        <w:t xml:space="preserve">Feng, J., Gong, Z.: An interpretable combined forecasting method for</w:t>
      </w:r>
      <w:r>
        <w:t xml:space="preserve"> </w:t>
      </w:r>
      <w:r>
        <w:t xml:space="preserve">stock market based on fuzzy time series and linear-trend fuzzy</w:t>
      </w:r>
      <w:r>
        <w:t xml:space="preserve"> </w:t>
      </w:r>
      <w:r>
        <w:t xml:space="preserve">information granulation.</w:t>
      </w:r>
      <w:r>
        <w:t xml:space="preserve"> </w:t>
      </w:r>
      <w:r>
        <w:t xml:space="preserve">IEEE Access</w:t>
      </w:r>
      <w:r>
        <w:t xml:space="preserve"> </w:t>
      </w:r>
      <w:r>
        <w:rPr>
          <w:b/>
          <w:bCs/>
        </w:rPr>
        <w:t xml:space="preserve">13</w:t>
      </w:r>
      <w:r>
        <w:t xml:space="preserve">, 73722–73734 (2025).</w:t>
      </w:r>
      <w:r>
        <w:t xml:space="preserve"> </w:t>
      </w:r>
      <w:hyperlink r:id="rId50">
        <w:r>
          <w:rPr>
            <w:rStyle w:val="Hyperlink"/>
          </w:rPr>
          <w:t xml:space="preserve">https://doi.org/10.1109/ACCESS.2025.3564135</w:t>
        </w:r>
      </w:hyperlink>
    </w:p>
    <w:p>
      <w:pPr>
        <w:pStyle w:val="BodyText"/>
      </w:pPr>
      <w:r>
        <w:t xml:space="preserve">Chen, S.-M.: Forecasting enrollments based on fuzzy time series.</w:t>
      </w:r>
      <w:r>
        <w:t xml:space="preserve"> </w:t>
      </w:r>
      <w:r>
        <w:t xml:space="preserve">Fuzzy Sets Syst.</w:t>
      </w:r>
      <w:r>
        <w:t xml:space="preserve"> </w:t>
      </w:r>
      <w:r>
        <w:rPr>
          <w:b/>
          <w:bCs/>
        </w:rPr>
        <w:t xml:space="preserve">81</w:t>
      </w:r>
      <w:r>
        <w:t xml:space="preserve">(3), 311–319 (1996).</w:t>
      </w:r>
      <w:r>
        <w:t xml:space="preserve"> </w:t>
      </w:r>
      <w:hyperlink r:id="rId51">
        <w:r>
          <w:rPr>
            <w:rStyle w:val="Hyperlink"/>
          </w:rPr>
          <w:t xml:space="preserve">https://doi.org/10.1016/0165-0114(95)00220-0</w:t>
        </w:r>
      </w:hyperlink>
    </w:p>
    <w:p>
      <w:pPr>
        <w:pStyle w:val="BodyText"/>
      </w:pPr>
      <w:r>
        <w:t xml:space="preserve">Hieu, N.D., Ho, N.C., Lan, V.N.: Enrollment forecasting based on</w:t>
      </w:r>
      <w:r>
        <w:t xml:space="preserve"> </w:t>
      </w:r>
      <w:r>
        <w:t xml:space="preserve">linguistic time series. J. Comput. Sci. Cybern.</w:t>
      </w:r>
      <w:r>
        <w:t xml:space="preserve"> </w:t>
      </w:r>
      <w:r>
        <w:rPr>
          <w:b/>
          <w:bCs/>
        </w:rPr>
        <w:t xml:space="preserve">36</w:t>
      </w:r>
      <w:r>
        <w:t xml:space="preserve">(2),</w:t>
      </w:r>
      <w:r>
        <w:t xml:space="preserve"> </w:t>
      </w:r>
      <w:r>
        <w:t xml:space="preserve">119–137 (2020).</w:t>
      </w:r>
      <w:r>
        <w:t xml:space="preserve"> </w:t>
      </w:r>
      <w:hyperlink r:id="rId52">
        <w:r>
          <w:rPr>
            <w:rStyle w:val="Hyperlink"/>
          </w:rPr>
          <w:t xml:space="preserve">https://doi.org/10.15625/1813-9663/36/2/14965</w:t>
        </w:r>
      </w:hyperlink>
    </w:p>
    <w:p>
      <w:pPr>
        <w:pStyle w:val="BodyText"/>
      </w:pPr>
      <w:r>
        <w:t xml:space="preserve">Hieu, N.D.: Scalable human knowledge about numeric time series</w:t>
      </w:r>
      <w:r>
        <w:t xml:space="preserve"> </w:t>
      </w:r>
      <w:r>
        <w:t xml:space="preserve">variation and its role in improving forecasting results.</w:t>
      </w:r>
      <w:r>
        <w:t xml:space="preserve"> </w:t>
      </w:r>
      <w:r>
        <w:t xml:space="preserve">J. Comput. Sci. Cybern.</w:t>
      </w:r>
      <w:r>
        <w:t xml:space="preserve"> </w:t>
      </w:r>
      <w:r>
        <w:rPr>
          <w:b/>
          <w:bCs/>
        </w:rPr>
        <w:t xml:space="preserve">38</w:t>
      </w:r>
      <w:r>
        <w:t xml:space="preserve">(2), 97–120 (2022).</w:t>
      </w:r>
      <w:r>
        <w:t xml:space="preserve"> </w:t>
      </w:r>
      <w:hyperlink r:id="rId53">
        <w:r>
          <w:rPr>
            <w:rStyle w:val="Hyperlink"/>
          </w:rPr>
          <w:t xml:space="preserve">https://doi.org/10.15625/1813-9663/38/2/16866</w:t>
        </w:r>
      </w:hyperlink>
    </w:p>
    <w:p>
      <w:pPr>
        <w:pStyle w:val="BodyText"/>
      </w:pPr>
      <w:r>
        <w:t xml:space="preserve">Hieu, N.D., Linh, M.V., Phong, P.D.: Linguistic time series</w:t>
      </w:r>
      <w:r>
        <w:t xml:space="preserve"> </w:t>
      </w:r>
      <w:r>
        <w:t xml:space="preserve">forecasting based on particle swarm optimization for hedge algebra</w:t>
      </w:r>
      <w:r>
        <w:t xml:space="preserve"> </w:t>
      </w:r>
      <w:r>
        <w:t xml:space="preserve">parameter tuning. J. Comput. Sci. Cybern.</w:t>
      </w:r>
      <w:r>
        <w:t xml:space="preserve"> </w:t>
      </w:r>
      <w:r>
        <w:rPr>
          <w:b/>
          <w:bCs/>
        </w:rPr>
        <w:t xml:space="preserve">38</w:t>
      </w:r>
      <w:r>
        <w:t xml:space="preserve">(4), 317–335</w:t>
      </w:r>
      <w:r>
        <w:t xml:space="preserve"> </w:t>
      </w:r>
      <w:r>
        <w:t xml:space="preserve">(2022).</w:t>
      </w:r>
      <w:r>
        <w:t xml:space="preserve"> </w:t>
      </w:r>
      <w:hyperlink r:id="rId54">
        <w:r>
          <w:rPr>
            <w:rStyle w:val="Hyperlink"/>
          </w:rPr>
          <w:t xml:space="preserve">https://doi.org/10.15625/1813-9663/38/4/17261</w:t>
        </w:r>
      </w:hyperlink>
    </w:p>
    <w:p>
      <w:pPr>
        <w:pStyle w:val="BodyText"/>
      </w:pPr>
      <w:r>
        <w:t xml:space="preserve">Hieu, N.D., Linh, M.V., Phong, P.D.: A co-optimization algorithm</w:t>
      </w:r>
      <w:r>
        <w:t xml:space="preserve"> </w:t>
      </w:r>
      <w:r>
        <w:t xml:space="preserve">utilizing particle swarm optimization for linguistic time series.</w:t>
      </w:r>
      <w:r>
        <w:t xml:space="preserve"> </w:t>
      </w:r>
      <w:r>
        <w:t xml:space="preserve">Mathematics</w:t>
      </w:r>
      <w:r>
        <w:t xml:space="preserve"> </w:t>
      </w:r>
      <w:r>
        <w:rPr>
          <w:b/>
          <w:bCs/>
        </w:rPr>
        <w:t xml:space="preserve">11</w:t>
      </w:r>
      <w:r>
        <w:t xml:space="preserve">(7), 1597 (2023).</w:t>
      </w:r>
      <w:r>
        <w:t xml:space="preserve"> </w:t>
      </w:r>
      <w:hyperlink r:id="rId55">
        <w:r>
          <w:rPr>
            <w:rStyle w:val="Hyperlink"/>
          </w:rPr>
          <w:t xml:space="preserve">https://doi.org/10.3390/math11071597</w:t>
        </w:r>
      </w:hyperlink>
    </w:p>
    <w:p>
      <w:pPr>
        <w:pStyle w:val="BodyText"/>
      </w:pPr>
      <w:r>
        <w:t xml:space="preserve">Ho, N.C., Wechler, W.: Hedge algebras: An algebraic approach to</w:t>
      </w:r>
      <w:r>
        <w:t xml:space="preserve"> </w:t>
      </w:r>
      <w:r>
        <w:t xml:space="preserve">structure of sets of linguistic truth values.</w:t>
      </w:r>
      <w:r>
        <w:t xml:space="preserve"> </w:t>
      </w:r>
      <w:r>
        <w:t xml:space="preserve">Fuzzy Sets Syst.</w:t>
      </w:r>
      <w:r>
        <w:t xml:space="preserve"> </w:t>
      </w:r>
      <w:r>
        <w:rPr>
          <w:b/>
          <w:bCs/>
        </w:rPr>
        <w:t xml:space="preserve">35</w:t>
      </w:r>
      <w:r>
        <w:t xml:space="preserve">(3), 281–293 (1990).</w:t>
      </w:r>
      <w:r>
        <w:t xml:space="preserve"> </w:t>
      </w:r>
      <w:hyperlink r:id="rId56">
        <w:r>
          <w:rPr>
            <w:rStyle w:val="Hyperlink"/>
          </w:rPr>
          <w:t xml:space="preserve">https://doi.org/10.1016/0165-0114(90)90002-U</w:t>
        </w:r>
      </w:hyperlink>
    </w:p>
    <w:p>
      <w:pPr>
        <w:pStyle w:val="BodyText"/>
      </w:pPr>
      <w:r>
        <w:t xml:space="preserve">Ho, N.C., Long, N.V.: Fuzziness measure on complete hedge algebras</w:t>
      </w:r>
      <w:r>
        <w:t xml:space="preserve"> </w:t>
      </w:r>
      <w:r>
        <w:t xml:space="preserve">and quantifying semantics of terms in linear hedge algebras.</w:t>
      </w:r>
      <w:r>
        <w:t xml:space="preserve"> </w:t>
      </w:r>
      <w:r>
        <w:t xml:space="preserve">Fuzzy Sets Syst.</w:t>
      </w:r>
      <w:r>
        <w:t xml:space="preserve"> </w:t>
      </w:r>
      <w:r>
        <w:rPr>
          <w:b/>
          <w:bCs/>
        </w:rPr>
        <w:t xml:space="preserve">158</w:t>
      </w:r>
      <w:r>
        <w:t xml:space="preserve">(4), 452–471 (2007).</w:t>
      </w:r>
      <w:r>
        <w:t xml:space="preserve"> </w:t>
      </w:r>
      <w:hyperlink r:id="rId57">
        <w:r>
          <w:rPr>
            <w:rStyle w:val="Hyperlink"/>
          </w:rPr>
          <w:t xml:space="preserve">https://doi.org/10.1016/j.fss.2006.10.023</w:t>
        </w:r>
      </w:hyperlink>
    </w:p>
    <w:p>
      <w:pPr>
        <w:pStyle w:val="BodyText"/>
      </w:pPr>
      <w:r>
        <w:t xml:space="preserve">Kennedy, J., Eberhart, R.: Particle swarm optimization.</w:t>
      </w:r>
      <w:r>
        <w:t xml:space="preserve"> </w:t>
      </w:r>
      <w:r>
        <w:t xml:space="preserve">In: Proc. IEEE Int. Conf. Neural Networks, pp. 1942–1948. IEEE</w:t>
      </w:r>
      <w:r>
        <w:t xml:space="preserve"> </w:t>
      </w:r>
      <w:r>
        <w:t xml:space="preserve">(1995).</w:t>
      </w:r>
      <w:r>
        <w:t xml:space="preserve"> </w:t>
      </w:r>
      <w:hyperlink r:id="rId58">
        <w:r>
          <w:rPr>
            <w:rStyle w:val="Hyperlink"/>
          </w:rPr>
          <w:t xml:space="preserve">https://doi.org/10.1109/ICNN.1995.488968</w:t>
        </w:r>
      </w:hyperlink>
    </w:p>
    <w:p>
      <w:pPr>
        <w:pStyle w:val="BodyText"/>
      </w:pPr>
      <w:r>
        <w:t xml:space="preserve">Kóczy, L.T., Hirota, K.: Approximate reasoning by linear rule</w:t>
      </w:r>
      <w:r>
        <w:t xml:space="preserve"> </w:t>
      </w:r>
      <w:r>
        <w:t xml:space="preserve">interpolation and general approximation.</w:t>
      </w:r>
      <w:r>
        <w:t xml:space="preserve"> </w:t>
      </w:r>
      <w:r>
        <w:t xml:space="preserve">Int. J. Approx. Reason.</w:t>
      </w:r>
      <w:r>
        <w:t xml:space="preserve"> </w:t>
      </w:r>
      <w:r>
        <w:rPr>
          <w:b/>
          <w:bCs/>
        </w:rPr>
        <w:t xml:space="preserve">9</w:t>
      </w:r>
      <w:r>
        <w:t xml:space="preserve">(3), 197–225 (1993).</w:t>
      </w:r>
      <w:r>
        <w:t xml:space="preserve"> </w:t>
      </w:r>
      <w:hyperlink r:id="rId59">
        <w:r>
          <w:rPr>
            <w:rStyle w:val="Hyperlink"/>
          </w:rPr>
          <w:t xml:space="preserve">https://doi.org/10.1016/0888-613X(93)90010-B</w:t>
        </w:r>
      </w:hyperlink>
    </w:p>
    <w:p>
      <w:pPr>
        <w:pStyle w:val="BodyText"/>
      </w:pPr>
      <w:r>
        <w:t xml:space="preserve">Nadaraya, E.A.: On estimating regression.</w:t>
      </w:r>
      <w:r>
        <w:t xml:space="preserve"> </w:t>
      </w:r>
      <w:r>
        <w:t xml:space="preserve">Theor. Probab. Appl.</w:t>
      </w:r>
      <w:r>
        <w:t xml:space="preserve"> </w:t>
      </w:r>
      <w:r>
        <w:rPr>
          <w:b/>
          <w:bCs/>
        </w:rPr>
        <w:t xml:space="preserve">9</w:t>
      </w:r>
      <w:r>
        <w:t xml:space="preserve">(1), 141–142 (1964).</w:t>
      </w:r>
      <w:r>
        <w:t xml:space="preserve"> </w:t>
      </w:r>
      <w:hyperlink r:id="rId60">
        <w:r>
          <w:rPr>
            <w:rStyle w:val="Hyperlink"/>
          </w:rPr>
          <w:t xml:space="preserve">https://doi.org/10.1137/1109020</w:t>
        </w:r>
      </w:hyperlink>
    </w:p>
    <w:p>
      <w:pPr>
        <w:pStyle w:val="BodyText"/>
      </w:pPr>
      <w:r>
        <w:t xml:space="preserve">Song, Q., Chissom, B.S.: Forecasting enrollments with fuzzy time</w:t>
      </w:r>
      <w:r>
        <w:t xml:space="preserve"> </w:t>
      </w:r>
      <w:r>
        <w:t xml:space="preserve">series—Part I. Fuzzy Sets Syst.</w:t>
      </w:r>
      <w:r>
        <w:t xml:space="preserve"> </w:t>
      </w:r>
      <w:r>
        <w:rPr>
          <w:b/>
          <w:bCs/>
        </w:rPr>
        <w:t xml:space="preserve">54</w:t>
      </w:r>
      <w:r>
        <w:t xml:space="preserve">(1), 1–9 (1993).</w:t>
      </w:r>
      <w:r>
        <w:t xml:space="preserve"> </w:t>
      </w:r>
      <w:hyperlink r:id="rId61">
        <w:r>
          <w:rPr>
            <w:rStyle w:val="Hyperlink"/>
          </w:rPr>
          <w:t xml:space="preserve">https://doi.org/10.1016/0165-0114(93)90355-L</w:t>
        </w:r>
      </w:hyperlink>
    </w:p>
    <w:p>
      <w:pPr>
        <w:pStyle w:val="BodyText"/>
      </w:pPr>
      <w:r>
        <w:t xml:space="preserve">Song, Q., Chissom, B.S.: Forecasting enrollments with fuzzy time</w:t>
      </w:r>
      <w:r>
        <w:t xml:space="preserve"> </w:t>
      </w:r>
      <w:r>
        <w:t xml:space="preserve">series—Part II. Fuzzy Sets Syst.</w:t>
      </w:r>
      <w:r>
        <w:t xml:space="preserve"> </w:t>
      </w:r>
      <w:r>
        <w:rPr>
          <w:b/>
          <w:bCs/>
        </w:rPr>
        <w:t xml:space="preserve">62</w:t>
      </w:r>
      <w:r>
        <w:t xml:space="preserve">(1), 1–8 (1994).</w:t>
      </w:r>
      <w:r>
        <w:t xml:space="preserve"> </w:t>
      </w:r>
      <w:hyperlink r:id="rId62">
        <w:r>
          <w:rPr>
            <w:rStyle w:val="Hyperlink"/>
          </w:rPr>
          <w:t xml:space="preserve">https://doi.org/10.1016/0165-0114(94)90067-1</w:t>
        </w:r>
      </w:hyperlink>
    </w:p>
    <w:p>
      <w:pPr>
        <w:pStyle w:val="BodyText"/>
      </w:pPr>
      <w:r>
        <w:t xml:space="preserve">Yu, H.-K.: Weighted fuzzy time series models for TAIEX forecasting.</w:t>
      </w:r>
      <w:r>
        <w:t xml:space="preserve"> </w:t>
      </w:r>
      <w:r>
        <w:t xml:space="preserve">Phys. A</w:t>
      </w:r>
      <w:r>
        <w:t xml:space="preserve"> </w:t>
      </w:r>
      <w:r>
        <w:rPr>
          <w:b/>
          <w:bCs/>
        </w:rPr>
        <w:t xml:space="preserve">349</w:t>
      </w:r>
      <w:r>
        <w:t xml:space="preserve">(3–4), 609–624 (2005).</w:t>
      </w:r>
      <w:r>
        <w:t xml:space="preserve"> </w:t>
      </w:r>
      <w:hyperlink r:id="rId63">
        <w:r>
          <w:rPr>
            <w:rStyle w:val="Hyperlink"/>
          </w:rPr>
          <w:t xml:space="preserve">https://doi.org/10.1016/j.physa.2004.10.032</w:t>
        </w:r>
      </w:hyperlink>
    </w:p>
    <w:p>
      <w:pPr>
        <w:pStyle w:val="BodyText"/>
      </w:pPr>
      <w:r>
        <w:t xml:space="preserve">Zhan, T., He, Y., Deng, Y., Li, Z.: Differential convolutional fuzzy</w:t>
      </w:r>
      <w:r>
        <w:t xml:space="preserve"> </w:t>
      </w:r>
      <w:r>
        <w:t xml:space="preserve">time series forecasting. IEEE Trans. Fuzzy Syst.</w:t>
      </w:r>
      <w:r>
        <w:t xml:space="preserve"> </w:t>
      </w:r>
      <w:r>
        <w:rPr>
          <w:b/>
          <w:bCs/>
        </w:rPr>
        <w:t xml:space="preserve">32</w:t>
      </w:r>
      <w:r>
        <w:t xml:space="preserve">(2),</w:t>
      </w:r>
      <w:r>
        <w:t xml:space="preserve"> </w:t>
      </w:r>
      <w:r>
        <w:t xml:space="preserve">294–306 (2024).</w:t>
      </w:r>
      <w:r>
        <w:t xml:space="preserve"> </w:t>
      </w:r>
      <w:hyperlink r:id="rId64">
        <w:r>
          <w:rPr>
            <w:rStyle w:val="Hyperlink"/>
          </w:rPr>
          <w:t xml:space="preserve">https://doi.org/10.1109/TFUZZ.2023.3290489</w:t>
        </w:r>
      </w:hyperlink>
    </w:p>
    <w:bookmarkEnd w:id="65"/>
    <w:bookmarkEnd w:id="66"/>
    <w:sectPr w:rsidR="00F5783C" w:rsidRPr="00606587" w:rsidSect="009F7FCE">
      <w:headerReference r:id="rId10" w:type="even"/>
      <w:headerReference r:id="rId11" w:type="default"/>
      <w:footerReference r:id="rId12" w:type="even"/>
      <w:footerReference r:id="rId13" w:type="default"/>
      <w:headerReference r:id="rId14" w:type="first"/>
      <w:footerReference r:id="rId15" w:type="first"/>
      <w:pgSz w:code="9" w:h="16838" w:w="11906"/>
      <w:pgMar w:bottom="2948" w:footer="2324" w:gutter="0" w:header="2381" w:left="2494" w:right="2494" w:top="2948"/>
      <w:cols w:space="227"/>
      <w:titlePg/>
      <w:docGrid w:linePitch="2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4AA9" w:rsidRDefault="00774A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4AA9" w:rsidRDefault="00774AA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4AA9" w:rsidRDefault="00774AA9"/>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2539" w:rsidRDefault="009B2539" w:rsidP="00090B89">
    <w:pPr>
      <w:pStyle w:val="runningheadleft"/>
    </w:pPr>
    <w:r>
      <w:fldChar w:fldCharType="begin"/>
    </w:r>
    <w:r>
      <w:instrText>PAGE   \* MERGEFORMAT</w:instrText>
    </w:r>
    <w:r>
      <w:fldChar w:fldCharType="separate"/>
    </w:r>
    <w:r w:rsidR="00B23481" w:rsidRPr="00B23481">
      <w:rPr>
        <w:noProof/>
      </w:rPr>
      <w:t>2</w:t>
    </w:r>
    <w:r>
      <w:fldChar w:fldCharType="end"/>
    </w:r>
    <w:r w:rsidR="00090B89">
      <w:t xml:space="preserve"> </w:t>
    </w:r>
    <w:r w:rsidR="00090B89">
      <w:tab/>
      <w:t>F. Author and S. Author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Pr="00090B89" w:rsidRDefault="00090B89" w:rsidP="00090B89">
    <w:pPr>
      <w:pStyle w:val="runningheadright"/>
    </w:pPr>
    <w:r>
      <w:tab/>
    </w:r>
    <w:r w:rsidRPr="00090B89">
      <w:t>Contribution Title (shortened if too long) </w:t>
    </w:r>
    <w:r>
      <w:tab/>
    </w:r>
    <w:r>
      <w:fldChar w:fldCharType="begin"/>
    </w:r>
    <w:r>
      <w:instrText>PAGE   \* MERGEFORMAT</w:instrText>
    </w:r>
    <w:r>
      <w:fldChar w:fldCharType="separate"/>
    </w:r>
    <w: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Default="005D4FA8" w:rsidP="00090B89">
    <w:pPr>
      <w:pStyle w:val="Kopfzeil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1F397F84"/>
    <w:multiLevelType w:val="multilevel"/>
    <w:tmpl w:val="77162394"/>
    <w:styleLink w:val="itemization1"/>
    <w:lvl w:ilvl="0">
      <w:start w:val="1"/>
      <w:numFmt w:val="bullet"/>
      <w:pStyle w:val="bulletitem"/>
      <w:lvlText w:val=""/>
      <w:lvlJc w:val="left"/>
      <w:pPr>
        <w:tabs>
          <w:tab w:pos="227" w:val="num"/>
        </w:tabs>
        <w:ind w:hanging="227" w:left="227"/>
      </w:pPr>
      <w:rPr>
        <w:rFonts w:ascii="Symbol" w:hAnsi="Symbol" w:hint="default"/>
      </w:rPr>
    </w:lvl>
    <w:lvl w:ilvl="1">
      <w:start w:val="1"/>
      <w:numFmt w:val="bullet"/>
      <w:lvlText w:val="─"/>
      <w:lvlJc w:val="left"/>
      <w:pPr>
        <w:tabs>
          <w:tab w:pos="454" w:val="num"/>
        </w:tabs>
        <w:ind w:hanging="227" w:left="454"/>
      </w:pPr>
      <w:rPr>
        <w:rFonts w:ascii="Times New Roman" w:cs="Times New Roman" w:hAnsi="Times New Roman" w:hint="default"/>
      </w:rPr>
    </w:lvl>
    <w:lvl w:ilvl="2">
      <w:start w:val="1"/>
      <w:numFmt w:val="bullet"/>
      <w:lvlText w:val="o"/>
      <w:lvlJc w:val="left"/>
      <w:pPr>
        <w:tabs>
          <w:tab w:pos="680" w:val="num"/>
        </w:tabs>
        <w:ind w:hanging="226" w:left="680"/>
      </w:pPr>
      <w:rPr>
        <w:rFonts w:ascii="Courier New" w:hAnsi="Courier New" w:hint="default"/>
      </w:rPr>
    </w:lvl>
    <w:lvl w:ilvl="3">
      <w:start w:val="1"/>
      <w:numFmt w:val="bullet"/>
      <w:lvlText w:val=""/>
      <w:lvlJc w:val="left"/>
      <w:pPr>
        <w:tabs>
          <w:tab w:pos="907" w:val="num"/>
        </w:tabs>
        <w:ind w:hanging="227" w:left="907"/>
      </w:pPr>
      <w:rPr>
        <w:rFonts w:ascii="Wingdings" w:hAnsi="Wingdings" w:hint="default"/>
      </w:rPr>
    </w:lvl>
    <w:lvl w:ilvl="4">
      <w:start w:val="1"/>
      <w:numFmt w:val="bullet"/>
      <w:lvlText w:val="o"/>
      <w:lvlJc w:val="left"/>
      <w:pPr>
        <w:tabs>
          <w:tab w:pos="1134" w:val="num"/>
        </w:tabs>
        <w:ind w:hanging="227" w:left="1134"/>
      </w:pPr>
      <w:rPr>
        <w:rFonts w:ascii="Courier New" w:hAnsi="Courier New" w:hint="default"/>
      </w:rPr>
    </w:lvl>
    <w:lvl w:ilvl="5">
      <w:start w:val="1"/>
      <w:numFmt w:val="bullet"/>
      <w:lvlText w:val=""/>
      <w:lvlJc w:val="left"/>
      <w:pPr>
        <w:tabs>
          <w:tab w:pos="1361" w:val="num"/>
        </w:tabs>
        <w:ind w:hanging="227" w:left="1361"/>
      </w:pPr>
      <w:rPr>
        <w:rFonts w:ascii="Wingdings" w:hAnsi="Wingdings" w:hint="default"/>
      </w:rPr>
    </w:lvl>
    <w:lvl w:ilvl="6">
      <w:start w:val="1"/>
      <w:numFmt w:val="bullet"/>
      <w:lvlText w:val=""/>
      <w:lvlJc w:val="left"/>
      <w:pPr>
        <w:tabs>
          <w:tab w:pos="1588" w:val="num"/>
        </w:tabs>
        <w:ind w:hanging="227" w:left="1588"/>
      </w:pPr>
      <w:rPr>
        <w:rFonts w:ascii="Symbol" w:hAnsi="Symbol" w:hint="default"/>
      </w:rPr>
    </w:lvl>
    <w:lvl w:ilvl="7">
      <w:start w:val="1"/>
      <w:numFmt w:val="bullet"/>
      <w:lvlText w:val="o"/>
      <w:lvlJc w:val="left"/>
      <w:pPr>
        <w:tabs>
          <w:tab w:pos="1814" w:val="num"/>
        </w:tabs>
        <w:ind w:hanging="226" w:left="1814"/>
      </w:pPr>
      <w:rPr>
        <w:rFonts w:ascii="Courier New" w:hAnsi="Courier New" w:hint="default"/>
      </w:rPr>
    </w:lvl>
    <w:lvl w:ilvl="8">
      <w:start w:val="1"/>
      <w:numFmt w:val="bullet"/>
      <w:lvlText w:val=""/>
      <w:lvlJc w:val="left"/>
      <w:pPr>
        <w:tabs>
          <w:tab w:pos="2041" w:val="num"/>
        </w:tabs>
        <w:ind w:hanging="227" w:left="2041"/>
      </w:pPr>
      <w:rPr>
        <w:rFonts w:ascii="Wingdings" w:hAnsi="Wingdings" w:hint="default"/>
      </w:rPr>
    </w:lvl>
  </w:abstractNum>
  <w:abstractNum w15:restartNumberingAfterBreak="0" w:abstractNumId="1">
    <w:nsid w:val="6F404C9F"/>
    <w:multiLevelType w:val="multilevel"/>
    <w:tmpl w:val="BEDA5F46"/>
    <w:styleLink w:val="itemization2"/>
    <w:lvl w:ilvl="0">
      <w:start w:val="1"/>
      <w:numFmt w:val="bullet"/>
      <w:pStyle w:val="dashitem"/>
      <w:lvlText w:val="─"/>
      <w:lvlJc w:val="left"/>
      <w:pPr>
        <w:tabs>
          <w:tab w:pos="227" w:val="num"/>
        </w:tabs>
        <w:ind w:hanging="227" w:left="227"/>
      </w:pPr>
      <w:rPr>
        <w:rFonts w:ascii="Times New Roman" w:cs="Times New Roman" w:hAnsi="Times New Roman" w:hint="default"/>
      </w:rPr>
    </w:lvl>
    <w:lvl w:ilvl="1">
      <w:start w:val="1"/>
      <w:numFmt w:val="bullet"/>
      <w:lvlText w:val=""/>
      <w:lvlJc w:val="left"/>
      <w:pPr>
        <w:tabs>
          <w:tab w:pos="454" w:val="num"/>
        </w:tabs>
        <w:ind w:hanging="227" w:left="454"/>
      </w:pPr>
      <w:rPr>
        <w:rFonts w:ascii="Symbol" w:hAnsi="Symbol" w:hint="default"/>
      </w:rPr>
    </w:lvl>
    <w:lvl w:ilvl="2">
      <w:start w:val="1"/>
      <w:numFmt w:val="bullet"/>
      <w:lvlText w:val="○"/>
      <w:lvlJc w:val="left"/>
      <w:pPr>
        <w:tabs>
          <w:tab w:pos="680" w:val="num"/>
        </w:tabs>
        <w:ind w:hanging="226" w:left="680"/>
      </w:pPr>
      <w:rPr>
        <w:rFonts w:ascii="Times New Roman" w:cs="Times New Roman" w:hAnsi="Times New Roman" w:hint="default"/>
      </w:rPr>
    </w:lvl>
    <w:lvl w:ilvl="3">
      <w:start w:val="1"/>
      <w:numFmt w:val="bullet"/>
      <w:lvlText w:val="■"/>
      <w:lvlJc w:val="left"/>
      <w:pPr>
        <w:tabs>
          <w:tab w:pos="907" w:val="num"/>
        </w:tabs>
        <w:ind w:hanging="227" w:left="907"/>
      </w:pPr>
      <w:rPr>
        <w:rFonts w:ascii="Times New Roman" w:cs="Times New Roman" w:hAnsi="Times New Roman" w:hint="default"/>
      </w:rPr>
    </w:lvl>
    <w:lvl w:ilvl="4">
      <w:start w:val="1"/>
      <w:numFmt w:val="bullet"/>
      <w:lvlText w:val="○"/>
      <w:lvlJc w:val="left"/>
      <w:pPr>
        <w:tabs>
          <w:tab w:pos="1134" w:val="num"/>
        </w:tabs>
        <w:ind w:hanging="227" w:left="1134"/>
      </w:pPr>
      <w:rPr>
        <w:rFonts w:ascii="Times New Roman" w:cs="Times New Roman" w:hAnsi="Times New Roman" w:hint="default"/>
      </w:rPr>
    </w:lvl>
    <w:lvl w:ilvl="5">
      <w:start w:val="1"/>
      <w:numFmt w:val="bullet"/>
      <w:lvlText w:val="■"/>
      <w:lvlJc w:val="left"/>
      <w:pPr>
        <w:tabs>
          <w:tab w:pos="1361" w:val="num"/>
        </w:tabs>
        <w:ind w:hanging="227" w:left="1361"/>
      </w:pPr>
      <w:rPr>
        <w:rFonts w:ascii="Times New Roman" w:cs="Times New Roman" w:hAnsi="Times New Roman" w:hint="default"/>
      </w:rPr>
    </w:lvl>
    <w:lvl w:ilvl="6">
      <w:start w:val="1"/>
      <w:numFmt w:val="bullet"/>
      <w:lvlText w:val=""/>
      <w:lvlJc w:val="left"/>
      <w:pPr>
        <w:tabs>
          <w:tab w:pos="1588" w:val="num"/>
        </w:tabs>
        <w:ind w:hanging="227" w:left="1588"/>
      </w:pPr>
      <w:rPr>
        <w:rFonts w:ascii="Symbol" w:hAnsi="Symbol" w:hint="default"/>
      </w:rPr>
    </w:lvl>
    <w:lvl w:ilvl="7">
      <w:start w:val="1"/>
      <w:numFmt w:val="bullet"/>
      <w:lvlText w:val="○"/>
      <w:lvlJc w:val="left"/>
      <w:pPr>
        <w:tabs>
          <w:tab w:pos="1814" w:val="num"/>
        </w:tabs>
        <w:ind w:hanging="226" w:left="1814"/>
      </w:pPr>
      <w:rPr>
        <w:rFonts w:ascii="Times New Roman" w:cs="Times New Roman" w:hAnsi="Times New Roman" w:hint="default"/>
      </w:rPr>
    </w:lvl>
    <w:lvl w:ilvl="8">
      <w:start w:val="1"/>
      <w:numFmt w:val="bullet"/>
      <w:lvlText w:val="■"/>
      <w:lvlJc w:val="left"/>
      <w:pPr>
        <w:tabs>
          <w:tab w:pos="2041" w:val="num"/>
        </w:tabs>
        <w:ind w:hanging="227" w:left="2041"/>
      </w:pPr>
      <w:rPr>
        <w:rFonts w:ascii="Times New Roman" w:cs="Times New Roman" w:hAnsi="Times New Roman" w:hint="default"/>
      </w:rPr>
    </w:lvl>
  </w:abstractNum>
  <w:abstractNum w15:restartNumberingAfterBreak="0" w:abstractNumId="2">
    <w:nsid w:val="7738779A"/>
    <w:multiLevelType w:val="multilevel"/>
    <w:tmpl w:val="77EC1FB2"/>
    <w:styleLink w:val="headings"/>
    <w:lvl w:ilvl="0">
      <w:start w:val="1"/>
      <w:numFmt w:val="decimal"/>
      <w:pStyle w:val="heading1"/>
      <w:lvlText w:val="%1"/>
      <w:lvlJc w:val="left"/>
      <w:pPr>
        <w:tabs>
          <w:tab w:pos="567" w:val="num"/>
        </w:tabs>
        <w:ind w:hanging="567" w:left="567"/>
      </w:pPr>
      <w:rPr>
        <w:rFonts w:hint="default"/>
      </w:rPr>
    </w:lvl>
    <w:lvl w:ilvl="1">
      <w:start w:val="1"/>
      <w:numFmt w:val="decimal"/>
      <w:pStyle w:val="heading2"/>
      <w:lvlText w:val="%1.%2"/>
      <w:lvlJc w:val="left"/>
      <w:pPr>
        <w:tabs>
          <w:tab w:pos="567" w:val="num"/>
        </w:tabs>
        <w:ind w:hanging="567" w:left="567"/>
      </w:pPr>
      <w:rPr>
        <w:rFonts w:hint="default"/>
      </w:rPr>
    </w:lvl>
    <w:lvl w:ilvl="2">
      <w:start w:val="1"/>
      <w:numFmt w:val="decimal"/>
      <w:lvlText w:val="%1.%2.%3"/>
      <w:lvlJc w:val="left"/>
      <w:pPr>
        <w:tabs>
          <w:tab w:pos="851" w:val="num"/>
        </w:tabs>
        <w:ind w:hanging="851" w:left="851"/>
      </w:pPr>
      <w:rPr>
        <w:rFonts w:hint="default"/>
      </w:rPr>
    </w:lvl>
    <w:lvl w:ilvl="3">
      <w:start w:val="1"/>
      <w:numFmt w:val="decimal"/>
      <w:lvlText w:val="%1.%2.%3.%4"/>
      <w:lvlJc w:val="left"/>
      <w:pPr>
        <w:tabs>
          <w:tab w:pos="851" w:val="num"/>
        </w:tabs>
        <w:ind w:hanging="851" w:left="851"/>
      </w:pPr>
      <w:rPr>
        <w:rFonts w:hint="default"/>
      </w:rPr>
    </w:lvl>
    <w:lvl w:ilvl="4">
      <w:start w:val="1"/>
      <w:numFmt w:val="decimal"/>
      <w:lvlText w:val="%1.%2.%3.%4.%5"/>
      <w:lvlJc w:val="left"/>
      <w:pPr>
        <w:tabs>
          <w:tab w:pos="964" w:val="num"/>
        </w:tabs>
        <w:ind w:hanging="964" w:left="964"/>
      </w:pPr>
      <w:rPr>
        <w:rFonts w:ascii="Times New Roman" w:hAnsi="Times New Roman" w:hint="default"/>
        <w:b w:val="0"/>
        <w:i/>
        <w:sz w:val="20"/>
      </w:rPr>
    </w:lvl>
    <w:lvl w:ilvl="5">
      <w:start w:val="1"/>
      <w:numFmt w:val="decimal"/>
      <w:lvlText w:val="%1.%2.%3.%4.%5.%6"/>
      <w:lvlJc w:val="left"/>
      <w:pPr>
        <w:tabs>
          <w:tab w:pos="1152" w:val="num"/>
        </w:tabs>
        <w:ind w:hanging="1152" w:left="1152"/>
      </w:pPr>
      <w:rPr>
        <w:rFonts w:hint="default"/>
      </w:rPr>
    </w:lvl>
    <w:lvl w:ilvl="6">
      <w:start w:val="1"/>
      <w:numFmt w:val="decimal"/>
      <w:lvlText w:val="%1.%2.%3.%4.%5.%6.%7"/>
      <w:lvlJc w:val="left"/>
      <w:pPr>
        <w:tabs>
          <w:tab w:pos="1296" w:val="num"/>
        </w:tabs>
        <w:ind w:hanging="1296" w:left="1296"/>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584" w:val="num"/>
        </w:tabs>
        <w:ind w:hanging="1584" w:left="1584"/>
      </w:pPr>
      <w:rPr>
        <w:rFonts w:hint="default"/>
      </w:rPr>
    </w:lvl>
  </w:abstractNum>
  <w:abstractNum w15:restartNumberingAfterBreak="0" w:abstractNumId="3">
    <w:nsid w:val="7B274BC8"/>
    <w:multiLevelType w:val="multilevel"/>
    <w:tmpl w:val="72E65396"/>
    <w:styleLink w:val="arabnumitem"/>
    <w:lvl w:ilvl="0">
      <w:start w:val="1"/>
      <w:numFmt w:val="decimal"/>
      <w:lvlRestart w:val="0"/>
      <w:pStyle w:val="numitem"/>
      <w:lvlText w:val="%1."/>
      <w:lvlJc w:val="right"/>
      <w:pPr>
        <w:tabs>
          <w:tab w:pos="0" w:val="num"/>
        </w:tabs>
        <w:ind w:hanging="57" w:left="227"/>
      </w:pPr>
      <w:rPr>
        <w:rFonts w:hint="default"/>
      </w:rPr>
    </w:lvl>
    <w:lvl w:ilvl="1">
      <w:start w:val="1"/>
      <w:numFmt w:val="lowerLetter"/>
      <w:lvlText w:val="%2."/>
      <w:lvlJc w:val="left"/>
      <w:pPr>
        <w:tabs>
          <w:tab w:pos="227" w:val="num"/>
        </w:tabs>
        <w:ind w:hanging="227" w:left="454"/>
      </w:pPr>
      <w:rPr>
        <w:rFonts w:hint="default"/>
      </w:rPr>
    </w:lvl>
    <w:lvl w:ilvl="2">
      <w:start w:val="1"/>
      <w:numFmt w:val="decimal"/>
      <w:lvlText w:val="(%3)"/>
      <w:lvlJc w:val="left"/>
      <w:pPr>
        <w:tabs>
          <w:tab w:pos="454" w:val="num"/>
        </w:tabs>
        <w:ind w:hanging="340" w:left="794"/>
      </w:pPr>
      <w:rPr>
        <w:rFonts w:hint="default"/>
      </w:rPr>
    </w:lvl>
    <w:lvl w:ilvl="3">
      <w:start w:val="1"/>
      <w:numFmt w:val="lowerRoman"/>
      <w:lvlText w:val="%4."/>
      <w:lvlJc w:val="left"/>
      <w:pPr>
        <w:tabs>
          <w:tab w:pos="794" w:val="num"/>
        </w:tabs>
        <w:ind w:hanging="283" w:left="1077"/>
      </w:pPr>
      <w:rPr>
        <w:rFonts w:hint="default"/>
      </w:rPr>
    </w:lvl>
    <w:lvl w:ilvl="4">
      <w:start w:val="1"/>
      <w:numFmt w:val="lowerLetter"/>
      <w:lvlText w:val="(%5)"/>
      <w:lvlJc w:val="left"/>
      <w:pPr>
        <w:tabs>
          <w:tab w:pos="1077" w:val="num"/>
        </w:tabs>
        <w:ind w:hanging="283" w:left="1360"/>
      </w:pPr>
      <w:rPr>
        <w:rFonts w:hint="default"/>
      </w:rPr>
    </w:lvl>
    <w:lvl w:ilvl="5">
      <w:start w:val="1"/>
      <w:numFmt w:val="upperLetter"/>
      <w:lvlText w:val="%6."/>
      <w:lvlJc w:val="left"/>
      <w:pPr>
        <w:tabs>
          <w:tab w:pos="1360" w:val="num"/>
        </w:tabs>
        <w:ind w:hanging="340" w:left="1700"/>
      </w:pPr>
      <w:rPr>
        <w:rFonts w:hint="default"/>
      </w:rPr>
    </w:lvl>
    <w:lvl w:ilvl="6">
      <w:numFmt w:val="decimal"/>
      <w:lvlText w:val=""/>
      <w:lvlJc w:val="left"/>
    </w:lvl>
    <w:lvl w:ilvl="7">
      <w:numFmt w:val="decimal"/>
      <w:lvlText w:val=""/>
      <w:lvlJc w:val="left"/>
    </w:lvl>
    <w:lvl w:ilvl="8">
      <w:numFmt w:val="decimal"/>
      <w:lvlText w:val=""/>
      <w:lvlJc w:val="left"/>
    </w:lvl>
  </w:abstractNum>
  <w:abstractNum w15:restartNumberingAfterBreak="0" w:abstractNumId="4">
    <w:nsid w:val="7D9521C8"/>
    <w:multiLevelType w:val="multilevel"/>
    <w:tmpl w:val="F35CB8F2"/>
    <w:styleLink w:val="referencelist"/>
    <w:lvl w:ilvl="0">
      <w:start w:val="1"/>
      <w:numFmt w:val="decimal"/>
      <w:pStyle w:val="referenceitem"/>
      <w:lvlText w:val="%1."/>
      <w:lvlJc w:val="right"/>
      <w:pPr>
        <w:tabs>
          <w:tab w:pos="341" w:val="num"/>
        </w:tabs>
        <w:ind w:hanging="114" w:left="341"/>
      </w:pPr>
      <w:rPr>
        <w:rFonts w:hint="default"/>
      </w:rPr>
    </w:lvl>
    <w:lvl w:ilvl="1">
      <w:start w:val="1"/>
      <w:numFmt w:val="lowerLetter"/>
      <w:lvlText w:val="%2."/>
      <w:lvlJc w:val="left"/>
      <w:pPr>
        <w:tabs>
          <w:tab w:pos="1896" w:val="num"/>
        </w:tabs>
        <w:ind w:hanging="360" w:left="1896"/>
      </w:pPr>
      <w:rPr>
        <w:rFonts w:hint="default"/>
      </w:rPr>
    </w:lvl>
    <w:lvl w:ilvl="2">
      <w:start w:val="1"/>
      <w:numFmt w:val="lowerRoman"/>
      <w:lvlText w:val="%3."/>
      <w:lvlJc w:val="right"/>
      <w:pPr>
        <w:tabs>
          <w:tab w:pos="2616" w:val="num"/>
        </w:tabs>
        <w:ind w:hanging="180" w:left="2616"/>
      </w:pPr>
      <w:rPr>
        <w:rFonts w:hint="default"/>
      </w:rPr>
    </w:lvl>
    <w:lvl w:ilvl="3">
      <w:start w:val="1"/>
      <w:numFmt w:val="decimal"/>
      <w:lvlText w:val="%4."/>
      <w:lvlJc w:val="left"/>
      <w:pPr>
        <w:tabs>
          <w:tab w:pos="3336" w:val="num"/>
        </w:tabs>
        <w:ind w:hanging="360" w:left="3336"/>
      </w:pPr>
      <w:rPr>
        <w:rFonts w:hint="default"/>
      </w:rPr>
    </w:lvl>
    <w:lvl w:ilvl="4">
      <w:start w:val="1"/>
      <w:numFmt w:val="lowerLetter"/>
      <w:lvlText w:val="%5."/>
      <w:lvlJc w:val="left"/>
      <w:pPr>
        <w:tabs>
          <w:tab w:pos="4056" w:val="num"/>
        </w:tabs>
        <w:ind w:hanging="360" w:left="4056"/>
      </w:pPr>
      <w:rPr>
        <w:rFonts w:hint="default"/>
      </w:rPr>
    </w:lvl>
    <w:lvl w:ilvl="5">
      <w:start w:val="1"/>
      <w:numFmt w:val="lowerRoman"/>
      <w:lvlText w:val="%6."/>
      <w:lvlJc w:val="right"/>
      <w:pPr>
        <w:tabs>
          <w:tab w:pos="4776" w:val="num"/>
        </w:tabs>
        <w:ind w:hanging="180" w:left="4776"/>
      </w:pPr>
      <w:rPr>
        <w:rFonts w:hint="default"/>
      </w:rPr>
    </w:lvl>
    <w:lvl w:ilvl="6">
      <w:start w:val="1"/>
      <w:numFmt w:val="decimal"/>
      <w:lvlText w:val="%7."/>
      <w:lvlJc w:val="left"/>
      <w:pPr>
        <w:tabs>
          <w:tab w:pos="5496" w:val="num"/>
        </w:tabs>
        <w:ind w:hanging="360" w:left="5496"/>
      </w:pPr>
      <w:rPr>
        <w:rFonts w:hint="default"/>
      </w:rPr>
    </w:lvl>
    <w:lvl w:ilvl="7">
      <w:start w:val="1"/>
      <w:numFmt w:val="lowerLetter"/>
      <w:lvlText w:val="%8."/>
      <w:lvlJc w:val="left"/>
      <w:pPr>
        <w:tabs>
          <w:tab w:pos="6216" w:val="num"/>
        </w:tabs>
        <w:ind w:hanging="360" w:left="6216"/>
      </w:pPr>
      <w:rPr>
        <w:rFonts w:hint="default"/>
      </w:rPr>
    </w:lvl>
    <w:lvl w:ilvl="8">
      <w:start w:val="1"/>
      <w:numFmt w:val="lowerRoman"/>
      <w:lvlText w:val="%9."/>
      <w:lvlJc w:val="right"/>
      <w:pPr>
        <w:tabs>
          <w:tab w:pos="6936" w:val="num"/>
        </w:tabs>
        <w:ind w:hanging="180" w:left="6936"/>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hyphenationZone w:val="400"/>
  <w:doNotHyphenateCaps/>
  <w:evenAndOddHeaders/>
  <w:drawingGridHorizontalSpacing w:val="120"/>
  <w:drawingGridVerticalSpacing w:val="36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E6F"/>
    <w:rsid w:val="000A250F"/>
    <w:rsid w:val="00136025"/>
    <w:rsid w:val="0020293A"/>
    <w:rsid w:val="002C648B"/>
    <w:rsid w:val="003102E2"/>
    <w:rsid w:val="00492D19"/>
    <w:rsid w:val="005D4FA8"/>
    <w:rsid w:val="00763C6F"/>
    <w:rsid w:val="00774AA9"/>
    <w:rsid w:val="007E1E6F"/>
    <w:rsid w:val="008760F9"/>
    <w:rsid w:val="008C1D5E"/>
    <w:rsid w:val="008C4528"/>
    <w:rsid w:val="008E71F0"/>
    <w:rsid w:val="00991EF5"/>
    <w:rsid w:val="009949A3"/>
    <w:rsid w:val="009B7024"/>
    <w:rsid w:val="00C027F8"/>
    <w:rsid w:val="00C8652E"/>
    <w:rsid w:val="00DC71CD"/>
    <w:rsid w:val="00E37C1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cs="Times New Roman" w:eastAsiaTheme="Times New Roman" w:hAnsiTheme="Times New Roman"/>
        <w:sz w:val="20"/>
        <w:szCs w:val="20"/>
        <w:lang w:bidi="ar-SA" w:eastAsia="en-US" w:val="en-US"/>
      </w:rPr>
    </w:rPrDefault>
    <w:pPrDefault>
      <w:pPr>
        <w:spacing w:after="0" w:line="240" w:lineRule="atLeast"/>
      </w:pPr>
    </w:pPrDefault>
  </w:docDefaults>
  <w:latentStyles w:count="267" w:defLockedState="0" w:defQFormat="0" w:defSemiHidden="1" w:defUIPriority="0" w:defUnhideWhenUsed="0">
    <w:lsdException w:name="Normal" w:qFormat="1" w:semiHidden="0"/>
  </w:latentStyles>
  <w:style w:default="1" w:styleId="Normal" w:type="paragraph">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bidi="ar-SA" w:eastAsia="en-US" w:val="en-US"/>
    </w:rPr>
  </w:style>
  <w:style w:default="1" w:styleId="Default Paragraph Font" w:type="character">
    <w:name w:val="Default Paragraph Font"/>
    <w:uiPriority w:val="1"/>
    <w:semiHidden/>
    <w:unhideWhenUsed/>
  </w:style>
  <w:style w:default="1" w:styleId="Normal Table" w:type="table">
    <w:name w:val="Normal Table"/>
    <w:uiPriority w:val="99"/>
    <w:semiHidden/>
    <w:unhideWhenUsed/>
    <w:tblPr>
      <w:tblInd w:type="dxa" w:w="0"/>
      <w:tblCellMar>
        <w:top w:type="dxa" w:w="57"/>
        <w:left w:type="dxa" w:w="57"/>
        <w:bottom w:type="dxa" w:w="57"/>
        <w:right w:type="dxa" w:w="57"/>
      </w:tblCellMar>
    </w:tblPr>
  </w:style>
  <w:style w:default="1" w:styleId="No List" w:type="numbering">
    <w:name w:val="No List"/>
    <w:uiPriority w:val="99"/>
    <w:semiHidden/>
    <w:unhideWhenUsed/>
  </w:style>
  <w:style w:customStyle="1" w:styleId="abstract" w:type="paragraph">
    <w:name w:val="abstract"/>
    <w:basedOn w:val="Normal"/>
    <w:pPr>
      <w:spacing w:after="360" w:before="600" w:line="220" w:lineRule="atLeast"/>
      <w:ind w:left="567" w:right="567"/>
      <w:contextualSpacing/>
    </w:pPr>
    <w:rPr>
      <w:sz w:val="18"/>
    </w:rPr>
  </w:style>
  <w:style w:customStyle="1" w:styleId="address" w:type="paragraph">
    <w:name w:val="address"/>
    <w:basedOn w:val="Normal"/>
    <w:pPr>
      <w:spacing w:after="200" w:line="220" w:lineRule="atLeast"/>
      <w:ind w:firstLine="0"/>
      <w:contextualSpacing/>
      <w:jc w:val="center"/>
    </w:pPr>
    <w:rPr>
      <w:sz w:val="18"/>
    </w:rPr>
  </w:style>
  <w:style w:customStyle="1" w:styleId="arabnumitem" w:type="numbering">
    <w:name w:val="arabnumitem"/>
    <w:basedOn w:val="No List"/>
    <w:pPr>
      <w:numPr>
        <w:numId w:val="5"/>
      </w:numPr>
    </w:pPr>
  </w:style>
  <w:style w:customStyle="1" w:styleId="author" w:type="paragraph">
    <w:name w:val="author"/>
    <w:basedOn w:val="Normal"/>
    <w:next w:val="address"/>
    <w:pPr>
      <w:spacing w:after="200" w:line="220" w:lineRule="atLeast"/>
      <w:ind w:firstLine="0"/>
      <w:jc w:val="center"/>
    </w:pPr>
  </w:style>
  <w:style w:customStyle="1" w:styleId="bulletitem" w:type="paragraph">
    <w:name w:val="bulletitem"/>
    <w:basedOn w:val="Normal"/>
    <w:pPr>
      <w:numPr>
        <w:numId w:val="2"/>
      </w:numPr>
      <w:spacing w:after="160" w:before="160"/>
      <w:contextualSpacing/>
    </w:pPr>
  </w:style>
  <w:style w:customStyle="1" w:styleId="dashitem" w:type="paragraph">
    <w:name w:val="dashitem"/>
    <w:basedOn w:val="Normal"/>
    <w:pPr>
      <w:numPr>
        <w:numId w:val="4"/>
      </w:numPr>
      <w:spacing w:after="160" w:before="160"/>
      <w:contextualSpacing/>
    </w:pPr>
  </w:style>
  <w:style w:customStyle="1" w:styleId="e-mail" w:type="character">
    <w:name w:val="e-mail"/>
    <w:basedOn w:val="Default Paragraph Font"/>
    <w:rPr>
      <w:rFonts w:ascii="Courier New" w:hAnsi="Courier New"/>
      <w:noProof/>
    </w:rPr>
  </w:style>
  <w:style w:customStyle="1" w:styleId="equation" w:type="paragraph">
    <w:name w:val="equation"/>
    <w:basedOn w:val="Normal"/>
    <w:next w:val="Normal"/>
    <w:pPr>
      <w:tabs>
        <w:tab w:pos="3289" w:val="center"/>
        <w:tab w:pos="6917" w:val="right"/>
      </w:tabs>
      <w:spacing w:after="160" w:before="160"/>
      <w:ind w:firstLine="0"/>
    </w:pPr>
  </w:style>
  <w:style w:customStyle="1" w:styleId="figurecaption" w:type="paragraph">
    <w:name w:val="figurecaption"/>
    <w:basedOn w:val="Normal"/>
    <w:next w:val="Normal"/>
    <w:pPr>
      <w:keepLines/>
      <w:spacing w:after="240" w:before="120" w:line="220" w:lineRule="atLeast"/>
      <w:ind w:firstLine="0"/>
      <w:jc w:val="center"/>
    </w:pPr>
    <w:rPr>
      <w:sz w:val="18"/>
    </w:rPr>
  </w:style>
  <w:style w:styleId="footnote reference" w:type="character">
    <w:name w:val="footnote reference"/>
    <w:basedOn w:val="Default Paragraph Font"/>
    <w:semiHidden/>
    <w:unhideWhenUsed/>
    <w:rPr>
      <w:position w:val="0"/>
      <w:vertAlign w:val="superscript"/>
    </w:rPr>
  </w:style>
  <w:style w:styleId="footer" w:type="paragraph">
    <w:name w:val="footer"/>
    <w:basedOn w:val="Normal"/>
    <w:semiHidden/>
    <w:unhideWhenUsed/>
    <w:rPr>
      <w:rFonts w:ascii="Times New Roman" w:eastAsia="Times New Roman" w:hAnsi="Times New Roman"/>
      <w:sz w:val="20"/>
      <w:szCs w:val="20"/>
    </w:rPr>
  </w:style>
  <w:style w:customStyle="1" w:styleId="heading1" w:type="paragraph">
    <w:name w:val="heading1"/>
    <w:basedOn w:val="Normal"/>
    <w:next w:val="p1a"/>
    <w:qFormat/>
    <w:pPr>
      <w:keepNext/>
      <w:keepLines/>
      <w:suppressAutoHyphens/>
      <w:spacing w:after="240" w:before="360" w:line="300" w:lineRule="atLeast"/>
      <w:ind w:hanging="567" w:left="567"/>
      <w:jc w:val="left"/>
      <w:outlineLvl w:val="0"/>
      <w:numPr>
        <w:numId w:val="7"/>
      </w:numPr>
    </w:pPr>
    <w:rPr>
      <w:b/>
      <w:sz w:val="24"/>
    </w:rPr>
  </w:style>
  <w:style w:styleId="heading 1" w:type="paragraph">
    <w:name w:val="heading 1"/>
    <w:basedOn w:val="Normal"/>
    <w:next w:val="p1a"/>
    <w:semiHidden/>
    <w:unhideWhenUsed/>
    <w:qFormat/>
    <w:pPr>
      <w:keepNext/>
      <w:keepLines/>
      <w:suppressAutoHyphens/>
      <w:spacing w:after="240" w:before="360" w:line="300" w:lineRule="atLeast"/>
      <w:ind w:hanging="567" w:left="567"/>
      <w:jc w:val="left"/>
      <w:outlineLvl w:val="0"/>
    </w:pPr>
    <w:rPr>
      <w:b/>
      <w:sz w:val="24"/>
    </w:rPr>
  </w:style>
  <w:style w:customStyle="1" w:styleId="heading2" w:type="paragraph">
    <w:name w:val="heading2"/>
    <w:basedOn w:val="Normal"/>
    <w:next w:val="p1a"/>
    <w:qFormat/>
    <w:pPr>
      <w:keepNext/>
      <w:keepLines/>
      <w:suppressAutoHyphens/>
      <w:spacing w:after="160" w:before="360"/>
      <w:ind w:hanging="567" w:left="567"/>
      <w:jc w:val="left"/>
      <w:outlineLvl w:val="1"/>
      <w:numPr>
        <w:ilvl w:val="1"/>
        <w:numId w:val="7"/>
      </w:numPr>
    </w:pPr>
    <w:rPr>
      <w:b/>
    </w:rPr>
  </w:style>
  <w:style w:styleId="heading 2" w:type="paragraph">
    <w:name w:val="heading 2"/>
    <w:basedOn w:val="Normal"/>
    <w:next w:val="p1a"/>
    <w:qFormat/>
    <w:semiHidden/>
    <w:unhideWhenUsed/>
    <w:pPr>
      <w:keepNext/>
      <w:keepLines/>
      <w:suppressAutoHyphens/>
      <w:spacing w:after="160" w:before="360"/>
      <w:ind w:hanging="567" w:left="567"/>
      <w:jc w:val="left"/>
      <w:outlineLvl w:val="1"/>
    </w:pPr>
    <w:rPr>
      <w:b/>
    </w:rPr>
  </w:style>
  <w:style w:styleId="heading 3" w:type="paragraph">
    <w:name w:val="heading 3"/>
    <w:basedOn w:val="Normal"/>
    <w:next w:val="Normal"/>
    <w:qFormat/>
    <w:pPr>
      <w:spacing w:before="360"/>
      <w:ind w:firstLine="0"/>
      <w:outlineLvl w:val="2"/>
      <w:b/>
    </w:pPr>
  </w:style>
  <w:style w:customStyle="1" w:styleId="heading3" w:type="character">
    <w:name w:val="heading3"/>
    <w:basedOn w:val="Default Paragraph Font"/>
    <w:rPr>
      <w:b/>
    </w:rPr>
  </w:style>
  <w:style w:styleId="acknowlegments" w:type="paragraph">
    <w:name w:val="acknowlegments"/>
    <w:basedOn w:val="Normal"/>
    <w:next w:val="acknowlegments"/>
    <w:qFormat/>
    <w:pPr>
      <w:spacing w:before="240"/>
      <w:ind w:firstLine="0"/>
      <w:spacing w:line="220" w:lineRule="atLeast"/>
      <w:b/>
    </w:pPr>
    <w:rPr>
      <w:sz w:val="18"/>
    </w:rPr>
  </w:style>
  <w:style w:styleId="heading 4" w:type="paragraph">
    <w:name w:val="heading 4"/>
    <w:basedOn w:val="Normal"/>
    <w:next w:val="Normal"/>
    <w:qFormat/>
    <w:pPr>
      <w:spacing w:before="240"/>
      <w:ind w:firstLine="0"/>
      <w:outlineLvl w:val="3"/>
      <w:i/>
    </w:pPr>
  </w:style>
  <w:style w:customStyle="1" w:styleId="heading4" w:type="character">
    <w:name w:val="heading4"/>
    <w:basedOn w:val="Default Paragraph Font"/>
    <w:rPr>
      <w:i/>
    </w:rPr>
  </w:style>
  <w:style w:customStyle="1" w:styleId="headings" w:type="numbering">
    <w:name w:val="headings"/>
    <w:basedOn w:val="arabnumitem"/>
    <w:pPr>
      <w:numPr>
        <w:numId w:val="7"/>
      </w:numPr>
    </w:pPr>
  </w:style>
  <w:style w:styleId="Hyperlink" w:type="character">
    <w:name w:val="Hyperlink"/>
    <w:basedOn w:val="Default Paragraph Font"/>
    <w:semiHidden/>
    <w:unhideWhenUsed/>
    <w:rPr>
      <w:color w:val="auto"/>
      <w:u w:val="none"/>
    </w:rPr>
  </w:style>
  <w:style w:customStyle="1" w:styleId="image" w:type="paragraph">
    <w:name w:val="image"/>
    <w:basedOn w:val="Normal"/>
    <w:next w:val="Normal"/>
    <w:pPr>
      <w:spacing w:after="120" w:before="240"/>
      <w:ind w:firstLine="0"/>
      <w:jc w:val="center"/>
    </w:pPr>
  </w:style>
  <w:style w:customStyle="1" w:styleId="itemization1" w:type="numbering">
    <w:name w:val="itemization1"/>
    <w:basedOn w:val="No List"/>
    <w:pPr>
      <w:numPr>
        <w:numId w:val="1"/>
      </w:numPr>
    </w:pPr>
  </w:style>
  <w:style w:customStyle="1" w:styleId="itemization2" w:type="numbering">
    <w:name w:val="itemization2"/>
    <w:basedOn w:val="No List"/>
    <w:pPr>
      <w:numPr>
        <w:numId w:val="3"/>
      </w:numPr>
    </w:pPr>
  </w:style>
  <w:style w:customStyle="1" w:styleId="keywords" w:type="paragraph">
    <w:name w:val="keywords"/>
    <w:basedOn w:val="abstract"/>
    <w:next w:val="heading1"/>
    <w:pPr>
      <w:spacing w:before="220"/>
      <w:ind w:firstLine="0"/>
      <w:contextualSpacing w:val="0"/>
      <w:jc w:val="left"/>
    </w:pPr>
  </w:style>
  <w:style w:styleId="header" w:type="paragraph">
    <w:name w:val="header"/>
    <w:basedOn w:val="Normal"/>
    <w:semiHidden/>
    <w:unhideWhenUsed/>
    <w:pPr>
      <w:tabs>
        <w:tab w:pos="4536" w:val="center"/>
        <w:tab w:pos="9072" w:val="right"/>
      </w:tabs>
      <w:ind w:firstLine="0"/>
    </w:pPr>
    <w:rPr>
      <w:sz w:val="18"/>
      <w:szCs w:val="18"/>
    </w:rPr>
  </w:style>
  <w:style w:customStyle="1" w:styleId="numitem" w:type="paragraph">
    <w:name w:val="numitem"/>
    <w:basedOn w:val="Normal"/>
    <w:pPr>
      <w:numPr>
        <w:numId w:val="6"/>
      </w:numPr>
      <w:spacing w:after="160" w:before="160"/>
      <w:contextualSpacing/>
    </w:pPr>
  </w:style>
  <w:style w:customStyle="1" w:styleId="p1a" w:type="paragraph">
    <w:name w:val="p1a"/>
    <w:basedOn w:val="Normal"/>
    <w:next w:val="Normal"/>
    <w:pPr>
      <w:ind w:firstLine="0"/>
    </w:pPr>
  </w:style>
  <w:style w:customStyle="1" w:styleId="programcode" w:type="paragraph">
    <w:name w:val="programcode"/>
    <w:basedOn w:val="Normal"/>
    <w:pPr>
      <w:tabs>
        <w:tab w:pos="227" w:val="left"/>
        <w:tab w:pos="454" w:val="left"/>
        <w:tab w:pos="680" w:val="left"/>
        <w:tab w:pos="907" w:val="left"/>
        <w:tab w:pos="1134" w:val="left"/>
        <w:tab w:pos="1361" w:val="left"/>
        <w:tab w:pos="1588" w:val="left"/>
        <w:tab w:pos="1814" w:val="left"/>
        <w:tab w:pos="2041" w:val="left"/>
        <w:tab w:pos="2268" w:val="left"/>
        <w:tab w:pos="2495" w:val="left"/>
        <w:tab w:pos="2722" w:val="left"/>
        <w:tab w:pos="2948" w:val="left"/>
        <w:tab w:pos="3175" w:val="left"/>
        <w:tab w:pos="3402" w:val="left"/>
        <w:tab w:pos="3629" w:val="left"/>
        <w:tab w:pos="3856" w:val="left"/>
        <w:tab w:pos="4082" w:val="left"/>
        <w:tab w:pos="4309" w:val="left"/>
        <w:tab w:pos="4536" w:val="left"/>
        <w:tab w:pos="4763" w:val="left"/>
        <w:tab w:pos="4990" w:val="left"/>
        <w:tab w:pos="5216" w:val="left"/>
        <w:tab w:pos="5443" w:val="left"/>
        <w:tab w:pos="5670" w:val="left"/>
        <w:tab w:pos="5897" w:val="left"/>
        <w:tab w:pos="6124" w:val="left"/>
        <w:tab w:pos="6350" w:val="left"/>
        <w:tab w:pos="6577" w:val="left"/>
      </w:tabs>
      <w:spacing w:after="160" w:before="160"/>
      <w:ind w:firstLine="0"/>
      <w:contextualSpacing/>
      <w:jc w:val="left"/>
    </w:pPr>
    <w:rPr>
      <w:rFonts w:ascii="Courier" w:hAnsi="Courier"/>
    </w:rPr>
  </w:style>
  <w:style w:customStyle="1" w:styleId="referenceitem" w:type="paragraph">
    <w:name w:val="referenceitem"/>
    <w:basedOn w:val="Normal"/>
    <w:pPr>
      <w:numPr>
        <w:numId w:val="9"/>
      </w:numPr>
      <w:spacing w:line="220" w:lineRule="atLeast"/>
    </w:pPr>
    <w:rPr>
      <w:sz w:val="18"/>
    </w:rPr>
  </w:style>
  <w:style w:customStyle="1" w:styleId="referencelist" w:type="numbering">
    <w:name w:val="referencelist"/>
    <w:basedOn w:val="No List"/>
    <w:semiHidden/>
    <w:pPr>
      <w:numPr>
        <w:numId w:val="8"/>
      </w:numPr>
    </w:pPr>
  </w:style>
  <w:style w:customStyle="1" w:styleId="runningheadleft" w:type="paragraph">
    <w:name w:val="runninghead left"/>
    <w:basedOn w:val="Normal"/>
    <w:pPr>
      <w:ind w:firstLine="0"/>
      <w:jc w:val="left"/>
      <w:tabs>
        <w:tab w:pos="680" w:val="left"/>
      </w:tabs>
      <w:ind w:firstLine="0"/>
      <w:jc w:val="left"/>
    </w:pPr>
    <w:rPr>
      <w:sz w:val="18"/>
      <w:szCs w:val="18"/>
    </w:rPr>
  </w:style>
  <w:style w:customStyle="1" w:styleId="runningheadright" w:type="paragraph">
    <w:name w:val="runninghead right"/>
    <w:basedOn w:val="Normal"/>
    <w:pPr>
      <w:ind w:firstLine="0"/>
      <w:jc w:val="left"/>
      <w:tabs>
        <w:tab w:pos="6237" w:val="right"/>
        <w:tab w:pos="6917" w:val="right"/>
      </w:tabs>
      <w:ind w:firstLine="0"/>
      <w:jc w:val="left"/>
    </w:pPr>
    <w:rPr>
      <w:bCs/>
      <w:sz w:val="18"/>
      <w:szCs w:val="18"/>
    </w:rPr>
  </w:style>
  <w:style w:styleId="page number" w:type="character">
    <w:name w:val="page number"/>
    <w:basedOn w:val="Default Paragraph Font"/>
    <w:semiHidden/>
    <w:unhideWhenUsed/>
    <w:rPr>
      <w:sz w:val="18"/>
    </w:rPr>
  </w:style>
  <w:style w:customStyle="1" w:styleId="papertitle" w:type="paragraph">
    <w:name w:val="papertitle"/>
    <w:basedOn w:val="Normal"/>
    <w:next w:val="author"/>
    <w:pPr>
      <w:keepNext/>
      <w:keepLines/>
      <w:suppressAutoHyphens/>
      <w:spacing w:after="480" w:line="360" w:lineRule="atLeast"/>
      <w:ind w:firstLine="0"/>
      <w:jc w:val="center"/>
    </w:pPr>
    <w:rPr>
      <w:b/>
      <w:sz w:val="28"/>
    </w:rPr>
  </w:style>
  <w:style w:customStyle="1" w:styleId="papersubtitle" w:type="paragraph">
    <w:name w:val="papersubtitle"/>
    <w:basedOn w:val="papertitle"/>
    <w:next w:val="author"/>
    <w:pPr>
      <w:spacing w:before="120" w:line="280" w:lineRule="atLeast"/>
    </w:pPr>
    <w:rPr>
      <w:sz w:val="24"/>
    </w:rPr>
  </w:style>
  <w:style w:customStyle="1" w:styleId="tablecaption" w:type="paragraph">
    <w:name w:val="tablecaption"/>
    <w:basedOn w:val="Normal"/>
    <w:next w:val="Normal"/>
    <w:pPr>
      <w:keepNext/>
      <w:keepLines/>
      <w:spacing w:after="120" w:before="240" w:line="220" w:lineRule="atLeast"/>
      <w:ind w:firstLine="0"/>
      <w:jc w:val="center"/>
    </w:pPr>
    <w:rPr>
      <w:sz w:val="18"/>
    </w:rPr>
  </w:style>
  <w:style w:customStyle="1" w:styleId="url" w:type="character">
    <w:name w:val="url"/>
    <w:basedOn w:val="Default Paragraph Font"/>
    <w:rPr>
      <w:rFonts w:ascii="Courier" w:hAnsi="Courier"/>
      <w:noProof/>
    </w:rPr>
  </w:style>
  <w:style w:customStyle="1" w:styleId="ORCID" w:type="character">
    <w:name w:val="ORCID"/>
    <w:basedOn w:val="Default Paragraph Font"/>
    <w:rPr>
      <w:position w:val="0"/>
      <w:vertAlign w:val="superscript"/>
    </w:rPr>
  </w:style>
  <w:style w:styleId="footnote text" w:type="paragraph">
    <w:name w:val="footnote text"/>
    <w:basedOn w:val="Normal"/>
    <w:semiHidden/>
    <w:pPr>
      <w:spacing w:line="220" w:lineRule="atLeast"/>
      <w:ind w:hanging="227" w:left="227"/>
    </w:pPr>
    <w:rPr>
      <w:sz w:val="18"/>
    </w:rPr>
  </w:style>
  <w:style w:customStyle="1" w:styleId="ReferenceLine" w:type="paragraph">
    <w:name w:val="ReferenceLine"/>
    <w:basedOn w:val="p1a"/>
    <w:semiHidden/>
    <w:unhideWhenUsed/>
    <w:pPr>
      <w:spacing w:line="200" w:lineRule="exact"/>
    </w:pPr>
    <w:rPr>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14" Target="header3.xml" Type="http://schemas.openxmlformats.org/officeDocument/2006/relationships/header" /><Relationship Type="http://schemas.openxmlformats.org/officeDocument/2006/relationships/image" Id="rId42" Target="media/rId42.pdf" /><Relationship Type="http://schemas.openxmlformats.org/officeDocument/2006/relationships/image" Id="rId39" Target="media/rId39.pdf" /><Relationship Type="http://schemas.openxmlformats.org/officeDocument/2006/relationships/hyperlink" Id="rId56" Target="https://doi.org/10.1016/0165-0114(90)90002-U" TargetMode="External" /><Relationship Type="http://schemas.openxmlformats.org/officeDocument/2006/relationships/hyperlink" Id="rId61" Target="https://doi.org/10.1016/0165-0114(93)90355-L" TargetMode="External" /><Relationship Type="http://schemas.openxmlformats.org/officeDocument/2006/relationships/hyperlink" Id="rId62" Target="https://doi.org/10.1016/0165-0114(94)90067-1" TargetMode="External" /><Relationship Type="http://schemas.openxmlformats.org/officeDocument/2006/relationships/hyperlink" Id="rId51" Target="https://doi.org/10.1016/0165-0114(95)00220-0" TargetMode="External" /><Relationship Type="http://schemas.openxmlformats.org/officeDocument/2006/relationships/hyperlink" Id="rId59" Target="https://doi.org/10.1016/0888-613X(93)90010-B" TargetMode="External" /><Relationship Type="http://schemas.openxmlformats.org/officeDocument/2006/relationships/hyperlink" Id="rId57" Target="https://doi.org/10.1016/j.fss.2006.10.023" TargetMode="External" /><Relationship Type="http://schemas.openxmlformats.org/officeDocument/2006/relationships/hyperlink" Id="rId49" Target="https://doi.org/10.1016/j.ins.2022.12.015" TargetMode="External" /><Relationship Type="http://schemas.openxmlformats.org/officeDocument/2006/relationships/hyperlink" Id="rId63" Target="https://doi.org/10.1016/j.physa.2004.10.032" TargetMode="External" /><Relationship Type="http://schemas.openxmlformats.org/officeDocument/2006/relationships/hyperlink" Id="rId50" Target="https://doi.org/10.1109/ACCESS.2025.3564135" TargetMode="External" /><Relationship Type="http://schemas.openxmlformats.org/officeDocument/2006/relationships/hyperlink" Id="rId58" Target="https://doi.org/10.1109/ICNN.1995.488968" TargetMode="External" /><Relationship Type="http://schemas.openxmlformats.org/officeDocument/2006/relationships/hyperlink" Id="rId64" Target="https://doi.org/10.1109/TFUZZ.2023.3290489" TargetMode="External" /><Relationship Type="http://schemas.openxmlformats.org/officeDocument/2006/relationships/hyperlink" Id="rId60" Target="https://doi.org/10.1137/1109020" TargetMode="External" /><Relationship Type="http://schemas.openxmlformats.org/officeDocument/2006/relationships/hyperlink" Id="rId52" Target="https://doi.org/10.15625/1813-9663/36/2/14965" TargetMode="External" /><Relationship Type="http://schemas.openxmlformats.org/officeDocument/2006/relationships/hyperlink" Id="rId53" Target="https://doi.org/10.15625/1813-9663/38/2/16866" TargetMode="External" /><Relationship Type="http://schemas.openxmlformats.org/officeDocument/2006/relationships/hyperlink" Id="rId54" Target="https://doi.org/10.15625/1813-9663/38/4/17261" TargetMode="External" /><Relationship Type="http://schemas.openxmlformats.org/officeDocument/2006/relationships/hyperlink" Id="rId55" Target="https://doi.org/10.3390/math11071597" TargetMode="External" /></Relationships>
</file>

<file path=word/_rels/footnotes.xml.rels><?xml version="1.0" encoding="UTF-8"?><Relationships xmlns="http://schemas.openxmlformats.org/package/2006/relationships"><Relationship Type="http://schemas.openxmlformats.org/officeDocument/2006/relationships/hyperlink" Id="rId56" Target="https://doi.org/10.1016/0165-0114(90)90002-U" TargetMode="External" /><Relationship Type="http://schemas.openxmlformats.org/officeDocument/2006/relationships/hyperlink" Id="rId61" Target="https://doi.org/10.1016/0165-0114(93)90355-L" TargetMode="External" /><Relationship Type="http://schemas.openxmlformats.org/officeDocument/2006/relationships/hyperlink" Id="rId62" Target="https://doi.org/10.1016/0165-0114(94)90067-1" TargetMode="External" /><Relationship Type="http://schemas.openxmlformats.org/officeDocument/2006/relationships/hyperlink" Id="rId51" Target="https://doi.org/10.1016/0165-0114(95)00220-0" TargetMode="External" /><Relationship Type="http://schemas.openxmlformats.org/officeDocument/2006/relationships/hyperlink" Id="rId59" Target="https://doi.org/10.1016/0888-613X(93)90010-B" TargetMode="External" /><Relationship Type="http://schemas.openxmlformats.org/officeDocument/2006/relationships/hyperlink" Id="rId57" Target="https://doi.org/10.1016/j.fss.2006.10.023" TargetMode="External" /><Relationship Type="http://schemas.openxmlformats.org/officeDocument/2006/relationships/hyperlink" Id="rId49" Target="https://doi.org/10.1016/j.ins.2022.12.015" TargetMode="External" /><Relationship Type="http://schemas.openxmlformats.org/officeDocument/2006/relationships/hyperlink" Id="rId63" Target="https://doi.org/10.1016/j.physa.2004.10.032" TargetMode="External" /><Relationship Type="http://schemas.openxmlformats.org/officeDocument/2006/relationships/hyperlink" Id="rId50" Target="https://doi.org/10.1109/ACCESS.2025.3564135" TargetMode="External" /><Relationship Type="http://schemas.openxmlformats.org/officeDocument/2006/relationships/hyperlink" Id="rId58" Target="https://doi.org/10.1109/ICNN.1995.488968" TargetMode="External" /><Relationship Type="http://schemas.openxmlformats.org/officeDocument/2006/relationships/hyperlink" Id="rId64" Target="https://doi.org/10.1109/TFUZZ.2023.3290489" TargetMode="External" /><Relationship Type="http://schemas.openxmlformats.org/officeDocument/2006/relationships/hyperlink" Id="rId60" Target="https://doi.org/10.1137/1109020" TargetMode="External" /><Relationship Type="http://schemas.openxmlformats.org/officeDocument/2006/relationships/hyperlink" Id="rId52" Target="https://doi.org/10.15625/1813-9663/36/2/14965" TargetMode="External" /><Relationship Type="http://schemas.openxmlformats.org/officeDocument/2006/relationships/hyperlink" Id="rId53" Target="https://doi.org/10.15625/1813-9663/38/2/16866" TargetMode="External" /><Relationship Type="http://schemas.openxmlformats.org/officeDocument/2006/relationships/hyperlink" Id="rId54" Target="https://doi.org/10.15625/1813-9663/38/4/17261" TargetMode="External" /><Relationship Type="http://schemas.openxmlformats.org/officeDocument/2006/relationships/hyperlink" Id="rId55" Target="https://doi.org/10.3390/math1107159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489</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Similarity-Weighted Linguistic Time Series Forecasting using Hedge Algebras Semantic Kernels</dc:title>
  <dc:creator>Nguyen Duy Hieu</dc:creator>
  <cp:keywords/>
  <dcterms:created xsi:type="dcterms:W3CDTF">2026-05-27T10:19:09Z</dcterms:created>
  <dcterms:modified xsi:type="dcterms:W3CDTF">2026-05-27T10:19:09Z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Linguistic Time Series (LTS) forecasting, grounded in Hedge Algebras (HA), provides an interpretable algebraic approach to short-sequence prediction. However, all existing LTS models rely on exact-match lookup, producing a forecast only when the current \lambda-gram appears verbatim in the rule base—an all-or-nothing inference that discards the graded semantic structure of HA. We formally characterize this sparse-rule problem via coverage ratio |\mathcal{R}|/|W|^\lambda, which reaches 0.56% for Alabama at \lambda=3. We propose SW-LTS (Similarity-Weighted LTS): an interpretable graded inference mechanism in which every prediction is a linguistically auditable weighted average of stored rules, with weights derived from Gaussian kernels over normalized HA semantic distances. Any forecast can be explained by ranking rules by their kernel weight—semantic proximity in the algebraic structure of HA, not geometric distance in raw data space. Two formal propositions establish strict generalization over LTS and HO-LTS. Empirical results confirm SW-LTS matches or improves in-sample accuracy and achieves a statistically significant 69.5% walk-forward MSE reduction on Wolf’s Sunspot (p{&lt;}0.001), with interpretability demonstrated via kernel weight attribution on a case study (Table [tab:casestudy]).</vt:lpwstr>
  </property>
</Properties>
</file>