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Coupling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The AIMS project is designed following MVC architecture. Each module only depends on each other via function parameters, which make each class more independent. 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All classes use private variables so there is no direct access from one class to another, which prevent content coupling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The three classes CD, DVD and book have the same type of media with the same method and they extend general class Media, which prevent control coupling.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=&gt; The project is data coupling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Cohesion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classes Util, Config is global and can be used by many other classes. However, we provide static methods and variables for them so we prevent coincidental cohesion.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Media, Book, CD, DVD are separated so it is not logical cohesion.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Parts of modulus are grouped by when they are processed. Example: Class PlaceOrderController so it is ok for temporal cohesion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Loops, multiple conditions and steps in the codes which is procedural cohesion and we can clearly see them in the class PlaceOrderController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Class API has the output of one method is the input of another, reuse the related functions =&gt; which is good for functional cohesion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=&gt; The project is really good for cohesion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