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9EB91" w14:textId="3365BFB9" w:rsidR="001D2585" w:rsidRDefault="001D2585" w:rsidP="001D2585">
      <w:pPr>
        <w:jc w:val="center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WLAN Operation Comparision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2970"/>
        <w:gridCol w:w="4050"/>
        <w:gridCol w:w="4770"/>
      </w:tblGrid>
      <w:tr w:rsidR="001D2585" w:rsidRPr="001D2585" w14:paraId="2C571D51" w14:textId="77777777" w:rsidTr="001D2585">
        <w:trPr>
          <w:trHeight w:val="359"/>
        </w:trPr>
        <w:tc>
          <w:tcPr>
            <w:tcW w:w="2970" w:type="dxa"/>
            <w:shd w:val="clear" w:color="auto" w:fill="DAE9F7" w:themeFill="text2" w:themeFillTint="1A"/>
            <w:vAlign w:val="center"/>
          </w:tcPr>
          <w:p w14:paraId="35C9A13F" w14:textId="22C9C197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4050" w:type="dxa"/>
            <w:shd w:val="clear" w:color="auto" w:fill="DAE9F7" w:themeFill="text2" w:themeFillTint="1A"/>
            <w:vAlign w:val="center"/>
          </w:tcPr>
          <w:p w14:paraId="133BC149" w14:textId="306B2645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CSMA/CA</w:t>
            </w:r>
          </w:p>
        </w:tc>
        <w:tc>
          <w:tcPr>
            <w:tcW w:w="4770" w:type="dxa"/>
            <w:shd w:val="clear" w:color="auto" w:fill="DAE9F7" w:themeFill="text2" w:themeFillTint="1A"/>
            <w:vAlign w:val="center"/>
          </w:tcPr>
          <w:p w14:paraId="7672C75C" w14:textId="614F8988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RTS/CTS</w:t>
            </w:r>
          </w:p>
        </w:tc>
      </w:tr>
      <w:tr w:rsidR="001D2585" w:rsidRPr="001D2585" w14:paraId="44E66C67" w14:textId="77777777" w:rsidTr="001D2585">
        <w:trPr>
          <w:trHeight w:val="710"/>
        </w:trPr>
        <w:tc>
          <w:tcPr>
            <w:tcW w:w="2970" w:type="dxa"/>
            <w:shd w:val="clear" w:color="auto" w:fill="FAE2D5" w:themeFill="accent2" w:themeFillTint="33"/>
            <w:vAlign w:val="center"/>
          </w:tcPr>
          <w:p w14:paraId="250C80DF" w14:textId="11174203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Primary goal</w:t>
            </w:r>
          </w:p>
        </w:tc>
        <w:tc>
          <w:tcPr>
            <w:tcW w:w="4050" w:type="dxa"/>
            <w:vAlign w:val="center"/>
          </w:tcPr>
          <w:p w14:paraId="6BB8B9AF" w14:textId="575893CA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Collision avoidance in shared wireless medium.</w:t>
            </w:r>
          </w:p>
        </w:tc>
        <w:tc>
          <w:tcPr>
            <w:tcW w:w="4770" w:type="dxa"/>
            <w:vAlign w:val="center"/>
          </w:tcPr>
          <w:p w14:paraId="28B86423" w14:textId="248EF533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Further collision reduction, especially in hidden node scenarios.</w:t>
            </w:r>
          </w:p>
        </w:tc>
      </w:tr>
      <w:tr w:rsidR="001D2585" w:rsidRPr="001D2585" w14:paraId="319E620A" w14:textId="77777777" w:rsidTr="001D2585">
        <w:trPr>
          <w:trHeight w:val="440"/>
        </w:trPr>
        <w:tc>
          <w:tcPr>
            <w:tcW w:w="2970" w:type="dxa"/>
            <w:shd w:val="clear" w:color="auto" w:fill="FAE2D5" w:themeFill="accent2" w:themeFillTint="33"/>
            <w:vAlign w:val="center"/>
          </w:tcPr>
          <w:p w14:paraId="56D99584" w14:textId="5AD811F0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Mechanism</w:t>
            </w:r>
          </w:p>
        </w:tc>
        <w:tc>
          <w:tcPr>
            <w:tcW w:w="4050" w:type="dxa"/>
            <w:vAlign w:val="center"/>
          </w:tcPr>
          <w:p w14:paraId="7449CA95" w14:textId="2C681204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"Listen before talk" (carrier sense) with random backoff.</w:t>
            </w:r>
          </w:p>
        </w:tc>
        <w:tc>
          <w:tcPr>
            <w:tcW w:w="4770" w:type="dxa"/>
            <w:vAlign w:val="center"/>
          </w:tcPr>
          <w:p w14:paraId="4DEDA9F8" w14:textId="326FAE4A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Explicit "request" and "clear" messages before data transmission.</w:t>
            </w:r>
          </w:p>
        </w:tc>
      </w:tr>
      <w:tr w:rsidR="001D2585" w:rsidRPr="001D2585" w14:paraId="7A72BCDE" w14:textId="77777777" w:rsidTr="001D2585">
        <w:trPr>
          <w:trHeight w:val="440"/>
        </w:trPr>
        <w:tc>
          <w:tcPr>
            <w:tcW w:w="2970" w:type="dxa"/>
            <w:shd w:val="clear" w:color="auto" w:fill="FAE2D5" w:themeFill="accent2" w:themeFillTint="33"/>
            <w:vAlign w:val="center"/>
          </w:tcPr>
          <w:p w14:paraId="2423F665" w14:textId="7E75026F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Operation</w:t>
            </w:r>
          </w:p>
        </w:tc>
        <w:tc>
          <w:tcPr>
            <w:tcW w:w="4050" w:type="dxa"/>
            <w:vAlign w:val="center"/>
          </w:tcPr>
          <w:p w14:paraId="12B05597" w14:textId="542D949B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Device listens, waits if busy, transmits after IFS and backoff.</w:t>
            </w:r>
          </w:p>
        </w:tc>
        <w:tc>
          <w:tcPr>
            <w:tcW w:w="4770" w:type="dxa"/>
            <w:vAlign w:val="center"/>
          </w:tcPr>
          <w:p w14:paraId="11D02D9E" w14:textId="670F60B7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Device sends RTS, waits for CTS, then transmits data.</w:t>
            </w:r>
          </w:p>
        </w:tc>
      </w:tr>
      <w:tr w:rsidR="001D2585" w:rsidRPr="001D2585" w14:paraId="5275A943" w14:textId="77777777" w:rsidTr="001D2585">
        <w:trPr>
          <w:trHeight w:val="440"/>
        </w:trPr>
        <w:tc>
          <w:tcPr>
            <w:tcW w:w="2970" w:type="dxa"/>
            <w:shd w:val="clear" w:color="auto" w:fill="FAE2D5" w:themeFill="accent2" w:themeFillTint="33"/>
            <w:vAlign w:val="center"/>
          </w:tcPr>
          <w:p w14:paraId="1EC492E0" w14:textId="7C2A6CEB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Overhead</w:t>
            </w:r>
          </w:p>
        </w:tc>
        <w:tc>
          <w:tcPr>
            <w:tcW w:w="4050" w:type="dxa"/>
            <w:vAlign w:val="center"/>
          </w:tcPr>
          <w:p w14:paraId="76436986" w14:textId="386CCDBC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Relatively low overhead.</w:t>
            </w:r>
          </w:p>
        </w:tc>
        <w:tc>
          <w:tcPr>
            <w:tcW w:w="4770" w:type="dxa"/>
            <w:vAlign w:val="center"/>
          </w:tcPr>
          <w:p w14:paraId="133424D5" w14:textId="559A4B31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Increased overhead due to RTS/CTS exchange.</w:t>
            </w:r>
          </w:p>
        </w:tc>
      </w:tr>
      <w:tr w:rsidR="001D2585" w:rsidRPr="001D2585" w14:paraId="4DD5C142" w14:textId="77777777" w:rsidTr="001D2585">
        <w:trPr>
          <w:trHeight w:val="440"/>
        </w:trPr>
        <w:tc>
          <w:tcPr>
            <w:tcW w:w="2970" w:type="dxa"/>
            <w:shd w:val="clear" w:color="auto" w:fill="FAE2D5" w:themeFill="accent2" w:themeFillTint="33"/>
            <w:vAlign w:val="center"/>
          </w:tcPr>
          <w:p w14:paraId="06EB5DCA" w14:textId="13B2EC19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Effectiveness</w:t>
            </w:r>
          </w:p>
        </w:tc>
        <w:tc>
          <w:tcPr>
            <w:tcW w:w="4050" w:type="dxa"/>
            <w:vAlign w:val="center"/>
          </w:tcPr>
          <w:p w14:paraId="0E79B7D2" w14:textId="30983036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Effective in most standard WLAN environments.</w:t>
            </w:r>
          </w:p>
        </w:tc>
        <w:tc>
          <w:tcPr>
            <w:tcW w:w="4770" w:type="dxa"/>
            <w:vAlign w:val="center"/>
          </w:tcPr>
          <w:p w14:paraId="6E8DB7EC" w14:textId="3EA235C2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Highly effective in dense or hidden node environments, but less efficient in sparse ones.</w:t>
            </w:r>
          </w:p>
        </w:tc>
      </w:tr>
      <w:tr w:rsidR="001D2585" w:rsidRPr="001D2585" w14:paraId="20F5723D" w14:textId="77777777" w:rsidTr="001D2585">
        <w:trPr>
          <w:trHeight w:val="440"/>
        </w:trPr>
        <w:tc>
          <w:tcPr>
            <w:tcW w:w="2970" w:type="dxa"/>
            <w:shd w:val="clear" w:color="auto" w:fill="FAE2D5" w:themeFill="accent2" w:themeFillTint="33"/>
            <w:vAlign w:val="center"/>
          </w:tcPr>
          <w:p w14:paraId="1C63E9CE" w14:textId="0270787D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Usage</w:t>
            </w:r>
          </w:p>
        </w:tc>
        <w:tc>
          <w:tcPr>
            <w:tcW w:w="4050" w:type="dxa"/>
            <w:vAlign w:val="center"/>
          </w:tcPr>
          <w:p w14:paraId="400D3BBC" w14:textId="52DE1529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Used in all 802.11 WLANs.</w:t>
            </w:r>
          </w:p>
        </w:tc>
        <w:tc>
          <w:tcPr>
            <w:tcW w:w="4770" w:type="dxa"/>
            <w:vAlign w:val="center"/>
          </w:tcPr>
          <w:p w14:paraId="56B9621A" w14:textId="0A0913F6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Optional, used when collision avoidance is critical.</w:t>
            </w:r>
          </w:p>
        </w:tc>
      </w:tr>
      <w:tr w:rsidR="001D2585" w:rsidRPr="001D2585" w14:paraId="0466CF2E" w14:textId="77777777" w:rsidTr="001D2585">
        <w:trPr>
          <w:trHeight w:val="440"/>
        </w:trPr>
        <w:tc>
          <w:tcPr>
            <w:tcW w:w="2970" w:type="dxa"/>
            <w:shd w:val="clear" w:color="auto" w:fill="FAE2D5" w:themeFill="accent2" w:themeFillTint="33"/>
            <w:vAlign w:val="center"/>
          </w:tcPr>
          <w:p w14:paraId="032C4C21" w14:textId="5CF834E1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Purpose of IFS</w:t>
            </w:r>
          </w:p>
        </w:tc>
        <w:tc>
          <w:tcPr>
            <w:tcW w:w="4050" w:type="dxa"/>
            <w:vAlign w:val="center"/>
          </w:tcPr>
          <w:p w14:paraId="557149C8" w14:textId="6DC2863E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To provide a time delay between wireless transmissions, and to prioritize certain types of wireless traffic.</w:t>
            </w:r>
          </w:p>
        </w:tc>
        <w:tc>
          <w:tcPr>
            <w:tcW w:w="4770" w:type="dxa"/>
            <w:vAlign w:val="center"/>
          </w:tcPr>
          <w:p w14:paraId="7628558C" w14:textId="36CB9664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Not directly relevant. IFS is used in both CSMA/CA and RTS/CTS.</w:t>
            </w:r>
          </w:p>
        </w:tc>
      </w:tr>
      <w:tr w:rsidR="001D2585" w:rsidRPr="001D2585" w14:paraId="3419C43D" w14:textId="77777777" w:rsidTr="001D2585">
        <w:trPr>
          <w:trHeight w:val="440"/>
        </w:trPr>
        <w:tc>
          <w:tcPr>
            <w:tcW w:w="2970" w:type="dxa"/>
            <w:shd w:val="clear" w:color="auto" w:fill="FAE2D5" w:themeFill="accent2" w:themeFillTint="33"/>
            <w:vAlign w:val="center"/>
          </w:tcPr>
          <w:p w14:paraId="7726B9CD" w14:textId="616752BC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Purpose of backoff</w:t>
            </w:r>
          </w:p>
        </w:tc>
        <w:tc>
          <w:tcPr>
            <w:tcW w:w="4050" w:type="dxa"/>
            <w:vAlign w:val="center"/>
          </w:tcPr>
          <w:p w14:paraId="23B2E01D" w14:textId="071DDC4E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To provide a random time delay, to help avoid collisions when multiple stations try to transmit at the same time.</w:t>
            </w:r>
          </w:p>
        </w:tc>
        <w:tc>
          <w:tcPr>
            <w:tcW w:w="4770" w:type="dxa"/>
            <w:vAlign w:val="center"/>
          </w:tcPr>
          <w:p w14:paraId="204C8F14" w14:textId="134EA002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Not directly relevant. Backoff is used in both CSMA/CA and RTS/CTS.</w:t>
            </w:r>
          </w:p>
        </w:tc>
      </w:tr>
      <w:tr w:rsidR="001D2585" w:rsidRPr="001D2585" w14:paraId="6B6A77FE" w14:textId="77777777" w:rsidTr="001D2585">
        <w:trPr>
          <w:trHeight w:val="440"/>
        </w:trPr>
        <w:tc>
          <w:tcPr>
            <w:tcW w:w="2970" w:type="dxa"/>
            <w:shd w:val="clear" w:color="auto" w:fill="FAE2D5" w:themeFill="accent2" w:themeFillTint="33"/>
            <w:vAlign w:val="center"/>
          </w:tcPr>
          <w:p w14:paraId="5B8A270F" w14:textId="4DE8B420" w:rsidR="001D2585" w:rsidRPr="001D2585" w:rsidRDefault="001D2585" w:rsidP="001D2585">
            <w:pPr>
              <w:jc w:val="center"/>
              <w:rPr>
                <w:b/>
                <w:bCs/>
                <w:sz w:val="26"/>
                <w:szCs w:val="26"/>
              </w:rPr>
            </w:pPr>
            <w:r w:rsidRPr="001D2585">
              <w:rPr>
                <w:b/>
                <w:bCs/>
                <w:sz w:val="26"/>
                <w:szCs w:val="26"/>
              </w:rPr>
              <w:t>Hidden Node Problem</w:t>
            </w:r>
          </w:p>
        </w:tc>
        <w:tc>
          <w:tcPr>
            <w:tcW w:w="4050" w:type="dxa"/>
            <w:vAlign w:val="center"/>
          </w:tcPr>
          <w:p w14:paraId="5E094E8D" w14:textId="2E173DFC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Less effective against hidden node problems.</w:t>
            </w:r>
          </w:p>
        </w:tc>
        <w:tc>
          <w:tcPr>
            <w:tcW w:w="4770" w:type="dxa"/>
            <w:vAlign w:val="center"/>
          </w:tcPr>
          <w:p w14:paraId="26176AD7" w14:textId="700CEFCB" w:rsidR="001D2585" w:rsidRPr="001D2585" w:rsidRDefault="001D2585" w:rsidP="001D2585">
            <w:pPr>
              <w:rPr>
                <w:sz w:val="25"/>
                <w:szCs w:val="25"/>
              </w:rPr>
            </w:pPr>
            <w:r w:rsidRPr="001D2585">
              <w:rPr>
                <w:sz w:val="25"/>
                <w:szCs w:val="25"/>
              </w:rPr>
              <w:t>More effective against hidden node problems.</w:t>
            </w:r>
          </w:p>
        </w:tc>
      </w:tr>
    </w:tbl>
    <w:p w14:paraId="76CC2FD1" w14:textId="77777777" w:rsidR="001D2585" w:rsidRPr="001D2585" w:rsidRDefault="001D2585" w:rsidP="001D2585">
      <w:pPr>
        <w:rPr>
          <w:sz w:val="26"/>
          <w:szCs w:val="26"/>
        </w:rPr>
      </w:pPr>
    </w:p>
    <w:sectPr w:rsidR="001D2585" w:rsidRPr="001D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85"/>
    <w:rsid w:val="001D2585"/>
    <w:rsid w:val="0070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DA05"/>
  <w15:chartTrackingRefBased/>
  <w15:docId w15:val="{F5D41B81-8A00-4DA5-A419-6C81614E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2025-04-02T03:41:00Z</dcterms:created>
  <dcterms:modified xsi:type="dcterms:W3CDTF">2025-04-02T03:50:00Z</dcterms:modified>
</cp:coreProperties>
</file>