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Table 3.2 Data dictionary for OHLCV fields</w:t>
      </w:r>
    </w:p>
    <w:tbl>
      <w:tblPr>
        <w:tblStyle w:val="TableGrid"/>
        <w:tblW w:type="auto" w:w="0"/>
        <w:jc w:val="center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  <w:shd w:fill="1F4E79"/>
          </w:tcPr>
          <w:p>
            <w:r>
              <w:rPr>
                <w:b/>
                <w:color w:val="FFFFFF"/>
                <w:sz w:val="22"/>
              </w:rPr>
              <w:t>Column</w:t>
            </w:r>
          </w:p>
        </w:tc>
        <w:tc>
          <w:tcPr>
            <w:tcW w:type="dxa" w:w="4320"/>
            <w:shd w:fill="1F4E79"/>
          </w:tcPr>
          <w:p>
            <w:r>
              <w:rPr>
                <w:b/>
                <w:color w:val="FFFFFF"/>
                <w:sz w:val="22"/>
              </w:rPr>
              <w:t>Description</w:t>
            </w:r>
          </w:p>
        </w:tc>
      </w:tr>
      <w:tr>
        <w:tc>
          <w:tcPr>
            <w:tcW w:type="dxa" w:w="4320"/>
            <w:shd w:fill="D9E1F2"/>
          </w:tcPr>
          <w:p>
            <w:r>
              <w:t>Date</w:t>
            </w:r>
          </w:p>
        </w:tc>
        <w:tc>
          <w:tcPr>
            <w:tcW w:type="dxa" w:w="4320"/>
            <w:shd w:fill="D9E1F2"/>
          </w:tcPr>
          <w:p>
            <w:r>
              <w:t>Trading date in YYYY-MM-DD format (business-day frequency).</w:t>
            </w:r>
          </w:p>
        </w:tc>
      </w:tr>
      <w:tr>
        <w:tc>
          <w:tcPr>
            <w:tcW w:type="dxa" w:w="4320"/>
          </w:tcPr>
          <w:p>
            <w:r>
              <w:t>Open</w:t>
            </w:r>
          </w:p>
        </w:tc>
        <w:tc>
          <w:tcPr>
            <w:tcW w:type="dxa" w:w="4320"/>
          </w:tcPr>
          <w:p>
            <w:r>
              <w:t>The initial transaction price of the stock when the trading session begins.</w:t>
            </w:r>
          </w:p>
        </w:tc>
      </w:tr>
      <w:tr>
        <w:tc>
          <w:tcPr>
            <w:tcW w:type="dxa" w:w="4320"/>
            <w:shd w:fill="D9E1F2"/>
          </w:tcPr>
          <w:p>
            <w:r>
              <w:t>High</w:t>
            </w:r>
          </w:p>
        </w:tc>
        <w:tc>
          <w:tcPr>
            <w:tcW w:type="dxa" w:w="4320"/>
            <w:shd w:fill="D9E1F2"/>
          </w:tcPr>
          <w:p>
            <w:r>
              <w:t>The maximum price the stock achieved during the trading day.</w:t>
            </w:r>
          </w:p>
        </w:tc>
      </w:tr>
      <w:tr>
        <w:tc>
          <w:tcPr>
            <w:tcW w:type="dxa" w:w="4320"/>
          </w:tcPr>
          <w:p>
            <w:r>
              <w:t>Low</w:t>
            </w:r>
          </w:p>
        </w:tc>
        <w:tc>
          <w:tcPr>
            <w:tcW w:type="dxa" w:w="4320"/>
          </w:tcPr>
          <w:p>
            <w:r>
              <w:t>The minimum price the stock fell to at any point during the trading day.</w:t>
            </w:r>
          </w:p>
        </w:tc>
      </w:tr>
      <w:tr>
        <w:tc>
          <w:tcPr>
            <w:tcW w:type="dxa" w:w="4320"/>
            <w:shd w:fill="D9E1F2"/>
          </w:tcPr>
          <w:p>
            <w:r>
              <w:t>Close</w:t>
            </w:r>
          </w:p>
        </w:tc>
        <w:tc>
          <w:tcPr>
            <w:tcW w:type="dxa" w:w="4320"/>
            <w:shd w:fill="D9E1F2"/>
          </w:tcPr>
          <w:p>
            <w:r>
              <w:t>The final price at which the stock was exchanged before the market closed for the day.</w:t>
            </w:r>
          </w:p>
        </w:tc>
      </w:tr>
      <w:tr>
        <w:tc>
          <w:tcPr>
            <w:tcW w:type="dxa" w:w="4320"/>
          </w:tcPr>
          <w:p>
            <w:r>
              <w:t>Volume</w:t>
            </w:r>
          </w:p>
        </w:tc>
        <w:tc>
          <w:tcPr>
            <w:tcW w:type="dxa" w:w="4320"/>
          </w:tcPr>
          <w:p>
            <w:r>
              <w:t>The aggregate number of shares bought and sold throughout the trading day.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