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Table: Technical Indicators for Forecasting</w:t>
      </w:r>
    </w:p>
    <w:tbl>
      <w:tblPr>
        <w:tblStyle w:val="LightShading-Accent1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Indicator</w:t>
            </w:r>
          </w:p>
        </w:tc>
        <w:tc>
          <w:tcPr>
            <w:tcW w:type="dxa" w:w="2880"/>
          </w:tcPr>
          <w:p>
            <w:r>
              <w:t>Definition</w:t>
            </w:r>
          </w:p>
        </w:tc>
        <w:tc>
          <w:tcPr>
            <w:tcW w:type="dxa" w:w="2880"/>
          </w:tcPr>
          <w:p>
            <w:r>
              <w:t>Purpose in Forecasting</w:t>
            </w:r>
          </w:p>
        </w:tc>
      </w:tr>
      <w:tr>
        <w:tc>
          <w:tcPr>
            <w:tcW w:type="dxa" w:w="2880"/>
          </w:tcPr>
          <w:p>
            <w:r>
              <w:t>HCL3 (High–Close–Low Average)</w:t>
            </w:r>
          </w:p>
        </w:tc>
        <w:tc>
          <w:tcPr>
            <w:tcW w:type="dxa" w:w="2880"/>
          </w:tcPr>
          <w:p>
            <w:r>
              <w:t>Average of daily High, Close, and Low prices: (High + Close + Low) / 3</w:t>
            </w:r>
          </w:p>
        </w:tc>
        <w:tc>
          <w:tcPr>
            <w:tcW w:type="dxa" w:w="2880"/>
          </w:tcPr>
          <w:p>
            <w:r>
              <w:t>Provides a smoothed representative price level that reduces noise from intraday volatility.</w:t>
            </w:r>
          </w:p>
        </w:tc>
      </w:tr>
      <w:tr>
        <w:tc>
          <w:tcPr>
            <w:tcW w:type="dxa" w:w="2880"/>
          </w:tcPr>
          <w:p>
            <w:r>
              <w:t>SMA (Simple Moving Average, 5-day)</w:t>
            </w:r>
          </w:p>
        </w:tc>
        <w:tc>
          <w:tcPr>
            <w:tcW w:type="dxa" w:w="2880"/>
          </w:tcPr>
          <w:p>
            <w:r>
              <w:t>Arithmetic mean of closing prices over the last 5 days.</w:t>
            </w:r>
          </w:p>
        </w:tc>
        <w:tc>
          <w:tcPr>
            <w:tcW w:type="dxa" w:w="2880"/>
          </w:tcPr>
          <w:p>
            <w:r>
              <w:t>Captures short-term trend direction and momentum.</w:t>
            </w:r>
          </w:p>
        </w:tc>
      </w:tr>
      <w:tr>
        <w:tc>
          <w:tcPr>
            <w:tcW w:type="dxa" w:w="2880"/>
          </w:tcPr>
          <w:p>
            <w:r>
              <w:t>TEMA (Triple Exponential Moving Average, 12 &amp; 26-day)</w:t>
            </w:r>
          </w:p>
        </w:tc>
        <w:tc>
          <w:tcPr>
            <w:tcW w:type="dxa" w:w="2880"/>
          </w:tcPr>
          <w:p>
            <w:r>
              <w:t>Weighted average that applies three layers of exponential smoothing to reduce lag.</w:t>
            </w:r>
          </w:p>
        </w:tc>
        <w:tc>
          <w:tcPr>
            <w:tcW w:type="dxa" w:w="2880"/>
          </w:tcPr>
          <w:p>
            <w:r>
              <w:t>Provides responsive trend signals while minimizing lag compared to SMA/EMA.</w:t>
            </w:r>
          </w:p>
        </w:tc>
      </w:tr>
      <w:tr>
        <w:tc>
          <w:tcPr>
            <w:tcW w:type="dxa" w:w="2880"/>
          </w:tcPr>
          <w:p>
            <w:r>
              <w:t>RSI (Relative Strength Index, 14-day)</w:t>
            </w:r>
          </w:p>
        </w:tc>
        <w:tc>
          <w:tcPr>
            <w:tcW w:type="dxa" w:w="2880"/>
          </w:tcPr>
          <w:p>
            <w:r>
              <w:t>Momentum oscillator: RSI = 100 – 100 / (1 + RS), where RS = average gain ÷ average loss over 14 days.</w:t>
            </w:r>
          </w:p>
        </w:tc>
        <w:tc>
          <w:tcPr>
            <w:tcW w:type="dxa" w:w="2880"/>
          </w:tcPr>
          <w:p>
            <w:r>
              <w:t>Identifies overbought (&gt;70) or oversold (&lt;30) conditions, highlighting potential reversals.</w:t>
            </w:r>
          </w:p>
        </w:tc>
      </w:tr>
      <w:tr>
        <w:tc>
          <w:tcPr>
            <w:tcW w:type="dxa" w:w="2880"/>
          </w:tcPr>
          <w:p>
            <w:r>
              <w:t>Bollinger Bands (10- &amp; 20-day)</w:t>
            </w:r>
          </w:p>
        </w:tc>
        <w:tc>
          <w:tcPr>
            <w:tcW w:type="dxa" w:w="2880"/>
          </w:tcPr>
          <w:p>
            <w:r>
              <w:t>Constructed using a moving average ± (k × standard deviation).</w:t>
            </w:r>
          </w:p>
        </w:tc>
        <w:tc>
          <w:tcPr>
            <w:tcW w:type="dxa" w:w="2880"/>
          </w:tcPr>
          <w:p>
            <w:r>
              <w:t>Measures volatility and potential price breakouts relative to historical ranges.</w:t>
            </w:r>
          </w:p>
        </w:tc>
      </w:tr>
      <w:tr>
        <w:tc>
          <w:tcPr>
            <w:tcW w:type="dxa" w:w="2880"/>
          </w:tcPr>
          <w:p>
            <w:r>
              <w:t>Lagged Returns (1, 3, 5-day)</w:t>
            </w:r>
          </w:p>
        </w:tc>
        <w:tc>
          <w:tcPr>
            <w:tcW w:type="dxa" w:w="2880"/>
          </w:tcPr>
          <w:p>
            <w:r>
              <w:t>Past returns shifted by 1, 3, or 5 days.</w:t>
            </w:r>
          </w:p>
        </w:tc>
        <w:tc>
          <w:tcPr>
            <w:tcW w:type="dxa" w:w="2880"/>
          </w:tcPr>
          <w:p>
            <w:r>
              <w:t>Captures short-term autocorrelation and momentum effects in returns.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