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color w:val="52514E"/>
          <w:sz w:val="20"/>
          <w:szCs w:val="20"/>
        </w:rPr>
        <w:t xml:space="preserve">HIT-140 (2026) · Darwin · Group 21</w:t>
      </w:r>
    </w:p>
    <w:p>
      <w:pPr>
        <w:spacing w:after="80"/>
      </w:pPr>
      <w:r>
        <w:rPr>
          <w:rFonts w:ascii="Calibri" w:cs="Calibri" w:eastAsia="Calibri" w:hAnsi="Calibri"/>
          <w:b/>
          <w:bCs/>
          <w:color w:val="1F4E5F"/>
          <w:sz w:val="44"/>
          <w:szCs w:val="44"/>
        </w:rPr>
        <w:t xml:space="preserve">Task 4 — Pass Completion Rate</w:t>
      </w:r>
    </w:p>
    <w:p>
      <w:pPr>
        <w:spacing w:after="200"/>
      </w:pPr>
      <w:r>
        <w:rPr>
          <w:rFonts w:ascii="Calibri" w:cs="Calibri" w:eastAsia="Calibri" w:hAnsi="Calibri"/>
          <w:color w:val="52514E"/>
          <w:sz w:val="26"/>
          <w:szCs w:val="26"/>
        </w:rPr>
        <w:t xml:space="preserve">How the analysis was built, and why each decision was made</w:t>
      </w:r>
    </w:p>
    <w:p>
      <w:pPr>
        <w:pBdr>
          <w:bottom w:val="single" w:color="C3C2B7" w:sz="6" w:space="1"/>
        </w:pBdr>
        <w:spacing w:after="200" w:before="60"/>
      </w:pPr>
      <w:r>
        <w:rPr>
          <w:sz w:val="2"/>
          <w:szCs w:val="2"/>
        </w:rPr>
        <w:t xml:space="preserve"/>
      </w:r>
    </w:p>
    <w:p>
      <w:pPr>
        <w:spacing w:after="120" w:line="276"/>
      </w:pPr>
      <w:r>
        <w:rPr>
          <w:rFonts w:ascii="Calibri" w:cs="Calibri" w:eastAsia="Calibri" w:hAnsi="Calibri"/>
          <w:b/>
          <w:bCs/>
          <w:sz w:val="22"/>
          <w:szCs w:val="22"/>
        </w:rPr>
        <w:t xml:space="preserve">Variable:  </w:t>
      </w:r>
      <w:r>
        <w:rPr>
          <w:rFonts w:ascii="Calibri" w:cs="Calibri" w:eastAsia="Calibri" w:hAnsi="Calibri"/>
          <w:sz w:val="22"/>
          <w:szCs w:val="22"/>
        </w:rPr>
        <w:t xml:space="preserve">proportion of successful passes to total passes attempted, per player</w:t>
      </w:r>
    </w:p>
    <w:p>
      <w:pPr>
        <w:spacing w:after="120" w:line="276"/>
      </w:pPr>
      <w:r>
        <w:rPr>
          <w:rFonts w:ascii="Calibri" w:cs="Calibri" w:eastAsia="Calibri" w:hAnsi="Calibri"/>
          <w:b/>
          <w:bCs/>
          <w:sz w:val="22"/>
          <w:szCs w:val="22"/>
        </w:rPr>
        <w:t xml:space="preserve">Theme:  </w:t>
      </w:r>
      <w:r>
        <w:rPr>
          <w:rFonts w:ascii="Calibri" w:cs="Calibri" w:eastAsia="Calibri" w:hAnsi="Calibri"/>
          <w:sz w:val="22"/>
          <w:szCs w:val="22"/>
        </w:rPr>
        <w:t xml:space="preserve">Is Argentina truly the champion based on the ratio, despite the actual result against Spain?</w:t>
      </w:r>
    </w:p>
    <w:p>
      <w:pPr>
        <w:spacing w:after="120" w:line="276"/>
      </w:pPr>
      <w:r>
        <w:rPr>
          <w:rFonts w:ascii="Calibri" w:cs="Calibri" w:eastAsia="Calibri" w:hAnsi="Calibri"/>
          <w:b/>
          <w:bCs/>
          <w:sz w:val="22"/>
          <w:szCs w:val="22"/>
        </w:rPr>
        <w:t xml:space="preserve">Source:  </w:t>
      </w:r>
      <w:r>
        <w:rPr>
          <w:rFonts w:ascii="Calibri" w:cs="Calibri" w:eastAsia="Calibri" w:hAnsi="Calibri"/>
          <w:sz w:val="22"/>
          <w:szCs w:val="22"/>
        </w:rPr>
        <w:t xml:space="preserve">FIFA official player statistics, Distribution → Passes (FIFA, 2026a), extracted 1 September 2026</w:t>
      </w:r>
    </w:p>
    <w:p>
      <w:pPr>
        <w:spacing w:after="120" w:line="276"/>
      </w:pPr>
      <w:r>
        <w:rPr>
          <w:rFonts w:ascii="Calibri" w:cs="Calibri" w:eastAsia="Calibri" w:hAnsi="Calibri"/>
          <w:b/>
          <w:bCs/>
          <w:sz w:val="22"/>
          <w:szCs w:val="22"/>
        </w:rPr>
        <w:t xml:space="preserve">Author:  </w:t>
      </w:r>
      <w:r>
        <w:rPr>
          <w:rFonts w:ascii="Calibri" w:cs="Calibri" w:eastAsia="Calibri" w:hAnsi="Calibri"/>
          <w:sz w:val="22"/>
          <w:szCs w:val="22"/>
        </w:rPr>
        <w:t xml:space="preserve">Thi Ngoc Nhi Le (S408842)</w:t>
      </w:r>
    </w:p>
    <w:p>
      <w:pPr>
        <w:pStyle w:val="Heading1"/>
        <w:spacing w:after="160" w:before="340"/>
      </w:pPr>
      <w:r>
        <w:rPr>
          <w:rFonts w:ascii="Calibri" w:cs="Calibri" w:eastAsia="Calibri" w:hAnsi="Calibri"/>
          <w:b/>
          <w:bCs/>
          <w:color w:val="1F4E5F"/>
          <w:sz w:val="30"/>
          <w:szCs w:val="30"/>
        </w:rPr>
        <w:t xml:space="preserve">How to read this document</w:t>
      </w:r>
    </w:p>
    <w:p>
      <w:pPr>
        <w:spacing w:after="120" w:line="276"/>
      </w:pPr>
      <w:r>
        <w:rPr>
          <w:rFonts w:ascii="Calibri" w:cs="Calibri" w:eastAsia="Calibri" w:hAnsi="Calibri"/>
          <w:sz w:val="22"/>
          <w:szCs w:val="22"/>
        </w:rPr>
        <w:t xml:space="preserve">This document records the process, not just the outcome. Each of the eight steps is presented in the same order: why the step was necessary, what was discovered that forced a particular decision, how that decision was implemented, and what resulted.</w:t>
      </w:r>
    </w:p>
    <w:p>
      <w:pPr>
        <w:spacing w:after="120" w:line="276"/>
      </w:pPr>
      <w:r>
        <w:rPr>
          <w:rFonts w:ascii="Calibri" w:cs="Calibri" w:eastAsia="Calibri" w:hAnsi="Calibri"/>
          <w:sz w:val="22"/>
          <w:szCs w:val="22"/>
        </w:rPr>
        <w:t xml:space="preserve">That order is deliberate. A decision presented as a technical choice — “we filtered to twenty or more passes” — invites the reader to wonder whether a different filter would have suited the argument better. The same decision presented as the consequence of a discovery cannot be dismissed that way. Every choice below is therefore introduced by the observation that made it unavoidable.</w:t>
      </w:r>
    </w:p>
    <w:p>
      <w:pPr>
        <w:pStyle w:val="Heading1"/>
        <w:spacing w:after="160" w:before="340"/>
      </w:pPr>
      <w:r>
        <w:rPr>
          <w:rFonts w:ascii="Calibri" w:cs="Calibri" w:eastAsia="Calibri" w:hAnsi="Calibri"/>
          <w:b/>
          <w:bCs/>
          <w:color w:val="1F4E5F"/>
          <w:sz w:val="30"/>
          <w:szCs w:val="30"/>
        </w:rPr>
        <w:t xml:space="preserve">Step 1 — Obtaining the data</w:t>
      </w:r>
    </w:p>
    <w:p>
      <w:pPr>
        <w:spacing w:after="120" w:line="276"/>
      </w:pPr>
      <w:r>
        <w:rPr>
          <w:rFonts w:ascii="Calibri" w:cs="Calibri" w:eastAsia="Calibri" w:hAnsi="Calibri"/>
          <w:b/>
          <w:bCs/>
          <w:color w:val="1F4E5F"/>
          <w:sz w:val="22"/>
          <w:szCs w:val="22"/>
        </w:rPr>
        <w:t xml:space="preserve">WHY  </w:t>
      </w:r>
      <w:r>
        <w:rPr>
          <w:rFonts w:ascii="Calibri" w:cs="Calibri" w:eastAsia="Calibri" w:hAnsi="Calibri"/>
          <w:sz w:val="22"/>
          <w:szCs w:val="22"/>
        </w:rPr>
        <w:t xml:space="preserve">The question concerns how reliably players moved the ball, so the analysis needs per-player passing counts for the whole tournament. Three sources were permitted; the figures had to come from whichever of them actually carried that variable.</w:t>
      </w:r>
    </w:p>
    <w:p>
      <w:pPr>
        <w:spacing w:after="120" w:line="276"/>
      </w:pPr>
      <w:r>
        <w:rPr>
          <w:rFonts w:ascii="Calibri" w:cs="Calibri" w:eastAsia="Calibri" w:hAnsi="Calibri"/>
          <w:b/>
          <w:bCs/>
          <w:color w:val="1F4E5F"/>
          <w:sz w:val="22"/>
          <w:szCs w:val="22"/>
        </w:rPr>
        <w:t xml:space="preserve">STORY  </w:t>
      </w:r>
      <w:r>
        <w:rPr>
          <w:rFonts w:ascii="Calibri" w:cs="Calibri" w:eastAsia="Calibri" w:hAnsi="Calibri"/>
          <w:sz w:val="22"/>
          <w:szCs w:val="22"/>
        </w:rPr>
        <w:t xml:space="preserve">Football Reference (Sports Reference, 2026) — the source used by the other three tasks in the group — blocks automated access, returning a bot-verification challenge rather than data. This was not a preference but a constraint, and it produced the first lesson of the task: data being published is not the same as data being accessible. A study design that assumes one particular source can fail for reasons unrelated to the research question.</w:t>
      </w:r>
    </w:p>
    <w:p>
      <w:pPr>
        <w:spacing w:after="100" w:line="276"/>
      </w:pPr>
      <w:r>
        <w:rPr>
          <w:rFonts w:ascii="Calibri" w:cs="Calibri" w:eastAsia="Calibri" w:hAnsi="Calibri"/>
          <w:sz w:val="22"/>
          <w:szCs w:val="22"/>
        </w:rPr>
        <w:t xml:space="preserve">Three further obstacles at the FIFA source (FIFA, 2026a) each revealed something about the data:</w:t>
      </w:r>
    </w:p>
    <w:p>
      <w:pPr>
        <w:pStyle w:val="ListParagraph"/>
        <w:numPr>
          <w:ilvl w:val="0"/>
          <w:numId w:val="2"/>
        </w:numPr>
        <w:spacing w:after="80" w:line="276"/>
      </w:pPr>
      <w:r>
        <w:rPr>
          <w:rFonts w:ascii="Calibri" w:cs="Calibri" w:eastAsia="Calibri" w:hAnsi="Calibri"/>
          <w:sz w:val="22"/>
          <w:szCs w:val="22"/>
        </w:rPr>
        <w:t xml:space="preserve">The statistics page is a JavaScript application. The visible table is assembled in the browser, so only the fifty rows currently rendered can be copied from the screen; the complete table arrives through a paginated feed of twenty-five pages. Any approach based on copying the screen would have silently captured a fraction of the data — a fifty-row extract of the tournament’s highest-volume passers would have produced a plausible mean and a badly biased one.</w:t>
      </w:r>
    </w:p>
    <w:p>
      <w:pPr>
        <w:pStyle w:val="ListParagraph"/>
        <w:numPr>
          <w:ilvl w:val="0"/>
          <w:numId w:val="2"/>
        </w:numPr>
        <w:spacing w:after="80" w:line="276"/>
      </w:pPr>
      <w:r>
        <w:rPr>
          <w:rFonts w:ascii="Calibri" w:cs="Calibri" w:eastAsia="Calibri" w:hAnsi="Calibri"/>
          <w:sz w:val="22"/>
          <w:szCs w:val="22"/>
        </w:rPr>
        <w:t xml:space="preserve">There are two different passing tables on the same page. The first extraction returned forty-eight rows and appeared complete; it was the squad-level table. The player-level table sits further down with over a thousand rows. That dead end is how the unit-of-analysis problem in Step 3 was discovered.</w:t>
      </w:r>
    </w:p>
    <w:p>
      <w:pPr>
        <w:pStyle w:val="ListParagraph"/>
        <w:numPr>
          <w:ilvl w:val="0"/>
          <w:numId w:val="2"/>
        </w:numPr>
        <w:spacing w:after="80" w:line="276"/>
      </w:pPr>
      <w:r>
        <w:rPr>
          <w:rFonts w:ascii="Calibri" w:cs="Calibri" w:eastAsia="Calibri" w:hAnsi="Calibri"/>
          <w:sz w:val="22"/>
          <w:szCs w:val="22"/>
        </w:rPr>
        <w:t xml:space="preserve">The visible player count is misleading. The rank column stops at 1,023, but the table holds 1,242 rows. The explanation is informative: 223 squad members attempted no passes at all, and FIFA assigns every one of them the same bottom rank. The rank ceiling counts players who did something; the row count counts everyone named in a squad.</w:t>
      </w:r>
    </w:p>
    <w:p>
      <w:pPr>
        <w:spacing w:after="120" w:line="276"/>
      </w:pPr>
      <w:r>
        <w:rPr>
          <w:rFonts w:ascii="Calibri" w:cs="Calibri" w:eastAsia="Calibri" w:hAnsi="Calibri"/>
          <w:b/>
          <w:bCs/>
          <w:color w:val="1F4E5F"/>
          <w:sz w:val="22"/>
          <w:szCs w:val="22"/>
        </w:rPr>
        <w:t xml:space="preserve">HOW  </w:t>
      </w:r>
      <w:r>
        <w:rPr>
          <w:rFonts w:ascii="Calibri" w:cs="Calibri" w:eastAsia="Calibri" w:hAnsi="Calibri"/>
          <w:sz w:val="22"/>
          <w:szCs w:val="22"/>
        </w:rPr>
        <w:t xml:space="preserve">The paginated feed behind the page was read directly, twenty-five pages of fifty players, and the nested records flattened into a rectangular table.</w:t>
      </w:r>
    </w:p>
    <w:p>
      <w:pPr>
        <w:spacing w:after="120" w:line="276"/>
      </w:pPr>
      <w:r>
        <w:rPr>
          <w:rFonts w:ascii="Calibri" w:cs="Calibri" w:eastAsia="Calibri" w:hAnsi="Calibri"/>
          <w:b/>
          <w:bCs/>
          <w:color w:val="1F4E5F"/>
          <w:sz w:val="22"/>
          <w:szCs w:val="22"/>
        </w:rPr>
        <w:t xml:space="preserve">RESULT  </w:t>
      </w:r>
      <w:r>
        <w:rPr>
          <w:rFonts w:ascii="Calibri" w:cs="Calibri" w:eastAsia="Calibri" w:hAnsi="Calibri"/>
          <w:sz w:val="22"/>
          <w:szCs w:val="22"/>
        </w:rPr>
        <w:t xml:space="preserve">1,242 squad members across all 48 teams, of whom 1,019 attempted at least one pass.</w:t>
      </w:r>
    </w:p>
    <w:p>
      <w:pPr>
        <w:pStyle w:val="Heading2"/>
        <w:spacing w:after="120" w:before="240"/>
      </w:pPr>
      <w:r>
        <w:rPr>
          <w:rFonts w:ascii="Calibri" w:cs="Calibri" w:eastAsia="Calibri" w:hAnsi="Calibri"/>
          <w:b/>
          <w:bCs/>
          <w:color w:val="1F4E5F"/>
          <w:sz w:val="24"/>
          <w:szCs w:val="24"/>
        </w:rPr>
        <w:t xml:space="preserve">Verification, and a discovery</w:t>
      </w:r>
    </w:p>
    <w:p>
      <w:pPr>
        <w:spacing w:after="120" w:line="276"/>
      </w:pPr>
      <w:r>
        <w:rPr>
          <w:rFonts w:ascii="Calibri" w:cs="Calibri" w:eastAsia="Calibri" w:hAnsi="Calibri"/>
          <w:sz w:val="22"/>
          <w:szCs w:val="22"/>
        </w:rPr>
        <w:t xml:space="preserve">On 9 September the source was re-read independently and every figure re-verified: 1,242 rows, 1,019 players with at least one pass, 223 with none, rank ceiling 1,023, 48 teams, 571 UEFA and CONMEBOL players, 383 in the analysis population, 56,887 attempted passes. Not one value differed.</w:t>
      </w:r>
    </w:p>
    <w:p>
      <w:pPr>
        <w:spacing w:after="120" w:line="276"/>
      </w:pPr>
      <w:r>
        <w:rPr>
          <w:rFonts w:ascii="Calibri" w:cs="Calibri" w:eastAsia="Calibri" w:hAnsi="Calibri"/>
          <w:sz w:val="22"/>
          <w:szCs w:val="22"/>
        </w:rPr>
        <w:t xml:space="preserve">However, FIFA had by then removed two columns from the table, one of them the numerator of this task’s variable: </w:t>
      </w:r>
      <w:r>
        <w:rPr>
          <w:rFonts w:ascii="Calibri" w:cs="Calibri" w:eastAsia="Calibri" w:hAnsi="Calibri"/>
          <w:b/>
          <w:bCs/>
          <w:sz w:val="22"/>
          <w:szCs w:val="22"/>
        </w:rPr>
        <w:t xml:space="preserve">Passes Completed</w:t>
      </w:r>
      <w:r>
        <w:rPr>
          <w:rFonts w:ascii="Calibri" w:cs="Calibri" w:eastAsia="Calibri" w:hAnsi="Calibri"/>
          <w:sz w:val="22"/>
          <w:szCs w:val="22"/>
        </w:rPr>
        <w:t xml:space="preserve"> and </w:t>
      </w:r>
      <w:r>
        <w:rPr>
          <w:rFonts w:ascii="Calibri" w:cs="Calibri" w:eastAsia="Calibri" w:hAnsi="Calibri"/>
          <w:b/>
          <w:bCs/>
          <w:sz w:val="22"/>
          <w:szCs w:val="22"/>
        </w:rPr>
        <w:t xml:space="preserve">Take-Ons Completed</w:t>
      </w:r>
      <w:r>
        <w:rPr>
          <w:rFonts w:ascii="Calibri" w:cs="Calibri" w:eastAsia="Calibri" w:hAnsi="Calibri"/>
          <w:sz w:val="22"/>
          <w:szCs w:val="22"/>
        </w:rPr>
        <w:t xml:space="preserve"> no longer exist in either the rendered table or the underlying feed. Only attempted passes and an accuracy percentage rounded to a whole number remain.</w:t>
      </w:r>
    </w:p>
    <w:p>
      <w:pPr>
        <w:spacing w:after="120" w:line="276"/>
      </w:pPr>
      <w:r>
        <w:rPr>
          <w:rFonts w:ascii="Calibri" w:cs="Calibri" w:eastAsia="Calibri" w:hAnsi="Calibri"/>
          <w:sz w:val="22"/>
          <w:szCs w:val="22"/>
        </w:rPr>
        <w:t xml:space="preserve">Anyone extracting the data now must derive the numerator from that rounded percentage. For Rodri the exact figure is 747 of 799 (93.49%); derived from the integer rate it becomes 743 of 799 (92.99%) — an error of half a percentage point from rounding alone. The archived extract of 1 September is therefore retained as the authoritative record, because the exact completed-pass counts underlying this analysis can no longer be retrieved from the live source.</w:t>
      </w:r>
    </w:p>
    <w:p>
      <w:pPr>
        <w:pStyle w:val="Heading1"/>
        <w:spacing w:after="160" w:before="340"/>
      </w:pPr>
      <w:r>
        <w:rPr>
          <w:rFonts w:ascii="Calibri" w:cs="Calibri" w:eastAsia="Calibri" w:hAnsi="Calibri"/>
          <w:b/>
          <w:bCs/>
          <w:color w:val="1F4E5F"/>
          <w:sz w:val="30"/>
          <w:szCs w:val="30"/>
        </w:rPr>
        <w:t xml:space="preserve">Step 2 — Data wrangling</w:t>
      </w:r>
    </w:p>
    <w:p>
      <w:pPr>
        <w:spacing w:after="120" w:line="276"/>
      </w:pPr>
      <w:r>
        <w:rPr>
          <w:rFonts w:ascii="Calibri" w:cs="Calibri" w:eastAsia="Calibri" w:hAnsi="Calibri"/>
          <w:b/>
          <w:bCs/>
          <w:color w:val="1F4E5F"/>
          <w:sz w:val="22"/>
          <w:szCs w:val="22"/>
        </w:rPr>
        <w:t xml:space="preserve">WHY  </w:t>
      </w:r>
      <w:r>
        <w:rPr>
          <w:rFonts w:ascii="Calibri" w:cs="Calibri" w:eastAsia="Calibri" w:hAnsi="Calibri"/>
          <w:sz w:val="22"/>
          <w:szCs w:val="22"/>
        </w:rPr>
        <w:t xml:space="preserve">The raw extract is not analysable — not because it is dirty in the usual sense (there are no missing values and no duplicate players) but because it is shaped for display rather than for analysis. It arrives as nested records carrying fifty-five fields per player, and, critically, with no column to group by. This step asks what shape the data must take before a statistical question can be put to it at all.</w:t>
      </w:r>
    </w:p>
    <w:p>
      <w:pPr>
        <w:pStyle w:val="Heading2"/>
        <w:spacing w:after="120" w:before="240"/>
      </w:pPr>
      <w:r>
        <w:rPr>
          <w:rFonts w:ascii="Calibri" w:cs="Calibri" w:eastAsia="Calibri" w:hAnsi="Calibri"/>
          <w:b/>
          <w:bCs/>
          <w:color w:val="1F4E5F"/>
          <w:sz w:val="24"/>
          <w:szCs w:val="24"/>
        </w:rPr>
        <w:t xml:space="preserve">2.1  Retaining fifteen of fifty-five fields</w:t>
      </w:r>
    </w:p>
    <w:p>
      <w:pPr>
        <w:spacing w:after="120" w:line="276"/>
      </w:pPr>
      <w:r>
        <w:rPr>
          <w:rFonts w:ascii="Calibri" w:cs="Calibri" w:eastAsia="Calibri" w:hAnsi="Calibri"/>
          <w:b/>
          <w:bCs/>
          <w:color w:val="1F4E5F"/>
          <w:sz w:val="22"/>
          <w:szCs w:val="22"/>
        </w:rPr>
        <w:t xml:space="preserve">WHY  </w:t>
      </w:r>
      <w:r>
        <w:rPr>
          <w:rFonts w:ascii="Calibri" w:cs="Calibri" w:eastAsia="Calibri" w:hAnsi="Calibri"/>
          <w:sz w:val="22"/>
          <w:szCs w:val="22"/>
        </w:rPr>
        <w:t xml:space="preserve">Forty of the fifty-five fields are not data but presentation metadata: the player’s name in eleven languages, the team name in twelve, the position description in ten, image and flag URLs, badge colour codes, and a list of squad-match identifiers. None of them can ever be a variable.</w:t>
      </w:r>
    </w:p>
    <w:p>
      <w:pPr>
        <w:spacing w:after="120" w:line="276"/>
      </w:pPr>
      <w:r>
        <w:rPr>
          <w:rFonts w:ascii="Calibri" w:cs="Calibri" w:eastAsia="Calibri" w:hAnsi="Calibri"/>
          <w:sz w:val="22"/>
          <w:szCs w:val="22"/>
        </w:rPr>
        <w:t xml:space="preserve">The harder question was why not retain fewer — only the three fields the stated task requires. The honest answer is that at this stage it was not known which fields would matter. Crosses, defence-splitting passes and switches of play were kept speculatively because keeping them cost nothing, and they later produced the most substantial finding in the task (Step 8). Had the extract been trimmed to the three fields strictly needed, the analysis would have ended at “no significant difference”. The working principle: retain whatever is cheap to retain and might be data; discard only what can never be data.</w:t>
      </w:r>
    </w:p>
    <w:p>
      <w:pPr>
        <w:pStyle w:val="Heading2"/>
        <w:spacing w:after="120" w:before="240"/>
      </w:pPr>
      <w:r>
        <w:rPr>
          <w:rFonts w:ascii="Calibri" w:cs="Calibri" w:eastAsia="Calibri" w:hAnsi="Calibri"/>
          <w:b/>
          <w:bCs/>
          <w:color w:val="1F4E5F"/>
          <w:sz w:val="24"/>
          <w:szCs w:val="24"/>
        </w:rPr>
        <w:t xml:space="preserve">2.2  Building the grouping variable</w:t>
      </w:r>
    </w:p>
    <w:p>
      <w:pPr>
        <w:spacing w:after="120" w:line="276"/>
      </w:pPr>
      <w:r>
        <w:rPr>
          <w:rFonts w:ascii="Calibri" w:cs="Calibri" w:eastAsia="Calibri" w:hAnsi="Calibri"/>
          <w:b/>
          <w:bCs/>
          <w:color w:val="1F4E5F"/>
          <w:sz w:val="22"/>
          <w:szCs w:val="22"/>
        </w:rPr>
        <w:t xml:space="preserve">WHY  </w:t>
      </w:r>
      <w:r>
        <w:rPr>
          <w:rFonts w:ascii="Calibri" w:cs="Calibri" w:eastAsia="Calibri" w:hAnsi="Calibri"/>
          <w:sz w:val="22"/>
          <w:szCs w:val="22"/>
        </w:rPr>
        <w:t xml:space="preserve">FIFA supplies Country and never Confederation. The variable on which the entire analysis pivots does not exist in the source and had to be constructed. That is not a cleaning operation but an act of interpretation — a decision that “Spain” belongs to a category called “UEFA” — and because it was constructed by hand, it is the one column no source validation can check.</w:t>
      </w:r>
    </w:p>
    <w:p>
      <w:pPr>
        <w:spacing w:after="120" w:line="276"/>
      </w:pPr>
      <w:r>
        <w:rPr>
          <w:rFonts w:ascii="Calibri" w:cs="Calibri" w:eastAsia="Calibri" w:hAnsi="Calibri"/>
          <w:b/>
          <w:bCs/>
          <w:color w:val="1F4E5F"/>
          <w:sz w:val="22"/>
          <w:szCs w:val="22"/>
        </w:rPr>
        <w:t xml:space="preserve">STORY  </w:t>
      </w:r>
      <w:r>
        <w:rPr>
          <w:rFonts w:ascii="Calibri" w:cs="Calibri" w:eastAsia="Calibri" w:hAnsi="Calibri"/>
          <w:sz w:val="22"/>
          <w:szCs w:val="22"/>
        </w:rPr>
        <w:t xml:space="preserve">A hand-built mapping of forty-eight items carries no error signal. Had Morocco been typed as UEFA, nothing would break: the code would run, the analysis would produce numbers, and the numbers would be wrong. An external fact was needed as a checksum.</w:t>
      </w:r>
    </w:p>
    <w:p>
      <w:pPr>
        <w:spacing w:after="120" w:line="276"/>
      </w:pPr>
      <w:r>
        <w:rPr>
          <w:rFonts w:ascii="Calibri" w:cs="Calibri" w:eastAsia="Calibri" w:hAnsi="Calibri"/>
          <w:b/>
          <w:bCs/>
          <w:color w:val="1F4E5F"/>
          <w:sz w:val="22"/>
          <w:szCs w:val="22"/>
        </w:rPr>
        <w:t xml:space="preserve">HOW  </w:t>
      </w:r>
      <w:r>
        <w:rPr>
          <w:rFonts w:ascii="Calibri" w:cs="Calibri" w:eastAsia="Calibri" w:hAnsi="Calibri"/>
          <w:sz w:val="22"/>
          <w:szCs w:val="22"/>
        </w:rPr>
        <w:t xml:space="preserve">The mapping was validated against the known 2026 qualification allocation published by FIFA (2026b), which is independent of this dataset.</w:t>
      </w:r>
    </w:p>
    <w:tbl>
      <w:tblPr>
        <w:tblW w:type="dxa" w:w="9360"/>
        <w:tblBorders>
          <w:top w:val="single" w:color="C3C2B7" w:sz="4"/>
          <w:left w:val="none"/>
          <w:bottom w:val="single" w:color="C3C2B7" w:sz="4"/>
          <w:right w:val="none"/>
          <w:insideH w:val="single" w:color="E1E0D9" w:sz="2"/>
          <w:insideV w:val="none"/>
        </w:tblBorders>
      </w:tblPr>
      <w:tblGrid>
        <w:gridCol w:w="4841"/>
        <w:gridCol w:w="2259"/>
        <w:gridCol w:w="2259"/>
      </w:tblGrid>
      <w:tr>
        <w:trPr>
          <w:tblHeader/>
        </w:trPr>
        <w:tc>
          <w:tcPr>
            <w:tcW w:type="dxa" w:w="4841"/>
            <w:shd w:fill="F2F7FB" w:color="auto" w:val="clear"/>
            <w:tcMar>
              <w:top w:type="dxa" w:w="70"/>
              <w:left w:type="dxa" w:w="110"/>
              <w:bottom w:type="dxa" w:w="70"/>
              <w:right w:type="dxa" w:w="110"/>
            </w:tcMar>
          </w:tcPr>
          <w:p>
            <w:pPr>
              <w:spacing w:after="0" w:line="252"/>
            </w:pPr>
            <w:r>
              <w:rPr>
                <w:rFonts w:ascii="Calibri" w:cs="Calibri" w:eastAsia="Calibri" w:hAnsi="Calibri"/>
                <w:b/>
                <w:bCs/>
                <w:sz w:val="20"/>
                <w:szCs w:val="20"/>
              </w:rPr>
              <w:t xml:space="preserve">Confederation</w:t>
            </w:r>
          </w:p>
        </w:tc>
        <w:tc>
          <w:tcPr>
            <w:tcW w:type="dxa" w:w="2259"/>
            <w:shd w:fill="F2F7FB" w:color="auto" w:val="clear"/>
            <w:tcMar>
              <w:top w:type="dxa" w:w="70"/>
              <w:left w:type="dxa" w:w="110"/>
              <w:bottom w:type="dxa" w:w="70"/>
              <w:right w:type="dxa" w:w="110"/>
            </w:tcMar>
          </w:tcPr>
          <w:p>
            <w:pPr>
              <w:spacing w:after="0" w:line="252"/>
              <w:jc w:val="right"/>
            </w:pPr>
            <w:r>
              <w:rPr>
                <w:rFonts w:ascii="Calibri" w:cs="Calibri" w:eastAsia="Calibri" w:hAnsi="Calibri"/>
                <w:b/>
                <w:bCs/>
                <w:sz w:val="20"/>
                <w:szCs w:val="20"/>
              </w:rPr>
              <w:t xml:space="preserve">Expected slots</w:t>
            </w:r>
          </w:p>
        </w:tc>
        <w:tc>
          <w:tcPr>
            <w:tcW w:type="dxa" w:w="2259"/>
            <w:shd w:fill="F2F7FB" w:color="auto" w:val="clear"/>
            <w:tcMar>
              <w:top w:type="dxa" w:w="70"/>
              <w:left w:type="dxa" w:w="110"/>
              <w:bottom w:type="dxa" w:w="70"/>
              <w:right w:type="dxa" w:w="110"/>
            </w:tcMar>
          </w:tcPr>
          <w:p>
            <w:pPr>
              <w:spacing w:after="0" w:line="252"/>
              <w:jc w:val="right"/>
            </w:pPr>
            <w:r>
              <w:rPr>
                <w:rFonts w:ascii="Calibri" w:cs="Calibri" w:eastAsia="Calibri" w:hAnsi="Calibri"/>
                <w:b/>
                <w:bCs/>
                <w:sz w:val="20"/>
                <w:szCs w:val="20"/>
              </w:rPr>
              <w:t xml:space="preserve">In the data</w:t>
            </w:r>
          </w:p>
        </w:tc>
      </w:tr>
      <w:tr>
        <w:tc>
          <w:tcPr>
            <w:tcW w:type="dxa" w:w="4841"/>
            <w:tcMar>
              <w:top w:type="dxa" w:w="70"/>
              <w:left w:type="dxa" w:w="110"/>
              <w:bottom w:type="dxa" w:w="70"/>
              <w:right w:type="dxa" w:w="110"/>
            </w:tcMar>
          </w:tcPr>
          <w:p>
            <w:pPr>
              <w:spacing w:after="0" w:line="252"/>
            </w:pPr>
            <w:r>
              <w:rPr>
                <w:rFonts w:ascii="Calibri" w:cs="Calibri" w:eastAsia="Calibri" w:hAnsi="Calibri"/>
                <w:b w:val="false"/>
                <w:bCs w:val="false"/>
                <w:sz w:val="20"/>
                <w:szCs w:val="20"/>
              </w:rPr>
              <w:t xml:space="preserve">UEFA</w:t>
            </w:r>
          </w:p>
        </w:tc>
        <w:tc>
          <w:tcPr>
            <w:tcW w:type="dxa" w:w="2259"/>
            <w:tcMar>
              <w:top w:type="dxa" w:w="70"/>
              <w:left w:type="dxa" w:w="110"/>
              <w:bottom w:type="dxa" w:w="70"/>
              <w:right w:type="dxa" w:w="110"/>
            </w:tcMar>
          </w:tcPr>
          <w:p>
            <w:pPr>
              <w:spacing w:after="0" w:line="252"/>
              <w:jc w:val="right"/>
            </w:pPr>
            <w:r>
              <w:rPr>
                <w:rFonts w:ascii="Calibri" w:cs="Calibri" w:eastAsia="Calibri" w:hAnsi="Calibri"/>
                <w:b w:val="false"/>
                <w:bCs w:val="false"/>
                <w:sz w:val="20"/>
                <w:szCs w:val="20"/>
              </w:rPr>
              <w:t xml:space="preserve">16</w:t>
            </w:r>
          </w:p>
        </w:tc>
        <w:tc>
          <w:tcPr>
            <w:tcW w:type="dxa" w:w="2259"/>
            <w:tcMar>
              <w:top w:type="dxa" w:w="70"/>
              <w:left w:type="dxa" w:w="110"/>
              <w:bottom w:type="dxa" w:w="70"/>
              <w:right w:type="dxa" w:w="110"/>
            </w:tcMar>
          </w:tcPr>
          <w:p>
            <w:pPr>
              <w:spacing w:after="0" w:line="252"/>
              <w:jc w:val="right"/>
            </w:pPr>
            <w:r>
              <w:rPr>
                <w:rFonts w:ascii="Calibri" w:cs="Calibri" w:eastAsia="Calibri" w:hAnsi="Calibri"/>
                <w:b w:val="false"/>
                <w:bCs w:val="false"/>
                <w:sz w:val="20"/>
                <w:szCs w:val="20"/>
              </w:rPr>
              <w:t xml:space="preserve">16</w:t>
            </w:r>
          </w:p>
        </w:tc>
      </w:tr>
      <w:tr>
        <w:tc>
          <w:tcPr>
            <w:tcW w:type="dxa" w:w="4841"/>
            <w:tcMar>
              <w:top w:type="dxa" w:w="70"/>
              <w:left w:type="dxa" w:w="110"/>
              <w:bottom w:type="dxa" w:w="70"/>
              <w:right w:type="dxa" w:w="110"/>
            </w:tcMar>
          </w:tcPr>
          <w:p>
            <w:pPr>
              <w:spacing w:after="0" w:line="252"/>
            </w:pPr>
            <w:r>
              <w:rPr>
                <w:rFonts w:ascii="Calibri" w:cs="Calibri" w:eastAsia="Calibri" w:hAnsi="Calibri"/>
                <w:b w:val="false"/>
                <w:bCs w:val="false"/>
                <w:sz w:val="20"/>
                <w:szCs w:val="20"/>
              </w:rPr>
              <w:t xml:space="preserve">CAF</w:t>
            </w:r>
          </w:p>
        </w:tc>
        <w:tc>
          <w:tcPr>
            <w:tcW w:type="dxa" w:w="2259"/>
            <w:tcMar>
              <w:top w:type="dxa" w:w="70"/>
              <w:left w:type="dxa" w:w="110"/>
              <w:bottom w:type="dxa" w:w="70"/>
              <w:right w:type="dxa" w:w="110"/>
            </w:tcMar>
          </w:tcPr>
          <w:p>
            <w:pPr>
              <w:spacing w:after="0" w:line="252"/>
              <w:jc w:val="right"/>
            </w:pPr>
            <w:r>
              <w:rPr>
                <w:rFonts w:ascii="Calibri" w:cs="Calibri" w:eastAsia="Calibri" w:hAnsi="Calibri"/>
                <w:b w:val="false"/>
                <w:bCs w:val="false"/>
                <w:sz w:val="20"/>
                <w:szCs w:val="20"/>
              </w:rPr>
              <w:t xml:space="preserve">10</w:t>
            </w:r>
          </w:p>
        </w:tc>
        <w:tc>
          <w:tcPr>
            <w:tcW w:type="dxa" w:w="2259"/>
            <w:tcMar>
              <w:top w:type="dxa" w:w="70"/>
              <w:left w:type="dxa" w:w="110"/>
              <w:bottom w:type="dxa" w:w="70"/>
              <w:right w:type="dxa" w:w="110"/>
            </w:tcMar>
          </w:tcPr>
          <w:p>
            <w:pPr>
              <w:spacing w:after="0" w:line="252"/>
              <w:jc w:val="right"/>
            </w:pPr>
            <w:r>
              <w:rPr>
                <w:rFonts w:ascii="Calibri" w:cs="Calibri" w:eastAsia="Calibri" w:hAnsi="Calibri"/>
                <w:b w:val="false"/>
                <w:bCs w:val="false"/>
                <w:sz w:val="20"/>
                <w:szCs w:val="20"/>
              </w:rPr>
              <w:t xml:space="preserve">10</w:t>
            </w:r>
          </w:p>
        </w:tc>
      </w:tr>
      <w:tr>
        <w:tc>
          <w:tcPr>
            <w:tcW w:type="dxa" w:w="4841"/>
            <w:tcMar>
              <w:top w:type="dxa" w:w="70"/>
              <w:left w:type="dxa" w:w="110"/>
              <w:bottom w:type="dxa" w:w="70"/>
              <w:right w:type="dxa" w:w="110"/>
            </w:tcMar>
          </w:tcPr>
          <w:p>
            <w:pPr>
              <w:spacing w:after="0" w:line="252"/>
            </w:pPr>
            <w:r>
              <w:rPr>
                <w:rFonts w:ascii="Calibri" w:cs="Calibri" w:eastAsia="Calibri" w:hAnsi="Calibri"/>
                <w:b w:val="false"/>
                <w:bCs w:val="false"/>
                <w:sz w:val="20"/>
                <w:szCs w:val="20"/>
              </w:rPr>
              <w:t xml:space="preserve">AFC</w:t>
            </w:r>
          </w:p>
        </w:tc>
        <w:tc>
          <w:tcPr>
            <w:tcW w:type="dxa" w:w="2259"/>
            <w:tcMar>
              <w:top w:type="dxa" w:w="70"/>
              <w:left w:type="dxa" w:w="110"/>
              <w:bottom w:type="dxa" w:w="70"/>
              <w:right w:type="dxa" w:w="110"/>
            </w:tcMar>
          </w:tcPr>
          <w:p>
            <w:pPr>
              <w:spacing w:after="0" w:line="252"/>
              <w:jc w:val="right"/>
            </w:pPr>
            <w:r>
              <w:rPr>
                <w:rFonts w:ascii="Calibri" w:cs="Calibri" w:eastAsia="Calibri" w:hAnsi="Calibri"/>
                <w:b w:val="false"/>
                <w:bCs w:val="false"/>
                <w:sz w:val="20"/>
                <w:szCs w:val="20"/>
              </w:rPr>
              <w:t xml:space="preserve">9</w:t>
            </w:r>
          </w:p>
        </w:tc>
        <w:tc>
          <w:tcPr>
            <w:tcW w:type="dxa" w:w="2259"/>
            <w:tcMar>
              <w:top w:type="dxa" w:w="70"/>
              <w:left w:type="dxa" w:w="110"/>
              <w:bottom w:type="dxa" w:w="70"/>
              <w:right w:type="dxa" w:w="110"/>
            </w:tcMar>
          </w:tcPr>
          <w:p>
            <w:pPr>
              <w:spacing w:after="0" w:line="252"/>
              <w:jc w:val="right"/>
            </w:pPr>
            <w:r>
              <w:rPr>
                <w:rFonts w:ascii="Calibri" w:cs="Calibri" w:eastAsia="Calibri" w:hAnsi="Calibri"/>
                <w:b w:val="false"/>
                <w:bCs w:val="false"/>
                <w:sz w:val="20"/>
                <w:szCs w:val="20"/>
              </w:rPr>
              <w:t xml:space="preserve">9</w:t>
            </w:r>
          </w:p>
        </w:tc>
      </w:tr>
      <w:tr>
        <w:tc>
          <w:tcPr>
            <w:tcW w:type="dxa" w:w="4841"/>
            <w:tcMar>
              <w:top w:type="dxa" w:w="70"/>
              <w:left w:type="dxa" w:w="110"/>
              <w:bottom w:type="dxa" w:w="70"/>
              <w:right w:type="dxa" w:w="110"/>
            </w:tcMar>
          </w:tcPr>
          <w:p>
            <w:pPr>
              <w:spacing w:after="0" w:line="252"/>
            </w:pPr>
            <w:r>
              <w:rPr>
                <w:rFonts w:ascii="Calibri" w:cs="Calibri" w:eastAsia="Calibri" w:hAnsi="Calibri"/>
                <w:b w:val="false"/>
                <w:bCs w:val="false"/>
                <w:sz w:val="20"/>
                <w:szCs w:val="20"/>
              </w:rPr>
              <w:t xml:space="preserve">CONCACAF</w:t>
            </w:r>
          </w:p>
        </w:tc>
        <w:tc>
          <w:tcPr>
            <w:tcW w:type="dxa" w:w="2259"/>
            <w:tcMar>
              <w:top w:type="dxa" w:w="70"/>
              <w:left w:type="dxa" w:w="110"/>
              <w:bottom w:type="dxa" w:w="70"/>
              <w:right w:type="dxa" w:w="110"/>
            </w:tcMar>
          </w:tcPr>
          <w:p>
            <w:pPr>
              <w:spacing w:after="0" w:line="252"/>
              <w:jc w:val="right"/>
            </w:pPr>
            <w:r>
              <w:rPr>
                <w:rFonts w:ascii="Calibri" w:cs="Calibri" w:eastAsia="Calibri" w:hAnsi="Calibri"/>
                <w:b w:val="false"/>
                <w:bCs w:val="false"/>
                <w:sz w:val="20"/>
                <w:szCs w:val="20"/>
              </w:rPr>
              <w:t xml:space="preserve">6</w:t>
            </w:r>
          </w:p>
        </w:tc>
        <w:tc>
          <w:tcPr>
            <w:tcW w:type="dxa" w:w="2259"/>
            <w:tcMar>
              <w:top w:type="dxa" w:w="70"/>
              <w:left w:type="dxa" w:w="110"/>
              <w:bottom w:type="dxa" w:w="70"/>
              <w:right w:type="dxa" w:w="110"/>
            </w:tcMar>
          </w:tcPr>
          <w:p>
            <w:pPr>
              <w:spacing w:after="0" w:line="252"/>
              <w:jc w:val="right"/>
            </w:pPr>
            <w:r>
              <w:rPr>
                <w:rFonts w:ascii="Calibri" w:cs="Calibri" w:eastAsia="Calibri" w:hAnsi="Calibri"/>
                <w:b w:val="false"/>
                <w:bCs w:val="false"/>
                <w:sz w:val="20"/>
                <w:szCs w:val="20"/>
              </w:rPr>
              <w:t xml:space="preserve">6</w:t>
            </w:r>
          </w:p>
        </w:tc>
      </w:tr>
      <w:tr>
        <w:tc>
          <w:tcPr>
            <w:tcW w:type="dxa" w:w="4841"/>
            <w:tcMar>
              <w:top w:type="dxa" w:w="70"/>
              <w:left w:type="dxa" w:w="110"/>
              <w:bottom w:type="dxa" w:w="70"/>
              <w:right w:type="dxa" w:w="110"/>
            </w:tcMar>
          </w:tcPr>
          <w:p>
            <w:pPr>
              <w:spacing w:after="0" w:line="252"/>
            </w:pPr>
            <w:r>
              <w:rPr>
                <w:rFonts w:ascii="Calibri" w:cs="Calibri" w:eastAsia="Calibri" w:hAnsi="Calibri"/>
                <w:b w:val="false"/>
                <w:bCs w:val="false"/>
                <w:sz w:val="20"/>
                <w:szCs w:val="20"/>
              </w:rPr>
              <w:t xml:space="preserve">CONMEBOL</w:t>
            </w:r>
          </w:p>
        </w:tc>
        <w:tc>
          <w:tcPr>
            <w:tcW w:type="dxa" w:w="2259"/>
            <w:tcMar>
              <w:top w:type="dxa" w:w="70"/>
              <w:left w:type="dxa" w:w="110"/>
              <w:bottom w:type="dxa" w:w="70"/>
              <w:right w:type="dxa" w:w="110"/>
            </w:tcMar>
          </w:tcPr>
          <w:p>
            <w:pPr>
              <w:spacing w:after="0" w:line="252"/>
              <w:jc w:val="right"/>
            </w:pPr>
            <w:r>
              <w:rPr>
                <w:rFonts w:ascii="Calibri" w:cs="Calibri" w:eastAsia="Calibri" w:hAnsi="Calibri"/>
                <w:b w:val="false"/>
                <w:bCs w:val="false"/>
                <w:sz w:val="20"/>
                <w:szCs w:val="20"/>
              </w:rPr>
              <w:t xml:space="preserve">6</w:t>
            </w:r>
          </w:p>
        </w:tc>
        <w:tc>
          <w:tcPr>
            <w:tcW w:type="dxa" w:w="2259"/>
            <w:tcMar>
              <w:top w:type="dxa" w:w="70"/>
              <w:left w:type="dxa" w:w="110"/>
              <w:bottom w:type="dxa" w:w="70"/>
              <w:right w:type="dxa" w:w="110"/>
            </w:tcMar>
          </w:tcPr>
          <w:p>
            <w:pPr>
              <w:spacing w:after="0" w:line="252"/>
              <w:jc w:val="right"/>
            </w:pPr>
            <w:r>
              <w:rPr>
                <w:rFonts w:ascii="Calibri" w:cs="Calibri" w:eastAsia="Calibri" w:hAnsi="Calibri"/>
                <w:b w:val="false"/>
                <w:bCs w:val="false"/>
                <w:sz w:val="20"/>
                <w:szCs w:val="20"/>
              </w:rPr>
              <w:t xml:space="preserve">6</w:t>
            </w:r>
          </w:p>
        </w:tc>
      </w:tr>
      <w:tr>
        <w:tc>
          <w:tcPr>
            <w:tcW w:type="dxa" w:w="4841"/>
            <w:tcMar>
              <w:top w:type="dxa" w:w="70"/>
              <w:left w:type="dxa" w:w="110"/>
              <w:bottom w:type="dxa" w:w="70"/>
              <w:right w:type="dxa" w:w="110"/>
            </w:tcMar>
          </w:tcPr>
          <w:p>
            <w:pPr>
              <w:spacing w:after="0" w:line="252"/>
            </w:pPr>
            <w:r>
              <w:rPr>
                <w:rFonts w:ascii="Calibri" w:cs="Calibri" w:eastAsia="Calibri" w:hAnsi="Calibri"/>
                <w:b w:val="false"/>
                <w:bCs w:val="false"/>
                <w:sz w:val="20"/>
                <w:szCs w:val="20"/>
              </w:rPr>
              <w:t xml:space="preserve">OFC</w:t>
            </w:r>
          </w:p>
        </w:tc>
        <w:tc>
          <w:tcPr>
            <w:tcW w:type="dxa" w:w="2259"/>
            <w:tcMar>
              <w:top w:type="dxa" w:w="70"/>
              <w:left w:type="dxa" w:w="110"/>
              <w:bottom w:type="dxa" w:w="70"/>
              <w:right w:type="dxa" w:w="110"/>
            </w:tcMar>
          </w:tcPr>
          <w:p>
            <w:pPr>
              <w:spacing w:after="0" w:line="252"/>
              <w:jc w:val="right"/>
            </w:pPr>
            <w:r>
              <w:rPr>
                <w:rFonts w:ascii="Calibri" w:cs="Calibri" w:eastAsia="Calibri" w:hAnsi="Calibri"/>
                <w:b w:val="false"/>
                <w:bCs w:val="false"/>
                <w:sz w:val="20"/>
                <w:szCs w:val="20"/>
              </w:rPr>
              <w:t xml:space="preserve">1</w:t>
            </w:r>
          </w:p>
        </w:tc>
        <w:tc>
          <w:tcPr>
            <w:tcW w:type="dxa" w:w="2259"/>
            <w:tcMar>
              <w:top w:type="dxa" w:w="70"/>
              <w:left w:type="dxa" w:w="110"/>
              <w:bottom w:type="dxa" w:w="70"/>
              <w:right w:type="dxa" w:w="110"/>
            </w:tcMar>
          </w:tcPr>
          <w:p>
            <w:pPr>
              <w:spacing w:after="0" w:line="252"/>
              <w:jc w:val="right"/>
            </w:pPr>
            <w:r>
              <w:rPr>
                <w:rFonts w:ascii="Calibri" w:cs="Calibri" w:eastAsia="Calibri" w:hAnsi="Calibri"/>
                <w:b w:val="false"/>
                <w:bCs w:val="false"/>
                <w:sz w:val="20"/>
                <w:szCs w:val="20"/>
              </w:rPr>
              <w:t xml:space="preserve">1</w:t>
            </w:r>
          </w:p>
        </w:tc>
      </w:tr>
      <w:tr>
        <w:tc>
          <w:tcPr>
            <w:tcW w:type="dxa" w:w="4841"/>
            <w:tcMar>
              <w:top w:type="dxa" w:w="70"/>
              <w:left w:type="dxa" w:w="110"/>
              <w:bottom w:type="dxa" w:w="70"/>
              <w:right w:type="dxa" w:w="110"/>
            </w:tcMar>
          </w:tcPr>
          <w:p>
            <w:pPr>
              <w:spacing w:after="0" w:line="252"/>
            </w:pPr>
            <w:r>
              <w:rPr>
                <w:rFonts w:ascii="Calibri" w:cs="Calibri" w:eastAsia="Calibri" w:hAnsi="Calibri"/>
                <w:b w:val="false"/>
                <w:bCs w:val="false"/>
                <w:sz w:val="20"/>
                <w:szCs w:val="20"/>
              </w:rPr>
              <w:t xml:space="preserve">Total</w:t>
            </w:r>
          </w:p>
        </w:tc>
        <w:tc>
          <w:tcPr>
            <w:tcW w:type="dxa" w:w="2259"/>
            <w:tcMar>
              <w:top w:type="dxa" w:w="70"/>
              <w:left w:type="dxa" w:w="110"/>
              <w:bottom w:type="dxa" w:w="70"/>
              <w:right w:type="dxa" w:w="110"/>
            </w:tcMar>
          </w:tcPr>
          <w:p>
            <w:pPr>
              <w:spacing w:after="0" w:line="252"/>
              <w:jc w:val="right"/>
            </w:pPr>
            <w:r>
              <w:rPr>
                <w:rFonts w:ascii="Calibri" w:cs="Calibri" w:eastAsia="Calibri" w:hAnsi="Calibri"/>
                <w:b w:val="false"/>
                <w:bCs w:val="false"/>
                <w:sz w:val="20"/>
                <w:szCs w:val="20"/>
              </w:rPr>
              <w:t xml:space="preserve">48</w:t>
            </w:r>
          </w:p>
        </w:tc>
        <w:tc>
          <w:tcPr>
            <w:tcW w:type="dxa" w:w="2259"/>
            <w:tcMar>
              <w:top w:type="dxa" w:w="70"/>
              <w:left w:type="dxa" w:w="110"/>
              <w:bottom w:type="dxa" w:w="70"/>
              <w:right w:type="dxa" w:w="110"/>
            </w:tcMar>
          </w:tcPr>
          <w:p>
            <w:pPr>
              <w:spacing w:after="0" w:line="252"/>
              <w:jc w:val="right"/>
            </w:pPr>
            <w:r>
              <w:rPr>
                <w:rFonts w:ascii="Calibri" w:cs="Calibri" w:eastAsia="Calibri" w:hAnsi="Calibri"/>
                <w:b w:val="false"/>
                <w:bCs w:val="false"/>
                <w:sz w:val="20"/>
                <w:szCs w:val="20"/>
              </w:rPr>
              <w:t xml:space="preserve">48</w:t>
            </w:r>
          </w:p>
        </w:tc>
      </w:tr>
    </w:tbl>
    <w:p>
      <w:pPr>
        <w:spacing w:after="220" w:before="60"/>
      </w:pPr>
      <w:r>
        <w:rPr>
          <w:rFonts w:ascii="Calibri" w:cs="Calibri" w:eastAsia="Calibri" w:hAnsi="Calibri"/>
          <w:i/>
          <w:iCs/>
          <w:color w:val="52514E"/>
          <w:sz w:val="18"/>
          <w:szCs w:val="18"/>
        </w:rPr>
        <w:t xml:space="preserve">CONCACAF’s six comprise three host nations and three qualifiers; CAF’s ten and AFC’s nine include the two inter-confederation playoff places. Every count matched, and no country was left unmapped.</w:t>
      </w:r>
    </w:p>
    <w:p>
      <w:pPr>
        <w:pStyle w:val="Heading2"/>
        <w:spacing w:after="120" w:before="240"/>
      </w:pPr>
      <w:r>
        <w:rPr>
          <w:rFonts w:ascii="Calibri" w:cs="Calibri" w:eastAsia="Calibri" w:hAnsi="Calibri"/>
          <w:b/>
          <w:bCs/>
          <w:color w:val="1F4E5F"/>
          <w:sz w:val="24"/>
          <w:szCs w:val="24"/>
        </w:rPr>
        <w:t xml:space="preserve">2.3  Deriving the variable</w:t>
      </w:r>
    </w:p>
    <w:p>
      <w:pPr>
        <w:spacing w:after="120" w:line="276"/>
      </w:pPr>
      <w:r>
        <w:rPr>
          <w:rFonts w:ascii="Calibri" w:cs="Calibri" w:eastAsia="Calibri" w:hAnsi="Calibri"/>
          <w:b/>
          <w:bCs/>
          <w:color w:val="1F4E5F"/>
          <w:sz w:val="22"/>
          <w:szCs w:val="22"/>
        </w:rPr>
        <w:t xml:space="preserve">WHY  </w:t>
      </w:r>
      <w:r>
        <w:rPr>
          <w:rFonts w:ascii="Calibri" w:cs="Calibri" w:eastAsia="Calibri" w:hAnsi="Calibri"/>
          <w:sz w:val="22"/>
          <w:szCs w:val="22"/>
        </w:rPr>
        <w:t xml:space="preserve">FIFA publishes an accuracy column, but rounded to whole numbers. The difference being measured between the two confederations is 1.58 percentage points; the rounding error is up to 0.50 points per player — roughly thirty-two per cent of the signal. Precision here is not fastidiousness but proportionality to the size of the effect.</w:t>
      </w:r>
    </w:p>
    <w:p>
      <w:pPr>
        <w:spacing w:after="120" w:line="276"/>
      </w:pPr>
      <w:r>
        <w:rPr>
          <w:rFonts w:ascii="Calibri" w:cs="Calibri" w:eastAsia="Calibri" w:hAnsi="Calibri"/>
          <w:b/>
          <w:bCs/>
          <w:color w:val="1F4E5F"/>
          <w:sz w:val="22"/>
          <w:szCs w:val="22"/>
        </w:rPr>
        <w:t xml:space="preserve">HOW  </w:t>
      </w:r>
      <w:r>
        <w:rPr>
          <w:rFonts w:ascii="Calibri" w:cs="Calibri" w:eastAsia="Calibri" w:hAnsi="Calibri"/>
          <w:sz w:val="22"/>
          <w:szCs w:val="22"/>
        </w:rPr>
        <w:t xml:space="preserve">Cmp_pct = passes completed ÷ passes attempted × 100, computed from the exact integer counts to two decimal places.</w:t>
      </w:r>
    </w:p>
    <w:p>
      <w:pPr>
        <w:spacing w:after="100" w:line="276"/>
      </w:pPr>
      <w:r>
        <w:rPr>
          <w:rFonts w:ascii="Calibri" w:cs="Calibri" w:eastAsia="Calibri" w:hAnsi="Calibri"/>
          <w:sz w:val="22"/>
          <w:szCs w:val="22"/>
        </w:rPr>
        <w:t xml:space="preserve">Run both ways on the same sample, the conclusion is unchanged but every reported figure shifts:</w:t>
      </w:r>
    </w:p>
    <w:tbl>
      <w:tblPr>
        <w:tblW w:type="dxa" w:w="9360"/>
        <w:tblBorders>
          <w:top w:val="single" w:color="C3C2B7" w:sz="4"/>
          <w:left w:val="none"/>
          <w:bottom w:val="single" w:color="C3C2B7" w:sz="4"/>
          <w:right w:val="none"/>
          <w:insideH w:val="single" w:color="E1E0D9" w:sz="2"/>
          <w:insideV w:val="none"/>
        </w:tblBorders>
      </w:tblPr>
      <w:tblGrid>
        <w:gridCol w:w="3510"/>
        <w:gridCol w:w="1170"/>
        <w:gridCol w:w="1404"/>
        <w:gridCol w:w="1170"/>
        <w:gridCol w:w="1053"/>
        <w:gridCol w:w="1053"/>
      </w:tblGrid>
      <w:tr>
        <w:trPr>
          <w:tblHeader/>
        </w:trPr>
        <w:tc>
          <w:tcPr>
            <w:tcW w:type="dxa" w:w="3510"/>
            <w:shd w:fill="F2F7FB" w:color="auto" w:val="clear"/>
            <w:tcMar>
              <w:top w:type="dxa" w:w="70"/>
              <w:left w:type="dxa" w:w="110"/>
              <w:bottom w:type="dxa" w:w="70"/>
              <w:right w:type="dxa" w:w="110"/>
            </w:tcMar>
          </w:tcPr>
          <w:p>
            <w:pPr>
              <w:spacing w:after="0" w:line="252"/>
            </w:pPr>
            <w:r>
              <w:rPr>
                <w:rFonts w:ascii="Calibri" w:cs="Calibri" w:eastAsia="Calibri" w:hAnsi="Calibri"/>
                <w:b/>
                <w:bCs/>
                <w:sz w:val="20"/>
                <w:szCs w:val="20"/>
              </w:rPr>
              <w:t xml:space="preserve">Ratio source</w:t>
            </w:r>
          </w:p>
        </w:tc>
        <w:tc>
          <w:tcPr>
            <w:tcW w:type="dxa" w:w="1170"/>
            <w:shd w:fill="F2F7FB" w:color="auto" w:val="clear"/>
            <w:tcMar>
              <w:top w:type="dxa" w:w="70"/>
              <w:left w:type="dxa" w:w="110"/>
              <w:bottom w:type="dxa" w:w="70"/>
              <w:right w:type="dxa" w:w="110"/>
            </w:tcMar>
          </w:tcPr>
          <w:p>
            <w:pPr>
              <w:spacing w:after="0" w:line="252"/>
              <w:jc w:val="right"/>
            </w:pPr>
            <w:r>
              <w:rPr>
                <w:rFonts w:ascii="Calibri" w:cs="Calibri" w:eastAsia="Calibri" w:hAnsi="Calibri"/>
                <w:b/>
                <w:bCs/>
                <w:sz w:val="20"/>
                <w:szCs w:val="20"/>
              </w:rPr>
              <w:t xml:space="preserve">UEFA</w:t>
            </w:r>
          </w:p>
        </w:tc>
        <w:tc>
          <w:tcPr>
            <w:tcW w:type="dxa" w:w="1404"/>
            <w:shd w:fill="F2F7FB" w:color="auto" w:val="clear"/>
            <w:tcMar>
              <w:top w:type="dxa" w:w="70"/>
              <w:left w:type="dxa" w:w="110"/>
              <w:bottom w:type="dxa" w:w="70"/>
              <w:right w:type="dxa" w:w="110"/>
            </w:tcMar>
          </w:tcPr>
          <w:p>
            <w:pPr>
              <w:spacing w:after="0" w:line="252"/>
              <w:jc w:val="right"/>
            </w:pPr>
            <w:r>
              <w:rPr>
                <w:rFonts w:ascii="Calibri" w:cs="Calibri" w:eastAsia="Calibri" w:hAnsi="Calibri"/>
                <w:b/>
                <w:bCs/>
                <w:sz w:val="20"/>
                <w:szCs w:val="20"/>
              </w:rPr>
              <w:t xml:space="preserve">CONMEBOL</w:t>
            </w:r>
          </w:p>
        </w:tc>
        <w:tc>
          <w:tcPr>
            <w:tcW w:type="dxa" w:w="1170"/>
            <w:shd w:fill="F2F7FB" w:color="auto" w:val="clear"/>
            <w:tcMar>
              <w:top w:type="dxa" w:w="70"/>
              <w:left w:type="dxa" w:w="110"/>
              <w:bottom w:type="dxa" w:w="70"/>
              <w:right w:type="dxa" w:w="110"/>
            </w:tcMar>
          </w:tcPr>
          <w:p>
            <w:pPr>
              <w:spacing w:after="0" w:line="252"/>
              <w:jc w:val="right"/>
            </w:pPr>
            <w:r>
              <w:rPr>
                <w:rFonts w:ascii="Calibri" w:cs="Calibri" w:eastAsia="Calibri" w:hAnsi="Calibri"/>
                <w:b/>
                <w:bCs/>
                <w:sz w:val="20"/>
                <w:szCs w:val="20"/>
              </w:rPr>
              <w:t xml:space="preserve">Mean</w:t>
            </w:r>
          </w:p>
        </w:tc>
        <w:tc>
          <w:tcPr>
            <w:tcW w:type="dxa" w:w="1053"/>
            <w:shd w:fill="F2F7FB" w:color="auto" w:val="clear"/>
            <w:tcMar>
              <w:top w:type="dxa" w:w="70"/>
              <w:left w:type="dxa" w:w="110"/>
              <w:bottom w:type="dxa" w:w="70"/>
              <w:right w:type="dxa" w:w="110"/>
            </w:tcMar>
          </w:tcPr>
          <w:p>
            <w:pPr>
              <w:spacing w:after="0" w:line="252"/>
              <w:jc w:val="right"/>
            </w:pPr>
            <w:r>
              <w:rPr>
                <w:rFonts w:ascii="Calibri" w:cs="Calibri" w:eastAsia="Calibri" w:hAnsi="Calibri"/>
                <w:b/>
                <w:bCs/>
                <w:sz w:val="20"/>
                <w:szCs w:val="20"/>
              </w:rPr>
              <w:t xml:space="preserve">SD</w:t>
            </w:r>
          </w:p>
        </w:tc>
        <w:tc>
          <w:tcPr>
            <w:tcW w:type="dxa" w:w="1053"/>
            <w:shd w:fill="F2F7FB" w:color="auto" w:val="clear"/>
            <w:tcMar>
              <w:top w:type="dxa" w:w="70"/>
              <w:left w:type="dxa" w:w="110"/>
              <w:bottom w:type="dxa" w:w="70"/>
              <w:right w:type="dxa" w:w="110"/>
            </w:tcMar>
          </w:tcPr>
          <w:p>
            <w:pPr>
              <w:spacing w:after="0" w:line="252"/>
              <w:jc w:val="right"/>
            </w:pPr>
            <w:r>
              <w:rPr>
                <w:rFonts w:ascii="Calibri" w:cs="Calibri" w:eastAsia="Calibri" w:hAnsi="Calibri"/>
                <w:b/>
                <w:bCs/>
                <w:sz w:val="20"/>
                <w:szCs w:val="20"/>
              </w:rPr>
              <w:t xml:space="preserve">p</w:t>
            </w:r>
          </w:p>
        </w:tc>
      </w:tr>
      <w:tr>
        <w:tc>
          <w:tcPr>
            <w:tcW w:type="dxa" w:w="3510"/>
            <w:tcMar>
              <w:top w:type="dxa" w:w="70"/>
              <w:left w:type="dxa" w:w="110"/>
              <w:bottom w:type="dxa" w:w="70"/>
              <w:right w:type="dxa" w:w="110"/>
            </w:tcMar>
          </w:tcPr>
          <w:p>
            <w:pPr>
              <w:spacing w:after="0" w:line="252"/>
            </w:pPr>
            <w:r>
              <w:rPr>
                <w:rFonts w:ascii="Calibri" w:cs="Calibri" w:eastAsia="Calibri" w:hAnsi="Calibri"/>
                <w:b w:val="false"/>
                <w:bCs w:val="false"/>
                <w:sz w:val="20"/>
                <w:szCs w:val="20"/>
              </w:rPr>
              <w:t xml:space="preserve">Exact counts (adopted)</w:t>
            </w:r>
          </w:p>
        </w:tc>
        <w:tc>
          <w:tcPr>
            <w:tcW w:type="dxa" w:w="1170"/>
            <w:tcMar>
              <w:top w:type="dxa" w:w="70"/>
              <w:left w:type="dxa" w:w="110"/>
              <w:bottom w:type="dxa" w:w="70"/>
              <w:right w:type="dxa" w:w="110"/>
            </w:tcMar>
          </w:tcPr>
          <w:p>
            <w:pPr>
              <w:spacing w:after="0" w:line="252"/>
              <w:jc w:val="right"/>
            </w:pPr>
            <w:r>
              <w:rPr>
                <w:rFonts w:ascii="Calibri" w:cs="Calibri" w:eastAsia="Calibri" w:hAnsi="Calibri"/>
                <w:b w:val="false"/>
                <w:bCs w:val="false"/>
                <w:sz w:val="20"/>
                <w:szCs w:val="20"/>
              </w:rPr>
              <w:t xml:space="preserve">85.20</w:t>
            </w:r>
          </w:p>
        </w:tc>
        <w:tc>
          <w:tcPr>
            <w:tcW w:type="dxa" w:w="1404"/>
            <w:tcMar>
              <w:top w:type="dxa" w:w="70"/>
              <w:left w:type="dxa" w:w="110"/>
              <w:bottom w:type="dxa" w:w="70"/>
              <w:right w:type="dxa" w:w="110"/>
            </w:tcMar>
          </w:tcPr>
          <w:p>
            <w:pPr>
              <w:spacing w:after="0" w:line="252"/>
              <w:jc w:val="right"/>
            </w:pPr>
            <w:r>
              <w:rPr>
                <w:rFonts w:ascii="Calibri" w:cs="Calibri" w:eastAsia="Calibri" w:hAnsi="Calibri"/>
                <w:b w:val="false"/>
                <w:bCs w:val="false"/>
                <w:sz w:val="20"/>
                <w:szCs w:val="20"/>
              </w:rPr>
              <w:t xml:space="preserve">83.62</w:t>
            </w:r>
          </w:p>
        </w:tc>
        <w:tc>
          <w:tcPr>
            <w:tcW w:type="dxa" w:w="1170"/>
            <w:tcMar>
              <w:top w:type="dxa" w:w="70"/>
              <w:left w:type="dxa" w:w="110"/>
              <w:bottom w:type="dxa" w:w="70"/>
              <w:right w:type="dxa" w:w="110"/>
            </w:tcMar>
          </w:tcPr>
          <w:p>
            <w:pPr>
              <w:spacing w:after="0" w:line="252"/>
              <w:jc w:val="right"/>
            </w:pPr>
            <w:r>
              <w:rPr>
                <w:rFonts w:ascii="Calibri" w:cs="Calibri" w:eastAsia="Calibri" w:hAnsi="Calibri"/>
                <w:b w:val="false"/>
                <w:bCs w:val="false"/>
                <w:sz w:val="20"/>
                <w:szCs w:val="20"/>
              </w:rPr>
              <w:t xml:space="preserve">84.77</w:t>
            </w:r>
          </w:p>
        </w:tc>
        <w:tc>
          <w:tcPr>
            <w:tcW w:type="dxa" w:w="1053"/>
            <w:tcMar>
              <w:top w:type="dxa" w:w="70"/>
              <w:left w:type="dxa" w:w="110"/>
              <w:bottom w:type="dxa" w:w="70"/>
              <w:right w:type="dxa" w:w="110"/>
            </w:tcMar>
          </w:tcPr>
          <w:p>
            <w:pPr>
              <w:spacing w:after="0" w:line="252"/>
              <w:jc w:val="right"/>
            </w:pPr>
            <w:r>
              <w:rPr>
                <w:rFonts w:ascii="Calibri" w:cs="Calibri" w:eastAsia="Calibri" w:hAnsi="Calibri"/>
                <w:b w:val="false"/>
                <w:bCs w:val="false"/>
                <w:sz w:val="20"/>
                <w:szCs w:val="20"/>
              </w:rPr>
              <w:t xml:space="preserve">9.02</w:t>
            </w:r>
          </w:p>
        </w:tc>
        <w:tc>
          <w:tcPr>
            <w:tcW w:type="dxa" w:w="1053"/>
            <w:tcMar>
              <w:top w:type="dxa" w:w="70"/>
              <w:left w:type="dxa" w:w="110"/>
              <w:bottom w:type="dxa" w:w="70"/>
              <w:right w:type="dxa" w:w="110"/>
            </w:tcMar>
          </w:tcPr>
          <w:p>
            <w:pPr>
              <w:spacing w:after="0" w:line="252"/>
              <w:jc w:val="right"/>
            </w:pPr>
            <w:r>
              <w:rPr>
                <w:rFonts w:ascii="Calibri" w:cs="Calibri" w:eastAsia="Calibri" w:hAnsi="Calibri"/>
                <w:b w:val="false"/>
                <w:bCs w:val="false"/>
                <w:sz w:val="20"/>
                <w:szCs w:val="20"/>
              </w:rPr>
              <w:t xml:space="preserve">.657</w:t>
            </w:r>
          </w:p>
        </w:tc>
      </w:tr>
      <w:tr>
        <w:tc>
          <w:tcPr>
            <w:tcW w:type="dxa" w:w="3510"/>
            <w:tcMar>
              <w:top w:type="dxa" w:w="70"/>
              <w:left w:type="dxa" w:w="110"/>
              <w:bottom w:type="dxa" w:w="70"/>
              <w:right w:type="dxa" w:w="110"/>
            </w:tcMar>
          </w:tcPr>
          <w:p>
            <w:pPr>
              <w:spacing w:after="0" w:line="252"/>
            </w:pPr>
            <w:r>
              <w:rPr>
                <w:rFonts w:ascii="Calibri" w:cs="Calibri" w:eastAsia="Calibri" w:hAnsi="Calibri"/>
                <w:b w:val="false"/>
                <w:bCs w:val="false"/>
                <w:sz w:val="20"/>
                <w:szCs w:val="20"/>
              </w:rPr>
              <w:t xml:space="preserve">FIFA rounded column</w:t>
            </w:r>
          </w:p>
        </w:tc>
        <w:tc>
          <w:tcPr>
            <w:tcW w:type="dxa" w:w="1170"/>
            <w:tcMar>
              <w:top w:type="dxa" w:w="70"/>
              <w:left w:type="dxa" w:w="110"/>
              <w:bottom w:type="dxa" w:w="70"/>
              <w:right w:type="dxa" w:w="110"/>
            </w:tcMar>
          </w:tcPr>
          <w:p>
            <w:pPr>
              <w:spacing w:after="0" w:line="252"/>
              <w:jc w:val="right"/>
            </w:pPr>
            <w:r>
              <w:rPr>
                <w:rFonts w:ascii="Calibri" w:cs="Calibri" w:eastAsia="Calibri" w:hAnsi="Calibri"/>
                <w:b w:val="false"/>
                <w:bCs w:val="false"/>
                <w:sz w:val="20"/>
                <w:szCs w:val="20"/>
              </w:rPr>
              <w:t xml:space="preserve">85.28</w:t>
            </w:r>
          </w:p>
        </w:tc>
        <w:tc>
          <w:tcPr>
            <w:tcW w:type="dxa" w:w="1404"/>
            <w:tcMar>
              <w:top w:type="dxa" w:w="70"/>
              <w:left w:type="dxa" w:w="110"/>
              <w:bottom w:type="dxa" w:w="70"/>
              <w:right w:type="dxa" w:w="110"/>
            </w:tcMar>
          </w:tcPr>
          <w:p>
            <w:pPr>
              <w:spacing w:after="0" w:line="252"/>
              <w:jc w:val="right"/>
            </w:pPr>
            <w:r>
              <w:rPr>
                <w:rFonts w:ascii="Calibri" w:cs="Calibri" w:eastAsia="Calibri" w:hAnsi="Calibri"/>
                <w:b w:val="false"/>
                <w:bCs w:val="false"/>
                <w:sz w:val="20"/>
                <w:szCs w:val="20"/>
              </w:rPr>
              <w:t xml:space="preserve">83.82</w:t>
            </w:r>
          </w:p>
        </w:tc>
        <w:tc>
          <w:tcPr>
            <w:tcW w:type="dxa" w:w="1170"/>
            <w:tcMar>
              <w:top w:type="dxa" w:w="70"/>
              <w:left w:type="dxa" w:w="110"/>
              <w:bottom w:type="dxa" w:w="70"/>
              <w:right w:type="dxa" w:w="110"/>
            </w:tcMar>
          </w:tcPr>
          <w:p>
            <w:pPr>
              <w:spacing w:after="0" w:line="252"/>
              <w:jc w:val="right"/>
            </w:pPr>
            <w:r>
              <w:rPr>
                <w:rFonts w:ascii="Calibri" w:cs="Calibri" w:eastAsia="Calibri" w:hAnsi="Calibri"/>
                <w:b w:val="false"/>
                <w:bCs w:val="false"/>
                <w:sz w:val="20"/>
                <w:szCs w:val="20"/>
              </w:rPr>
              <w:t xml:space="preserve">84.88</w:t>
            </w:r>
          </w:p>
        </w:tc>
        <w:tc>
          <w:tcPr>
            <w:tcW w:type="dxa" w:w="1053"/>
            <w:tcMar>
              <w:top w:type="dxa" w:w="70"/>
              <w:left w:type="dxa" w:w="110"/>
              <w:bottom w:type="dxa" w:w="70"/>
              <w:right w:type="dxa" w:w="110"/>
            </w:tcMar>
          </w:tcPr>
          <w:p>
            <w:pPr>
              <w:spacing w:after="0" w:line="252"/>
              <w:jc w:val="right"/>
            </w:pPr>
            <w:r>
              <w:rPr>
                <w:rFonts w:ascii="Calibri" w:cs="Calibri" w:eastAsia="Calibri" w:hAnsi="Calibri"/>
                <w:b w:val="false"/>
                <w:bCs w:val="false"/>
                <w:sz w:val="20"/>
                <w:szCs w:val="20"/>
              </w:rPr>
              <w:t xml:space="preserve">9.06</w:t>
            </w:r>
          </w:p>
        </w:tc>
        <w:tc>
          <w:tcPr>
            <w:tcW w:type="dxa" w:w="1053"/>
            <w:tcMar>
              <w:top w:type="dxa" w:w="70"/>
              <w:left w:type="dxa" w:w="110"/>
              <w:bottom w:type="dxa" w:w="70"/>
              <w:right w:type="dxa" w:w="110"/>
            </w:tcMar>
          </w:tcPr>
          <w:p>
            <w:pPr>
              <w:spacing w:after="0" w:line="252"/>
              <w:jc w:val="right"/>
            </w:pPr>
            <w:r>
              <w:rPr>
                <w:rFonts w:ascii="Calibri" w:cs="Calibri" w:eastAsia="Calibri" w:hAnsi="Calibri"/>
                <w:b w:val="false"/>
                <w:bCs w:val="false"/>
                <w:sz w:val="20"/>
                <w:szCs w:val="20"/>
              </w:rPr>
              <w:t xml:space="preserve">.683</w:t>
            </w:r>
          </w:p>
        </w:tc>
      </w:tr>
    </w:tbl>
    <w:p>
      <w:pPr>
        <w:pStyle w:val="Heading2"/>
        <w:spacing w:after="120" w:before="240"/>
      </w:pPr>
      <w:r>
        <w:rPr>
          <w:rFonts w:ascii="Calibri" w:cs="Calibri" w:eastAsia="Calibri" w:hAnsi="Calibri"/>
          <w:b/>
          <w:bCs/>
          <w:color w:val="1F4E5F"/>
          <w:sz w:val="24"/>
          <w:szCs w:val="24"/>
        </w:rPr>
        <w:t xml:space="preserve">2.4  Quality assertions</w:t>
      </w:r>
    </w:p>
    <w:p>
      <w:pPr>
        <w:spacing w:after="120" w:line="276"/>
      </w:pPr>
      <w:r>
        <w:rPr>
          <w:rFonts w:ascii="Calibri" w:cs="Calibri" w:eastAsia="Calibri" w:hAnsi="Calibri"/>
          <w:b/>
          <w:bCs/>
          <w:color w:val="1F4E5F"/>
          <w:sz w:val="22"/>
          <w:szCs w:val="22"/>
        </w:rPr>
        <w:t xml:space="preserve">WHY  </w:t>
      </w:r>
      <w:r>
        <w:rPr>
          <w:rFonts w:ascii="Calibri" w:cs="Calibri" w:eastAsia="Calibri" w:hAnsi="Calibri"/>
          <w:sz w:val="22"/>
          <w:szCs w:val="22"/>
        </w:rPr>
        <w:t xml:space="preserve">A printed check helps only if somebody reads it; an assertion halts the pipeline. This is no longer hypothetical — the source has since changed, so a re-run on a new extract must fail loudly rather than quietly produce a wrong analysis.</w:t>
      </w:r>
    </w:p>
    <w:p>
      <w:pPr>
        <w:spacing w:after="120" w:line="276"/>
      </w:pPr>
      <w:r>
        <w:rPr>
          <w:rFonts w:ascii="Calibri" w:cs="Calibri" w:eastAsia="Calibri" w:hAnsi="Calibri"/>
          <w:sz w:val="22"/>
          <w:szCs w:val="22"/>
        </w:rPr>
        <w:t xml:space="preserve">Five assertions were embedded: exactly 1,242 rows; no duplicated player-and-country pair; no row where completed exceeds attempted; no missing counts; and exactly four position codes. All passed. Players with zero attempts were flagged at this stage but not removed, because identifying a group with an undefined ratio is an observation about data, whereas excluding it from a population is a research-design decision that belongs in Step 3 where it can be argued.</w:t>
      </w:r>
    </w:p>
    <w:p>
      <w:r>
        <w:br w:type="page"/>
      </w:r>
    </w:p>
    <w:p>
      <w:pPr>
        <w:pStyle w:val="Heading1"/>
        <w:spacing w:after="160" w:before="340"/>
      </w:pPr>
      <w:r>
        <w:rPr>
          <w:rFonts w:ascii="Calibri" w:cs="Calibri" w:eastAsia="Calibri" w:hAnsi="Calibri"/>
          <w:b/>
          <w:bCs/>
          <w:color w:val="1F4E5F"/>
          <w:sz w:val="30"/>
          <w:szCs w:val="30"/>
        </w:rPr>
        <w:t xml:space="preserve">Step 3 — Data preparation and sampling</w:t>
      </w:r>
    </w:p>
    <w:p>
      <w:pPr>
        <w:spacing w:after="120" w:line="276"/>
      </w:pPr>
      <w:r>
        <w:rPr>
          <w:rFonts w:ascii="Calibri" w:cs="Calibri" w:eastAsia="Calibri" w:hAnsi="Calibri"/>
          <w:sz w:val="22"/>
          <w:szCs w:val="22"/>
        </w:rPr>
        <w:t xml:space="preserve">Three decisions, each with a why that precedes its how.</w:t>
      </w:r>
    </w:p>
    <w:p>
      <w:pPr>
        <w:pStyle w:val="Heading2"/>
        <w:spacing w:after="120" w:before="240"/>
      </w:pPr>
      <w:r>
        <w:rPr>
          <w:rFonts w:ascii="Calibri" w:cs="Calibri" w:eastAsia="Calibri" w:hAnsi="Calibri"/>
          <w:b/>
          <w:bCs/>
          <w:color w:val="1F4E5F"/>
          <w:sz w:val="24"/>
          <w:szCs w:val="24"/>
        </w:rPr>
        <w:t xml:space="preserve">Decision 1 — The population</w:t>
      </w:r>
    </w:p>
    <w:p>
      <w:pPr>
        <w:spacing w:after="120" w:line="276"/>
      </w:pPr>
      <w:r>
        <w:rPr>
          <w:rFonts w:ascii="Calibri" w:cs="Calibri" w:eastAsia="Calibri" w:hAnsi="Calibri"/>
          <w:b/>
          <w:bCs/>
          <w:color w:val="1F4E5F"/>
          <w:sz w:val="22"/>
          <w:szCs w:val="22"/>
        </w:rPr>
        <w:t xml:space="preserve">WHY  </w:t>
      </w:r>
      <w:r>
        <w:rPr>
          <w:rFonts w:ascii="Calibri" w:cs="Calibri" w:eastAsia="Calibri" w:hAnsi="Calibri"/>
          <w:sz w:val="22"/>
          <w:szCs w:val="22"/>
        </w:rPr>
        <w:t xml:space="preserve">The theme asks whether Argentina deserved the trophy, but Argentina and Spain together supply roughly forty players, and a two-team comparison can only ever describe those two teams.</w:t>
      </w:r>
    </w:p>
    <w:p>
      <w:pPr>
        <w:spacing w:after="120" w:line="276"/>
      </w:pPr>
      <w:r>
        <w:rPr>
          <w:rFonts w:ascii="Calibri" w:cs="Calibri" w:eastAsia="Calibri" w:hAnsi="Calibri"/>
          <w:b/>
          <w:bCs/>
          <w:color w:val="1F4E5F"/>
          <w:sz w:val="22"/>
          <w:szCs w:val="22"/>
        </w:rPr>
        <w:t xml:space="preserve">STORY  </w:t>
      </w:r>
      <w:r>
        <w:rPr>
          <w:rFonts w:ascii="Calibri" w:cs="Calibri" w:eastAsia="Calibri" w:hAnsi="Calibri"/>
          <w:sz w:val="22"/>
          <w:szCs w:val="22"/>
        </w:rPr>
        <w:t xml:space="preserve">The final was not merely Argentina against Spain. It was CONMEBOL defeating UEFA — a South American side beating a European one. That observation opens a larger question while keeping the theme intact: was the final’s result reflective of a broader difference between European and South American football, or was it specific to that match? The population is therefore not a technical selection but a consequence of the question.</w:t>
      </w:r>
    </w:p>
    <w:p>
      <w:pPr>
        <w:spacing w:after="120" w:line="276"/>
      </w:pPr>
      <w:r>
        <w:rPr>
          <w:rFonts w:ascii="Calibri" w:cs="Calibri" w:eastAsia="Calibri" w:hAnsi="Calibri"/>
          <w:b/>
          <w:bCs/>
          <w:color w:val="1F4E5F"/>
          <w:sz w:val="22"/>
          <w:szCs w:val="22"/>
        </w:rPr>
        <w:t xml:space="preserve">HOW  </w:t>
      </w:r>
      <w:r>
        <w:rPr>
          <w:rFonts w:ascii="Calibri" w:cs="Calibri" w:eastAsia="Calibri" w:hAnsi="Calibri"/>
          <w:sz w:val="22"/>
          <w:szCs w:val="22"/>
        </w:rPr>
        <w:t xml:space="preserve">All players of the sixteen UEFA and six CONMEBOL teams — 571 squad members before exclusion. “American” is read as South American; CONCACAF nations are excluded so that the two comparison groups are exactly the confederations that contested the final. Including North America would blur the very comparison the theme asks about. Tim Ream of the United States, with 298 attempted passes, is a high-volume player excluded solely by this rule.</w:t>
      </w:r>
    </w:p>
    <w:p>
      <w:pPr>
        <w:pStyle w:val="Heading2"/>
        <w:spacing w:after="120" w:before="240"/>
      </w:pPr>
      <w:r>
        <w:rPr>
          <w:rFonts w:ascii="Calibri" w:cs="Calibri" w:eastAsia="Calibri" w:hAnsi="Calibri"/>
          <w:b/>
          <w:bCs/>
          <w:color w:val="1F4E5F"/>
          <w:sz w:val="24"/>
          <w:szCs w:val="24"/>
        </w:rPr>
        <w:t xml:space="preserve">Decision 2 — The exclusion rule</w:t>
      </w:r>
    </w:p>
    <w:p>
      <w:pPr>
        <w:spacing w:after="120" w:line="276"/>
      </w:pPr>
      <w:r>
        <w:rPr>
          <w:rFonts w:ascii="Calibri" w:cs="Calibri" w:eastAsia="Calibri" w:hAnsi="Calibri"/>
          <w:b/>
          <w:bCs/>
          <w:color w:val="1F4E5F"/>
          <w:sz w:val="22"/>
          <w:szCs w:val="22"/>
        </w:rPr>
        <w:t xml:space="preserve">WHY  </w:t>
      </w:r>
      <w:r>
        <w:rPr>
          <w:rFonts w:ascii="Calibri" w:cs="Calibri" w:eastAsia="Calibri" w:hAnsi="Calibri"/>
          <w:sz w:val="22"/>
          <w:szCs w:val="22"/>
        </w:rPr>
        <w:t xml:space="preserve">The variable is a ratio, and a ratio has an inherent weakness: as the denominator shrinks it stops measuring what it appears to measure.</w:t>
      </w:r>
    </w:p>
    <w:p>
      <w:pPr>
        <w:spacing w:after="120" w:line="276"/>
      </w:pPr>
      <w:r>
        <w:rPr>
          <w:rFonts w:ascii="Calibri" w:cs="Calibri" w:eastAsia="Calibri" w:hAnsi="Calibri"/>
          <w:b/>
          <w:bCs/>
          <w:color w:val="1F4E5F"/>
          <w:sz w:val="22"/>
          <w:szCs w:val="22"/>
        </w:rPr>
        <w:t xml:space="preserve">STORY  </w:t>
      </w:r>
      <w:r>
        <w:rPr>
          <w:rFonts w:ascii="Calibri" w:cs="Calibri" w:eastAsia="Calibri" w:hAnsi="Calibri"/>
          <w:sz w:val="22"/>
          <w:szCs w:val="22"/>
        </w:rPr>
        <w:t xml:space="preserve">This is where the data stated the problem itself. Sorted by completion rate before any exclusion, the top of the table is not Rodri or Pau Cubarsí but late substitutes: Roger Ibañez of Brazil at 22 of 22, Kevin Castaño of Colombia at 14 of 14, Pascal Groß of Germany at 14 of 14 — all on 100 per cent. Rodri, with 747 of 799, ranks below them. A ratio with no floor on its denominator measures sample size, not skill. The rule was not imposed on the data; the data compelled it.</w:t>
      </w:r>
    </w:p>
    <w:p>
      <w:pPr>
        <w:spacing w:after="120" w:line="276"/>
      </w:pPr>
      <w:r>
        <w:rPr>
          <w:rFonts w:ascii="Calibri" w:cs="Calibri" w:eastAsia="Calibri" w:hAnsi="Calibri"/>
          <w:sz w:val="22"/>
          <w:szCs w:val="22"/>
        </w:rPr>
        <w:t xml:space="preserve">A second group sits at the opposite extreme. Ninety-seven players in the catchment attempted no passes at all — unused substitutes and reserve goalkeepers. Their ratio is not low but undefined, zero divided by zero. Scoring them at nought per cent would assert that never having played is equivalent to having passed badly, which is false.</w:t>
      </w:r>
    </w:p>
    <w:p>
      <w:pPr>
        <w:spacing w:after="120" w:line="276"/>
      </w:pPr>
      <w:r>
        <w:rPr>
          <w:rFonts w:ascii="Calibri" w:cs="Calibri" w:eastAsia="Calibri" w:hAnsi="Calibri"/>
          <w:b/>
          <w:bCs/>
          <w:color w:val="1F4E5F"/>
          <w:sz w:val="22"/>
          <w:szCs w:val="22"/>
        </w:rPr>
        <w:t xml:space="preserve">HOW  </w:t>
      </w:r>
      <w:r>
        <w:rPr>
          <w:rFonts w:ascii="Calibri" w:cs="Calibri" w:eastAsia="Calibri" w:hAnsi="Calibri"/>
          <w:sz w:val="22"/>
          <w:szCs w:val="22"/>
        </w:rPr>
        <w:t xml:space="preserve">Require at least twenty attempted passes. 571 → 383 players; 188 removed, of whom 97 attempted none at all and 91 attempted between one and nineteen — two groups excluded for two different reasons.</w:t>
      </w:r>
    </w:p>
    <w:p>
      <w:pPr>
        <w:spacing w:after="120" w:line="276"/>
      </w:pPr>
      <w:r>
        <w:rPr>
          <w:rFonts w:ascii="Calibri" w:cs="Calibri" w:eastAsia="Calibri" w:hAnsi="Calibri"/>
          <w:sz w:val="22"/>
          <w:szCs w:val="22"/>
        </w:rPr>
        <w:t xml:space="preserve">The threshold of twenty is a judgement rather than a law, so its influence was tested rather than asserted (Step 7).</w:t>
      </w:r>
    </w:p>
    <w:p>
      <w:pPr>
        <w:pStyle w:val="Heading3"/>
        <w:spacing w:after="100" w:before="180"/>
      </w:pPr>
      <w:r>
        <w:rPr>
          <w:rFonts w:ascii="Calibri" w:cs="Calibri" w:eastAsia="Calibri" w:hAnsi="Calibri"/>
          <w:b/>
          <w:bCs/>
          <w:color w:val="000000"/>
          <w:sz w:val="22"/>
          <w:szCs w:val="22"/>
        </w:rPr>
        <w:t xml:space="preserve">The rule is not only anecdotal — the correlation states it</w:t>
      </w:r>
    </w:p>
    <w:p>
      <w:pPr>
        <w:spacing w:after="120" w:line="276"/>
      </w:pPr>
      <w:r>
        <w:rPr>
          <w:rFonts w:ascii="Calibri" w:cs="Calibri" w:eastAsia="Calibri" w:hAnsi="Calibri"/>
          <w:sz w:val="22"/>
          <w:szCs w:val="22"/>
        </w:rPr>
        <w:t xml:space="preserve">Naming three players on 100 per cent is illustrative but not evidence. Correlating each player’s attempted passes against their completion rate turns the argument into a measurement, and two patterns emerge.</w:t>
      </w:r>
    </w:p>
    <w:tbl>
      <w:tblPr>
        <w:tblW w:type="dxa" w:w="9360"/>
        <w:tblBorders>
          <w:top w:val="single" w:color="C3C2B7" w:sz="4"/>
          <w:left w:val="none"/>
          <w:bottom w:val="single" w:color="C3C2B7" w:sz="4"/>
          <w:right w:val="none"/>
          <w:insideH w:val="single" w:color="E1E0D9" w:sz="2"/>
          <w:insideV w:val="none"/>
        </w:tblBorders>
      </w:tblPr>
      <w:tblGrid>
        <w:gridCol w:w="4754"/>
        <w:gridCol w:w="1040"/>
        <w:gridCol w:w="1783"/>
        <w:gridCol w:w="1783"/>
      </w:tblGrid>
      <w:tr>
        <w:trPr>
          <w:tblHeader/>
        </w:trPr>
        <w:tc>
          <w:tcPr>
            <w:tcW w:type="dxa" w:w="4754"/>
            <w:shd w:fill="F2F7FB" w:color="auto" w:val="clear"/>
            <w:tcMar>
              <w:top w:type="dxa" w:w="70"/>
              <w:left w:type="dxa" w:w="110"/>
              <w:bottom w:type="dxa" w:w="70"/>
              <w:right w:type="dxa" w:w="110"/>
            </w:tcMar>
          </w:tcPr>
          <w:p>
            <w:pPr>
              <w:spacing w:after="0" w:line="252"/>
            </w:pPr>
            <w:r>
              <w:rPr>
                <w:rFonts w:ascii="Calibri" w:cs="Calibri" w:eastAsia="Calibri" w:hAnsi="Calibri"/>
                <w:b/>
                <w:bCs/>
                <w:sz w:val="20"/>
                <w:szCs w:val="20"/>
              </w:rPr>
              <w:t xml:space="preserve">Group</w:t>
            </w:r>
          </w:p>
        </w:tc>
        <w:tc>
          <w:tcPr>
            <w:tcW w:type="dxa" w:w="1040"/>
            <w:shd w:fill="F2F7FB" w:color="auto" w:val="clear"/>
            <w:tcMar>
              <w:top w:type="dxa" w:w="70"/>
              <w:left w:type="dxa" w:w="110"/>
              <w:bottom w:type="dxa" w:w="70"/>
              <w:right w:type="dxa" w:w="110"/>
            </w:tcMar>
          </w:tcPr>
          <w:p>
            <w:pPr>
              <w:spacing w:after="0" w:line="252"/>
              <w:jc w:val="right"/>
            </w:pPr>
            <w:r>
              <w:rPr>
                <w:rFonts w:ascii="Calibri" w:cs="Calibri" w:eastAsia="Calibri" w:hAnsi="Calibri"/>
                <w:b/>
                <w:bCs/>
                <w:sz w:val="20"/>
                <w:szCs w:val="20"/>
              </w:rPr>
              <w:t xml:space="preserve">n</w:t>
            </w:r>
          </w:p>
        </w:tc>
        <w:tc>
          <w:tcPr>
            <w:tcW w:type="dxa" w:w="1783"/>
            <w:shd w:fill="F2F7FB" w:color="auto" w:val="clear"/>
            <w:tcMar>
              <w:top w:type="dxa" w:w="70"/>
              <w:left w:type="dxa" w:w="110"/>
              <w:bottom w:type="dxa" w:w="70"/>
              <w:right w:type="dxa" w:w="110"/>
            </w:tcMar>
          </w:tcPr>
          <w:p>
            <w:pPr>
              <w:spacing w:after="0" w:line="252"/>
              <w:jc w:val="right"/>
            </w:pPr>
            <w:r>
              <w:rPr>
                <w:rFonts w:ascii="Calibri" w:cs="Calibri" w:eastAsia="Calibri" w:hAnsi="Calibri"/>
                <w:b/>
                <w:bCs/>
                <w:sz w:val="20"/>
                <w:szCs w:val="20"/>
              </w:rPr>
              <w:t xml:space="preserve">Pearson r</w:t>
            </w:r>
          </w:p>
        </w:tc>
        <w:tc>
          <w:tcPr>
            <w:tcW w:type="dxa" w:w="1783"/>
            <w:shd w:fill="F2F7FB" w:color="auto" w:val="clear"/>
            <w:tcMar>
              <w:top w:type="dxa" w:w="70"/>
              <w:left w:type="dxa" w:w="110"/>
              <w:bottom w:type="dxa" w:w="70"/>
              <w:right w:type="dxa" w:w="110"/>
            </w:tcMar>
          </w:tcPr>
          <w:p>
            <w:pPr>
              <w:spacing w:after="0" w:line="252"/>
              <w:jc w:val="right"/>
            </w:pPr>
            <w:r>
              <w:rPr>
                <w:rFonts w:ascii="Calibri" w:cs="Calibri" w:eastAsia="Calibri" w:hAnsi="Calibri"/>
                <w:b/>
                <w:bCs/>
                <w:sz w:val="20"/>
                <w:szCs w:val="20"/>
              </w:rPr>
              <w:t xml:space="preserve">Spearman ρ</w:t>
            </w:r>
          </w:p>
        </w:tc>
      </w:tr>
      <w:tr>
        <w:tc>
          <w:tcPr>
            <w:tcW w:type="dxa" w:w="4754"/>
            <w:tcMar>
              <w:top w:type="dxa" w:w="70"/>
              <w:left w:type="dxa" w:w="110"/>
              <w:bottom w:type="dxa" w:w="70"/>
              <w:right w:type="dxa" w:w="110"/>
            </w:tcMar>
          </w:tcPr>
          <w:p>
            <w:pPr>
              <w:spacing w:after="0" w:line="252"/>
            </w:pPr>
            <w:r>
              <w:rPr>
                <w:rFonts w:ascii="Calibri" w:cs="Calibri" w:eastAsia="Calibri" w:hAnsi="Calibri"/>
                <w:b w:val="false"/>
                <w:bCs w:val="false"/>
                <w:sz w:val="20"/>
                <w:szCs w:val="20"/>
              </w:rPr>
              <w:t xml:space="preserve">All players with at least 1 attempt</w:t>
            </w:r>
          </w:p>
        </w:tc>
        <w:tc>
          <w:tcPr>
            <w:tcW w:type="dxa" w:w="1040"/>
            <w:tcMar>
              <w:top w:type="dxa" w:w="70"/>
              <w:left w:type="dxa" w:w="110"/>
              <w:bottom w:type="dxa" w:w="70"/>
              <w:right w:type="dxa" w:w="110"/>
            </w:tcMar>
          </w:tcPr>
          <w:p>
            <w:pPr>
              <w:spacing w:after="0" w:line="252"/>
              <w:jc w:val="right"/>
            </w:pPr>
            <w:r>
              <w:rPr>
                <w:rFonts w:ascii="Calibri" w:cs="Calibri" w:eastAsia="Calibri" w:hAnsi="Calibri"/>
                <w:b w:val="false"/>
                <w:bCs w:val="false"/>
                <w:sz w:val="20"/>
                <w:szCs w:val="20"/>
              </w:rPr>
              <w:t xml:space="preserve">474</w:t>
            </w:r>
          </w:p>
        </w:tc>
        <w:tc>
          <w:tcPr>
            <w:tcW w:type="dxa" w:w="1783"/>
            <w:tcMar>
              <w:top w:type="dxa" w:w="70"/>
              <w:left w:type="dxa" w:w="110"/>
              <w:bottom w:type="dxa" w:w="70"/>
              <w:right w:type="dxa" w:w="110"/>
            </w:tcMar>
          </w:tcPr>
          <w:p>
            <w:pPr>
              <w:spacing w:after="0" w:line="252"/>
              <w:jc w:val="right"/>
            </w:pPr>
            <w:r>
              <w:rPr>
                <w:rFonts w:ascii="Calibri" w:cs="Calibri" w:eastAsia="Calibri" w:hAnsi="Calibri"/>
                <w:b w:val="false"/>
                <w:bCs w:val="false"/>
                <w:sz w:val="20"/>
                <w:szCs w:val="20"/>
              </w:rPr>
              <w:t xml:space="preserve">+.295***</w:t>
            </w:r>
          </w:p>
        </w:tc>
        <w:tc>
          <w:tcPr>
            <w:tcW w:type="dxa" w:w="1783"/>
            <w:tcMar>
              <w:top w:type="dxa" w:w="70"/>
              <w:left w:type="dxa" w:w="110"/>
              <w:bottom w:type="dxa" w:w="70"/>
              <w:right w:type="dxa" w:w="110"/>
            </w:tcMar>
          </w:tcPr>
          <w:p>
            <w:pPr>
              <w:spacing w:after="0" w:line="252"/>
              <w:jc w:val="right"/>
            </w:pPr>
            <w:r>
              <w:rPr>
                <w:rFonts w:ascii="Calibri" w:cs="Calibri" w:eastAsia="Calibri" w:hAnsi="Calibri"/>
                <w:b w:val="false"/>
                <w:bCs w:val="false"/>
                <w:sz w:val="20"/>
                <w:szCs w:val="20"/>
              </w:rPr>
              <w:t xml:space="preserve">+.238***</w:t>
            </w:r>
          </w:p>
        </w:tc>
      </w:tr>
      <w:tr>
        <w:tc>
          <w:tcPr>
            <w:tcW w:type="dxa" w:w="4754"/>
            <w:tcMar>
              <w:top w:type="dxa" w:w="70"/>
              <w:left w:type="dxa" w:w="110"/>
              <w:bottom w:type="dxa" w:w="70"/>
              <w:right w:type="dxa" w:w="110"/>
            </w:tcMar>
          </w:tcPr>
          <w:p>
            <w:pPr>
              <w:spacing w:after="0" w:line="252"/>
            </w:pPr>
            <w:r>
              <w:rPr>
                <w:rFonts w:ascii="Calibri" w:cs="Calibri" w:eastAsia="Calibri" w:hAnsi="Calibri"/>
                <w:b w:val="false"/>
                <w:bCs w:val="false"/>
                <w:sz w:val="20"/>
                <w:szCs w:val="20"/>
              </w:rPr>
              <w:t xml:space="preserve">1–19 attempts (those excluded)</w:t>
            </w:r>
          </w:p>
        </w:tc>
        <w:tc>
          <w:tcPr>
            <w:tcW w:type="dxa" w:w="1040"/>
            <w:tcMar>
              <w:top w:type="dxa" w:w="70"/>
              <w:left w:type="dxa" w:w="110"/>
              <w:bottom w:type="dxa" w:w="70"/>
              <w:right w:type="dxa" w:w="110"/>
            </w:tcMar>
          </w:tcPr>
          <w:p>
            <w:pPr>
              <w:spacing w:after="0" w:line="252"/>
              <w:jc w:val="right"/>
            </w:pPr>
            <w:r>
              <w:rPr>
                <w:rFonts w:ascii="Calibri" w:cs="Calibri" w:eastAsia="Calibri" w:hAnsi="Calibri"/>
                <w:b w:val="false"/>
                <w:bCs w:val="false"/>
                <w:sz w:val="20"/>
                <w:szCs w:val="20"/>
              </w:rPr>
              <w:t xml:space="preserve">91</w:t>
            </w:r>
          </w:p>
        </w:tc>
        <w:tc>
          <w:tcPr>
            <w:tcW w:type="dxa" w:w="1783"/>
            <w:tcMar>
              <w:top w:type="dxa" w:w="70"/>
              <w:left w:type="dxa" w:w="110"/>
              <w:bottom w:type="dxa" w:w="70"/>
              <w:right w:type="dxa" w:w="110"/>
            </w:tcMar>
          </w:tcPr>
          <w:p>
            <w:pPr>
              <w:spacing w:after="0" w:line="252"/>
              <w:jc w:val="right"/>
            </w:pPr>
            <w:r>
              <w:rPr>
                <w:rFonts w:ascii="Calibri" w:cs="Calibri" w:eastAsia="Calibri" w:hAnsi="Calibri"/>
                <w:b w:val="false"/>
                <w:bCs w:val="false"/>
                <w:sz w:val="20"/>
                <w:szCs w:val="20"/>
              </w:rPr>
              <w:t xml:space="preserve">−.081</w:t>
            </w:r>
          </w:p>
        </w:tc>
        <w:tc>
          <w:tcPr>
            <w:tcW w:type="dxa" w:w="1783"/>
            <w:tcMar>
              <w:top w:type="dxa" w:w="70"/>
              <w:left w:type="dxa" w:w="110"/>
              <w:bottom w:type="dxa" w:w="70"/>
              <w:right w:type="dxa" w:w="110"/>
            </w:tcMar>
          </w:tcPr>
          <w:p>
            <w:pPr>
              <w:spacing w:after="0" w:line="252"/>
              <w:jc w:val="right"/>
            </w:pPr>
            <w:r>
              <w:rPr>
                <w:rFonts w:ascii="Calibri" w:cs="Calibri" w:eastAsia="Calibri" w:hAnsi="Calibri"/>
                <w:b w:val="false"/>
                <w:bCs w:val="false"/>
                <w:sz w:val="20"/>
                <w:szCs w:val="20"/>
              </w:rPr>
              <w:t xml:space="preserve">−.225*</w:t>
            </w:r>
          </w:p>
        </w:tc>
      </w:tr>
      <w:tr>
        <w:tc>
          <w:tcPr>
            <w:tcW w:type="dxa" w:w="4754"/>
            <w:tcMar>
              <w:top w:type="dxa" w:w="70"/>
              <w:left w:type="dxa" w:w="110"/>
              <w:bottom w:type="dxa" w:w="70"/>
              <w:right w:type="dxa" w:w="110"/>
            </w:tcMar>
          </w:tcPr>
          <w:p>
            <w:pPr>
              <w:spacing w:after="0" w:line="252"/>
            </w:pPr>
            <w:r>
              <w:rPr>
                <w:rFonts w:ascii="Calibri" w:cs="Calibri" w:eastAsia="Calibri" w:hAnsi="Calibri"/>
                <w:b w:val="false"/>
                <w:bCs w:val="false"/>
                <w:sz w:val="20"/>
                <w:szCs w:val="20"/>
              </w:rPr>
              <w:t xml:space="preserve">20 or more attempts (the population)</w:t>
            </w:r>
          </w:p>
        </w:tc>
        <w:tc>
          <w:tcPr>
            <w:tcW w:type="dxa" w:w="1040"/>
            <w:tcMar>
              <w:top w:type="dxa" w:w="70"/>
              <w:left w:type="dxa" w:w="110"/>
              <w:bottom w:type="dxa" w:w="70"/>
              <w:right w:type="dxa" w:w="110"/>
            </w:tcMar>
          </w:tcPr>
          <w:p>
            <w:pPr>
              <w:spacing w:after="0" w:line="252"/>
              <w:jc w:val="right"/>
            </w:pPr>
            <w:r>
              <w:rPr>
                <w:rFonts w:ascii="Calibri" w:cs="Calibri" w:eastAsia="Calibri" w:hAnsi="Calibri"/>
                <w:b w:val="false"/>
                <w:bCs w:val="false"/>
                <w:sz w:val="20"/>
                <w:szCs w:val="20"/>
              </w:rPr>
              <w:t xml:space="preserve">383</w:t>
            </w:r>
          </w:p>
        </w:tc>
        <w:tc>
          <w:tcPr>
            <w:tcW w:type="dxa" w:w="1783"/>
            <w:tcMar>
              <w:top w:type="dxa" w:w="70"/>
              <w:left w:type="dxa" w:w="110"/>
              <w:bottom w:type="dxa" w:w="70"/>
              <w:right w:type="dxa" w:w="110"/>
            </w:tcMar>
          </w:tcPr>
          <w:p>
            <w:pPr>
              <w:spacing w:after="0" w:line="252"/>
              <w:jc w:val="right"/>
            </w:pPr>
            <w:r>
              <w:rPr>
                <w:rFonts w:ascii="Calibri" w:cs="Calibri" w:eastAsia="Calibri" w:hAnsi="Calibri"/>
                <w:b w:val="false"/>
                <w:bCs w:val="false"/>
                <w:sz w:val="20"/>
                <w:szCs w:val="20"/>
              </w:rPr>
              <w:t xml:space="preserve">+.392***</w:t>
            </w:r>
          </w:p>
        </w:tc>
        <w:tc>
          <w:tcPr>
            <w:tcW w:type="dxa" w:w="1783"/>
            <w:tcMar>
              <w:top w:type="dxa" w:w="70"/>
              <w:left w:type="dxa" w:w="110"/>
              <w:bottom w:type="dxa" w:w="70"/>
              <w:right w:type="dxa" w:w="110"/>
            </w:tcMar>
          </w:tcPr>
          <w:p>
            <w:pPr>
              <w:spacing w:after="0" w:line="252"/>
              <w:jc w:val="right"/>
            </w:pPr>
            <w:r>
              <w:rPr>
                <w:rFonts w:ascii="Calibri" w:cs="Calibri" w:eastAsia="Calibri" w:hAnsi="Calibri"/>
                <w:b w:val="false"/>
                <w:bCs w:val="false"/>
                <w:sz w:val="20"/>
                <w:szCs w:val="20"/>
              </w:rPr>
              <w:t xml:space="preserve">+.417***</w:t>
            </w:r>
          </w:p>
        </w:tc>
      </w:tr>
    </w:tbl>
    <w:p>
      <w:pPr>
        <w:spacing w:after="220" w:before="60"/>
      </w:pPr>
      <w:r>
        <w:rPr>
          <w:rFonts w:ascii="Calibri" w:cs="Calibri" w:eastAsia="Calibri" w:hAnsi="Calibri"/>
          <w:i/>
          <w:iCs/>
          <w:color w:val="52514E"/>
          <w:sz w:val="18"/>
          <w:szCs w:val="18"/>
        </w:rPr>
        <w:t xml:space="preserve">* p &lt; .05.  *** p &lt; .001.</w:t>
      </w:r>
    </w:p>
    <w:p>
      <w:pPr>
        <w:spacing w:after="120" w:line="276"/>
      </w:pPr>
      <w:r>
        <w:rPr>
          <w:rFonts w:ascii="Calibri" w:cs="Calibri" w:eastAsia="Calibri" w:hAnsi="Calibri"/>
          <w:sz w:val="22"/>
          <w:szCs w:val="22"/>
        </w:rPr>
        <w:t xml:space="preserve">First, the association is real and positive: players who attempt more passes complete a higher share of them, and in the population the relationship is moderate (r = .39, p &lt; .001) with Spearman’s ρ close to Pearson’s r, so it is not an artefact of a few extreme values. Substantively that is expected — the highest-volume passers are centre-backs and holding midfielders whose passes are mostly short and safe.</w:t>
      </w:r>
    </w:p>
    <w:p>
      <w:pPr>
        <w:spacing w:after="120" w:line="276"/>
      </w:pPr>
      <w:r>
        <w:rPr>
          <w:rFonts w:ascii="Calibri" w:cs="Calibri" w:eastAsia="Calibri" w:hAnsi="Calibri"/>
          <w:sz w:val="22"/>
          <w:szCs w:val="22"/>
        </w:rPr>
        <w:t xml:space="preserve">Second, and more important for the exclusion rule, the spread of the ratio collapses as the denominator grows:</w:t>
      </w:r>
    </w:p>
    <w:tbl>
      <w:tblPr>
        <w:tblW w:type="dxa" w:w="9360"/>
        <w:tblBorders>
          <w:top w:val="single" w:color="C3C2B7" w:sz="4"/>
          <w:left w:val="none"/>
          <w:bottom w:val="single" w:color="C3C2B7" w:sz="4"/>
          <w:right w:val="none"/>
          <w:insideH w:val="single" w:color="E1E0D9" w:sz="2"/>
          <w:insideV w:val="none"/>
        </w:tblBorders>
      </w:tblPr>
      <w:tblGrid>
        <w:gridCol w:w="3600"/>
        <w:gridCol w:w="2160"/>
        <w:gridCol w:w="3600"/>
      </w:tblGrid>
      <w:tr>
        <w:trPr>
          <w:tblHeader/>
        </w:trPr>
        <w:tc>
          <w:tcPr>
            <w:tcW w:type="dxa" w:w="3600"/>
            <w:shd w:fill="F2F7FB" w:color="auto" w:val="clear"/>
            <w:tcMar>
              <w:top w:type="dxa" w:w="70"/>
              <w:left w:type="dxa" w:w="110"/>
              <w:bottom w:type="dxa" w:w="70"/>
              <w:right w:type="dxa" w:w="110"/>
            </w:tcMar>
          </w:tcPr>
          <w:p>
            <w:pPr>
              <w:spacing w:after="0" w:line="252"/>
            </w:pPr>
            <w:r>
              <w:rPr>
                <w:rFonts w:ascii="Calibri" w:cs="Calibri" w:eastAsia="Calibri" w:hAnsi="Calibri"/>
                <w:b/>
                <w:bCs/>
                <w:sz w:val="20"/>
                <w:szCs w:val="20"/>
              </w:rPr>
              <w:t xml:space="preserve">Attempted passes</w:t>
            </w:r>
          </w:p>
        </w:tc>
        <w:tc>
          <w:tcPr>
            <w:tcW w:type="dxa" w:w="2160"/>
            <w:shd w:fill="F2F7FB" w:color="auto" w:val="clear"/>
            <w:tcMar>
              <w:top w:type="dxa" w:w="70"/>
              <w:left w:type="dxa" w:w="110"/>
              <w:bottom w:type="dxa" w:w="70"/>
              <w:right w:type="dxa" w:w="110"/>
            </w:tcMar>
          </w:tcPr>
          <w:p>
            <w:pPr>
              <w:spacing w:after="0" w:line="252"/>
              <w:jc w:val="right"/>
            </w:pPr>
            <w:r>
              <w:rPr>
                <w:rFonts w:ascii="Calibri" w:cs="Calibri" w:eastAsia="Calibri" w:hAnsi="Calibri"/>
                <w:b/>
                <w:bCs/>
                <w:sz w:val="20"/>
                <w:szCs w:val="20"/>
              </w:rPr>
              <w:t xml:space="preserve">Players</w:t>
            </w:r>
          </w:p>
        </w:tc>
        <w:tc>
          <w:tcPr>
            <w:tcW w:type="dxa" w:w="3600"/>
            <w:shd w:fill="F2F7FB" w:color="auto" w:val="clear"/>
            <w:tcMar>
              <w:top w:type="dxa" w:w="70"/>
              <w:left w:type="dxa" w:w="110"/>
              <w:bottom w:type="dxa" w:w="70"/>
              <w:right w:type="dxa" w:w="110"/>
            </w:tcMar>
          </w:tcPr>
          <w:p>
            <w:pPr>
              <w:spacing w:after="0" w:line="252"/>
              <w:jc w:val="right"/>
            </w:pPr>
            <w:r>
              <w:rPr>
                <w:rFonts w:ascii="Calibri" w:cs="Calibri" w:eastAsia="Calibri" w:hAnsi="Calibri"/>
                <w:b/>
                <w:bCs/>
                <w:sz w:val="20"/>
                <w:szCs w:val="20"/>
              </w:rPr>
              <w:t xml:space="preserve">SD of completion rate</w:t>
            </w:r>
          </w:p>
        </w:tc>
      </w:tr>
      <w:tr>
        <w:tc>
          <w:tcPr>
            <w:tcW w:type="dxa" w:w="3600"/>
            <w:tcMar>
              <w:top w:type="dxa" w:w="70"/>
              <w:left w:type="dxa" w:w="110"/>
              <w:bottom w:type="dxa" w:w="70"/>
              <w:right w:type="dxa" w:w="110"/>
            </w:tcMar>
          </w:tcPr>
          <w:p>
            <w:pPr>
              <w:spacing w:after="0" w:line="252"/>
            </w:pPr>
            <w:r>
              <w:rPr>
                <w:rFonts w:ascii="Calibri" w:cs="Calibri" w:eastAsia="Calibri" w:hAnsi="Calibri"/>
                <w:b w:val="false"/>
                <w:bCs w:val="false"/>
                <w:sz w:val="20"/>
                <w:szCs w:val="20"/>
              </w:rPr>
              <w:t xml:space="preserve">1–9</w:t>
            </w:r>
          </w:p>
        </w:tc>
        <w:tc>
          <w:tcPr>
            <w:tcW w:type="dxa" w:w="2160"/>
            <w:tcMar>
              <w:top w:type="dxa" w:w="70"/>
              <w:left w:type="dxa" w:w="110"/>
              <w:bottom w:type="dxa" w:w="70"/>
              <w:right w:type="dxa" w:w="110"/>
            </w:tcMar>
          </w:tcPr>
          <w:p>
            <w:pPr>
              <w:spacing w:after="0" w:line="252"/>
              <w:jc w:val="right"/>
            </w:pPr>
            <w:r>
              <w:rPr>
                <w:rFonts w:ascii="Calibri" w:cs="Calibri" w:eastAsia="Calibri" w:hAnsi="Calibri"/>
                <w:b w:val="false"/>
                <w:bCs w:val="false"/>
                <w:sz w:val="20"/>
                <w:szCs w:val="20"/>
              </w:rPr>
              <w:t xml:space="preserve">45</w:t>
            </w:r>
          </w:p>
        </w:tc>
        <w:tc>
          <w:tcPr>
            <w:tcW w:type="dxa" w:w="3600"/>
            <w:tcMar>
              <w:top w:type="dxa" w:w="70"/>
              <w:left w:type="dxa" w:w="110"/>
              <w:bottom w:type="dxa" w:w="70"/>
              <w:right w:type="dxa" w:w="110"/>
            </w:tcMar>
          </w:tcPr>
          <w:p>
            <w:pPr>
              <w:spacing w:after="0" w:line="252"/>
              <w:jc w:val="right"/>
            </w:pPr>
            <w:r>
              <w:rPr>
                <w:rFonts w:ascii="Calibri" w:cs="Calibri" w:eastAsia="Calibri" w:hAnsi="Calibri"/>
                <w:b w:val="false"/>
                <w:bCs w:val="false"/>
                <w:sz w:val="20"/>
                <w:szCs w:val="20"/>
              </w:rPr>
              <w:t xml:space="preserve">24.27</w:t>
            </w:r>
          </w:p>
        </w:tc>
      </w:tr>
      <w:tr>
        <w:tc>
          <w:tcPr>
            <w:tcW w:type="dxa" w:w="3600"/>
            <w:tcMar>
              <w:top w:type="dxa" w:w="70"/>
              <w:left w:type="dxa" w:w="110"/>
              <w:bottom w:type="dxa" w:w="70"/>
              <w:right w:type="dxa" w:w="110"/>
            </w:tcMar>
          </w:tcPr>
          <w:p>
            <w:pPr>
              <w:spacing w:after="0" w:line="252"/>
            </w:pPr>
            <w:r>
              <w:rPr>
                <w:rFonts w:ascii="Calibri" w:cs="Calibri" w:eastAsia="Calibri" w:hAnsi="Calibri"/>
                <w:b w:val="false"/>
                <w:bCs w:val="false"/>
                <w:sz w:val="20"/>
                <w:szCs w:val="20"/>
              </w:rPr>
              <w:t xml:space="preserve">10–19</w:t>
            </w:r>
          </w:p>
        </w:tc>
        <w:tc>
          <w:tcPr>
            <w:tcW w:type="dxa" w:w="2160"/>
            <w:tcMar>
              <w:top w:type="dxa" w:w="70"/>
              <w:left w:type="dxa" w:w="110"/>
              <w:bottom w:type="dxa" w:w="70"/>
              <w:right w:type="dxa" w:w="110"/>
            </w:tcMar>
          </w:tcPr>
          <w:p>
            <w:pPr>
              <w:spacing w:after="0" w:line="252"/>
              <w:jc w:val="right"/>
            </w:pPr>
            <w:r>
              <w:rPr>
                <w:rFonts w:ascii="Calibri" w:cs="Calibri" w:eastAsia="Calibri" w:hAnsi="Calibri"/>
                <w:b w:val="false"/>
                <w:bCs w:val="false"/>
                <w:sz w:val="20"/>
                <w:szCs w:val="20"/>
              </w:rPr>
              <w:t xml:space="preserve">46</w:t>
            </w:r>
          </w:p>
        </w:tc>
        <w:tc>
          <w:tcPr>
            <w:tcW w:type="dxa" w:w="3600"/>
            <w:tcMar>
              <w:top w:type="dxa" w:w="70"/>
              <w:left w:type="dxa" w:w="110"/>
              <w:bottom w:type="dxa" w:w="70"/>
              <w:right w:type="dxa" w:w="110"/>
            </w:tcMar>
          </w:tcPr>
          <w:p>
            <w:pPr>
              <w:spacing w:after="0" w:line="252"/>
              <w:jc w:val="right"/>
            </w:pPr>
            <w:r>
              <w:rPr>
                <w:rFonts w:ascii="Calibri" w:cs="Calibri" w:eastAsia="Calibri" w:hAnsi="Calibri"/>
                <w:b w:val="false"/>
                <w:bCs w:val="false"/>
                <w:sz w:val="20"/>
                <w:szCs w:val="20"/>
              </w:rPr>
              <w:t xml:space="preserve">15.93</w:t>
            </w:r>
          </w:p>
        </w:tc>
      </w:tr>
      <w:tr>
        <w:tc>
          <w:tcPr>
            <w:tcW w:type="dxa" w:w="3600"/>
            <w:tcMar>
              <w:top w:type="dxa" w:w="70"/>
              <w:left w:type="dxa" w:w="110"/>
              <w:bottom w:type="dxa" w:w="70"/>
              <w:right w:type="dxa" w:w="110"/>
            </w:tcMar>
          </w:tcPr>
          <w:p>
            <w:pPr>
              <w:spacing w:after="0" w:line="252"/>
            </w:pPr>
            <w:r>
              <w:rPr>
                <w:rFonts w:ascii="Calibri" w:cs="Calibri" w:eastAsia="Calibri" w:hAnsi="Calibri"/>
                <w:b w:val="false"/>
                <w:bCs w:val="false"/>
                <w:sz w:val="20"/>
                <w:szCs w:val="20"/>
              </w:rPr>
              <w:t xml:space="preserve">20–49</w:t>
            </w:r>
          </w:p>
        </w:tc>
        <w:tc>
          <w:tcPr>
            <w:tcW w:type="dxa" w:w="2160"/>
            <w:tcMar>
              <w:top w:type="dxa" w:w="70"/>
              <w:left w:type="dxa" w:w="110"/>
              <w:bottom w:type="dxa" w:w="70"/>
              <w:right w:type="dxa" w:w="110"/>
            </w:tcMar>
          </w:tcPr>
          <w:p>
            <w:pPr>
              <w:spacing w:after="0" w:line="252"/>
              <w:jc w:val="right"/>
            </w:pPr>
            <w:r>
              <w:rPr>
                <w:rFonts w:ascii="Calibri" w:cs="Calibri" w:eastAsia="Calibri" w:hAnsi="Calibri"/>
                <w:b w:val="false"/>
                <w:bCs w:val="false"/>
                <w:sz w:val="20"/>
                <w:szCs w:val="20"/>
              </w:rPr>
              <w:t xml:space="preserve">81</w:t>
            </w:r>
          </w:p>
        </w:tc>
        <w:tc>
          <w:tcPr>
            <w:tcW w:type="dxa" w:w="3600"/>
            <w:tcMar>
              <w:top w:type="dxa" w:w="70"/>
              <w:left w:type="dxa" w:w="110"/>
              <w:bottom w:type="dxa" w:w="70"/>
              <w:right w:type="dxa" w:w="110"/>
            </w:tcMar>
          </w:tcPr>
          <w:p>
            <w:pPr>
              <w:spacing w:after="0" w:line="252"/>
              <w:jc w:val="right"/>
            </w:pPr>
            <w:r>
              <w:rPr>
                <w:rFonts w:ascii="Calibri" w:cs="Calibri" w:eastAsia="Calibri" w:hAnsi="Calibri"/>
                <w:b w:val="false"/>
                <w:bCs w:val="false"/>
                <w:sz w:val="20"/>
                <w:szCs w:val="20"/>
              </w:rPr>
              <w:t xml:space="preserve">9.73</w:t>
            </w:r>
          </w:p>
        </w:tc>
      </w:tr>
      <w:tr>
        <w:tc>
          <w:tcPr>
            <w:tcW w:type="dxa" w:w="3600"/>
            <w:tcMar>
              <w:top w:type="dxa" w:w="70"/>
              <w:left w:type="dxa" w:w="110"/>
              <w:bottom w:type="dxa" w:w="70"/>
              <w:right w:type="dxa" w:w="110"/>
            </w:tcMar>
          </w:tcPr>
          <w:p>
            <w:pPr>
              <w:spacing w:after="0" w:line="252"/>
            </w:pPr>
            <w:r>
              <w:rPr>
                <w:rFonts w:ascii="Calibri" w:cs="Calibri" w:eastAsia="Calibri" w:hAnsi="Calibri"/>
                <w:b w:val="false"/>
                <w:bCs w:val="false"/>
                <w:sz w:val="20"/>
                <w:szCs w:val="20"/>
              </w:rPr>
              <w:t xml:space="preserve">50–199</w:t>
            </w:r>
          </w:p>
        </w:tc>
        <w:tc>
          <w:tcPr>
            <w:tcW w:type="dxa" w:w="2160"/>
            <w:tcMar>
              <w:top w:type="dxa" w:w="70"/>
              <w:left w:type="dxa" w:w="110"/>
              <w:bottom w:type="dxa" w:w="70"/>
              <w:right w:type="dxa" w:w="110"/>
            </w:tcMar>
          </w:tcPr>
          <w:p>
            <w:pPr>
              <w:spacing w:after="0" w:line="252"/>
              <w:jc w:val="right"/>
            </w:pPr>
            <w:r>
              <w:rPr>
                <w:rFonts w:ascii="Calibri" w:cs="Calibri" w:eastAsia="Calibri" w:hAnsi="Calibri"/>
                <w:b w:val="false"/>
                <w:bCs w:val="false"/>
                <w:sz w:val="20"/>
                <w:szCs w:val="20"/>
              </w:rPr>
              <w:t xml:space="preserve">202</w:t>
            </w:r>
          </w:p>
        </w:tc>
        <w:tc>
          <w:tcPr>
            <w:tcW w:type="dxa" w:w="3600"/>
            <w:tcMar>
              <w:top w:type="dxa" w:w="70"/>
              <w:left w:type="dxa" w:w="110"/>
              <w:bottom w:type="dxa" w:w="70"/>
              <w:right w:type="dxa" w:w="110"/>
            </w:tcMar>
          </w:tcPr>
          <w:p>
            <w:pPr>
              <w:spacing w:after="0" w:line="252"/>
              <w:jc w:val="right"/>
            </w:pPr>
            <w:r>
              <w:rPr>
                <w:rFonts w:ascii="Calibri" w:cs="Calibri" w:eastAsia="Calibri" w:hAnsi="Calibri"/>
                <w:b w:val="false"/>
                <w:bCs w:val="false"/>
                <w:sz w:val="20"/>
                <w:szCs w:val="20"/>
              </w:rPr>
              <w:t xml:space="preserve">8.17</w:t>
            </w:r>
          </w:p>
        </w:tc>
      </w:tr>
      <w:tr>
        <w:tc>
          <w:tcPr>
            <w:tcW w:type="dxa" w:w="3600"/>
            <w:tcMar>
              <w:top w:type="dxa" w:w="70"/>
              <w:left w:type="dxa" w:w="110"/>
              <w:bottom w:type="dxa" w:w="70"/>
              <w:right w:type="dxa" w:w="110"/>
            </w:tcMar>
          </w:tcPr>
          <w:p>
            <w:pPr>
              <w:spacing w:after="0" w:line="252"/>
            </w:pPr>
            <w:r>
              <w:rPr>
                <w:rFonts w:ascii="Calibri" w:cs="Calibri" w:eastAsia="Calibri" w:hAnsi="Calibri"/>
                <w:b w:val="false"/>
                <w:bCs w:val="false"/>
                <w:sz w:val="20"/>
                <w:szCs w:val="20"/>
              </w:rPr>
              <w:t xml:space="preserve">200 or more</w:t>
            </w:r>
          </w:p>
        </w:tc>
        <w:tc>
          <w:tcPr>
            <w:tcW w:type="dxa" w:w="2160"/>
            <w:tcMar>
              <w:top w:type="dxa" w:w="70"/>
              <w:left w:type="dxa" w:w="110"/>
              <w:bottom w:type="dxa" w:w="70"/>
              <w:right w:type="dxa" w:w="110"/>
            </w:tcMar>
          </w:tcPr>
          <w:p>
            <w:pPr>
              <w:spacing w:after="0" w:line="252"/>
              <w:jc w:val="right"/>
            </w:pPr>
            <w:r>
              <w:rPr>
                <w:rFonts w:ascii="Calibri" w:cs="Calibri" w:eastAsia="Calibri" w:hAnsi="Calibri"/>
                <w:b w:val="false"/>
                <w:bCs w:val="false"/>
                <w:sz w:val="20"/>
                <w:szCs w:val="20"/>
              </w:rPr>
              <w:t xml:space="preserve">100</w:t>
            </w:r>
          </w:p>
        </w:tc>
        <w:tc>
          <w:tcPr>
            <w:tcW w:type="dxa" w:w="3600"/>
            <w:tcMar>
              <w:top w:type="dxa" w:w="70"/>
              <w:left w:type="dxa" w:w="110"/>
              <w:bottom w:type="dxa" w:w="70"/>
              <w:right w:type="dxa" w:w="110"/>
            </w:tcMar>
          </w:tcPr>
          <w:p>
            <w:pPr>
              <w:spacing w:after="0" w:line="252"/>
              <w:jc w:val="right"/>
            </w:pPr>
            <w:r>
              <w:rPr>
                <w:rFonts w:ascii="Calibri" w:cs="Calibri" w:eastAsia="Calibri" w:hAnsi="Calibri"/>
                <w:b w:val="false"/>
                <w:bCs w:val="false"/>
                <w:sz w:val="20"/>
                <w:szCs w:val="20"/>
              </w:rPr>
              <w:t xml:space="preserve">5.96</w:t>
            </w:r>
          </w:p>
        </w:tc>
      </w:tr>
    </w:tbl>
    <w:p>
      <w:pPr>
        <w:spacing w:after="120" w:line="276"/>
      </w:pPr>
      <w:r>
        <w:rPr>
          <w:rFonts w:ascii="Calibri" w:cs="Calibri" w:eastAsia="Calibri" w:hAnsi="Calibri"/>
          <w:sz w:val="22"/>
          <w:szCs w:val="22"/>
        </w:rPr>
        <w:t xml:space="preserve">A player on nine passes or fewer carries four times the variability of a player on two hundred or more, and that variability is arithmetic rather than footballing: with five attempts the rate can only take six possible values, so it registers luck at least as much as skill. Among the excluded group the correlation is not even positive — a further sign that in that range the ratio is not tracking ability at all. This is why the floor is set at twenty rather than one: not because low-volume players are worse, but because their ratios carry too little information to average.</w:t>
      </w:r>
    </w:p>
    <w:p>
      <w:pPr>
        <w:pStyle w:val="Heading2"/>
        <w:spacing w:after="120" w:before="240"/>
      </w:pPr>
      <w:r>
        <w:rPr>
          <w:rFonts w:ascii="Calibri" w:cs="Calibri" w:eastAsia="Calibri" w:hAnsi="Calibri"/>
          <w:b/>
          <w:bCs/>
          <w:color w:val="1F4E5F"/>
          <w:sz w:val="24"/>
          <w:szCs w:val="24"/>
        </w:rPr>
        <w:t xml:space="preserve">Decision 3 — The sample</w:t>
      </w:r>
    </w:p>
    <w:p>
      <w:pPr>
        <w:spacing w:after="120" w:line="276"/>
      </w:pPr>
      <w:r>
        <w:rPr>
          <w:rFonts w:ascii="Calibri" w:cs="Calibri" w:eastAsia="Calibri" w:hAnsi="Calibri"/>
          <w:b/>
          <w:bCs/>
          <w:color w:val="1F4E5F"/>
          <w:sz w:val="22"/>
          <w:szCs w:val="22"/>
        </w:rPr>
        <w:t xml:space="preserve">WHY  </w:t>
      </w:r>
      <w:r>
        <w:rPr>
          <w:rFonts w:ascii="Calibri" w:cs="Calibri" w:eastAsia="Calibri" w:hAnsi="Calibri"/>
          <w:sz w:val="22"/>
          <w:szCs w:val="22"/>
        </w:rPr>
        <w:t xml:space="preserve">A small paradox: the entire population of 383 is held, so why sample at all? Because the exercise concerns inference — reasoning from a part to a whole. The question becomes which sample would represent this population honestly.</w:t>
      </w:r>
    </w:p>
    <w:p>
      <w:pPr>
        <w:spacing w:after="120" w:line="276"/>
      </w:pPr>
      <w:r>
        <w:rPr>
          <w:rFonts w:ascii="Calibri" w:cs="Calibri" w:eastAsia="Calibri" w:hAnsi="Calibri"/>
          <w:b/>
          <w:bCs/>
          <w:color w:val="1F4E5F"/>
          <w:sz w:val="22"/>
          <w:szCs w:val="22"/>
        </w:rPr>
        <w:t xml:space="preserve">STORY  </w:t>
      </w:r>
      <w:r>
        <w:rPr>
          <w:rFonts w:ascii="Calibri" w:cs="Calibri" w:eastAsia="Calibri" w:hAnsi="Calibri"/>
          <w:sz w:val="22"/>
          <w:szCs w:val="22"/>
        </w:rPr>
        <w:t xml:space="preserve">The sample came out at 29 UEFA and 11 CONMEBOL, and the first instinct was to rebalance it to twenty and twenty so the test would have more power on the smaller group. Examining the population changed that: 282 of its 383 members are European, because sixteen UEFA teams qualified against six CONMEBOL. The imbalance is a fact about the tournament, not a defect in the sample. Forcing an even split would invent a balance that does not exist, and the confidence interval is an estimate for this population, so the sample should resemble it.</w:t>
      </w:r>
    </w:p>
    <w:p>
      <w:pPr>
        <w:spacing w:after="120" w:line="276"/>
      </w:pPr>
      <w:r>
        <w:rPr>
          <w:rFonts w:ascii="Calibri" w:cs="Calibri" w:eastAsia="Calibri" w:hAnsi="Calibri"/>
          <w:b/>
          <w:bCs/>
          <w:color w:val="1F4E5F"/>
          <w:sz w:val="22"/>
          <w:szCs w:val="22"/>
        </w:rPr>
        <w:t xml:space="preserve">HOW  </w:t>
      </w:r>
      <w:r>
        <w:rPr>
          <w:rFonts w:ascii="Calibri" w:cs="Calibri" w:eastAsia="Calibri" w:hAnsi="Calibri"/>
          <w:sz w:val="22"/>
          <w:szCs w:val="22"/>
        </w:rPr>
        <w:t xml:space="preserve">Simple random sample, n = 40, drawn with a fixed seed of 42.</w:t>
      </w:r>
    </w:p>
    <w:tbl>
      <w:tblPr>
        <w:tblW w:type="dxa" w:w="9360"/>
        <w:tblBorders>
          <w:top w:val="single" w:color="C3C2B7" w:sz="4"/>
          <w:left w:val="none"/>
          <w:bottom w:val="single" w:color="C3C2B7" w:sz="4"/>
          <w:right w:val="none"/>
          <w:insideH w:val="single" w:color="E1E0D9" w:sz="2"/>
          <w:insideV w:val="none"/>
        </w:tblBorders>
      </w:tblPr>
      <w:tblGrid>
        <w:gridCol w:w="5014"/>
        <w:gridCol w:w="2006"/>
        <w:gridCol w:w="2340"/>
      </w:tblGrid>
      <w:tr>
        <w:trPr>
          <w:tblHeader/>
        </w:trPr>
        <w:tc>
          <w:tcPr>
            <w:tcW w:type="dxa" w:w="5014"/>
            <w:shd w:fill="F2F7FB" w:color="auto" w:val="clear"/>
            <w:tcMar>
              <w:top w:type="dxa" w:w="70"/>
              <w:left w:type="dxa" w:w="110"/>
              <w:bottom w:type="dxa" w:w="70"/>
              <w:right w:type="dxa" w:w="110"/>
            </w:tcMar>
          </w:tcPr>
          <w:p>
            <w:pPr>
              <w:spacing w:after="0" w:line="252"/>
            </w:pPr>
            <w:r>
              <w:rPr>
                <w:rFonts w:ascii="Calibri" w:cs="Calibri" w:eastAsia="Calibri" w:hAnsi="Calibri"/>
                <w:b/>
                <w:bCs/>
                <w:sz w:val="20"/>
                <w:szCs w:val="20"/>
              </w:rPr>
              <w:t xml:space="preserve"/>
            </w:r>
          </w:p>
        </w:tc>
        <w:tc>
          <w:tcPr>
            <w:tcW w:type="dxa" w:w="2006"/>
            <w:shd w:fill="F2F7FB" w:color="auto" w:val="clear"/>
            <w:tcMar>
              <w:top w:type="dxa" w:w="70"/>
              <w:left w:type="dxa" w:w="110"/>
              <w:bottom w:type="dxa" w:w="70"/>
              <w:right w:type="dxa" w:w="110"/>
            </w:tcMar>
          </w:tcPr>
          <w:p>
            <w:pPr>
              <w:spacing w:after="0" w:line="252"/>
              <w:jc w:val="right"/>
            </w:pPr>
            <w:r>
              <w:rPr>
                <w:rFonts w:ascii="Calibri" w:cs="Calibri" w:eastAsia="Calibri" w:hAnsi="Calibri"/>
                <w:b/>
                <w:bCs/>
                <w:sz w:val="20"/>
                <w:szCs w:val="20"/>
              </w:rPr>
              <w:t xml:space="preserve">UEFA</w:t>
            </w:r>
          </w:p>
        </w:tc>
        <w:tc>
          <w:tcPr>
            <w:tcW w:type="dxa" w:w="2340"/>
            <w:shd w:fill="F2F7FB" w:color="auto" w:val="clear"/>
            <w:tcMar>
              <w:top w:type="dxa" w:w="70"/>
              <w:left w:type="dxa" w:w="110"/>
              <w:bottom w:type="dxa" w:w="70"/>
              <w:right w:type="dxa" w:w="110"/>
            </w:tcMar>
          </w:tcPr>
          <w:p>
            <w:pPr>
              <w:spacing w:after="0" w:line="252"/>
              <w:jc w:val="right"/>
            </w:pPr>
            <w:r>
              <w:rPr>
                <w:rFonts w:ascii="Calibri" w:cs="Calibri" w:eastAsia="Calibri" w:hAnsi="Calibri"/>
                <w:b/>
                <w:bCs/>
                <w:sz w:val="20"/>
                <w:szCs w:val="20"/>
              </w:rPr>
              <w:t xml:space="preserve">CONMEBOL</w:t>
            </w:r>
          </w:p>
        </w:tc>
      </w:tr>
      <w:tr>
        <w:tc>
          <w:tcPr>
            <w:tcW w:type="dxa" w:w="5014"/>
            <w:tcMar>
              <w:top w:type="dxa" w:w="70"/>
              <w:left w:type="dxa" w:w="110"/>
              <w:bottom w:type="dxa" w:w="70"/>
              <w:right w:type="dxa" w:w="110"/>
            </w:tcMar>
          </w:tcPr>
          <w:p>
            <w:pPr>
              <w:spacing w:after="0" w:line="252"/>
            </w:pPr>
            <w:r>
              <w:rPr>
                <w:rFonts w:ascii="Calibri" w:cs="Calibri" w:eastAsia="Calibri" w:hAnsi="Calibri"/>
                <w:b w:val="false"/>
                <w:bCs w:val="false"/>
                <w:sz w:val="20"/>
                <w:szCs w:val="20"/>
              </w:rPr>
              <w:t xml:space="preserve">Population (383)</w:t>
            </w:r>
          </w:p>
        </w:tc>
        <w:tc>
          <w:tcPr>
            <w:tcW w:type="dxa" w:w="2006"/>
            <w:tcMar>
              <w:top w:type="dxa" w:w="70"/>
              <w:left w:type="dxa" w:w="110"/>
              <w:bottom w:type="dxa" w:w="70"/>
              <w:right w:type="dxa" w:w="110"/>
            </w:tcMar>
          </w:tcPr>
          <w:p>
            <w:pPr>
              <w:spacing w:after="0" w:line="252"/>
              <w:jc w:val="right"/>
            </w:pPr>
            <w:r>
              <w:rPr>
                <w:rFonts w:ascii="Calibri" w:cs="Calibri" w:eastAsia="Calibri" w:hAnsi="Calibri"/>
                <w:b w:val="false"/>
                <w:bCs w:val="false"/>
                <w:sz w:val="20"/>
                <w:szCs w:val="20"/>
              </w:rPr>
              <w:t xml:space="preserve">73.6%</w:t>
            </w:r>
          </w:p>
        </w:tc>
        <w:tc>
          <w:tcPr>
            <w:tcW w:type="dxa" w:w="2340"/>
            <w:tcMar>
              <w:top w:type="dxa" w:w="70"/>
              <w:left w:type="dxa" w:w="110"/>
              <w:bottom w:type="dxa" w:w="70"/>
              <w:right w:type="dxa" w:w="110"/>
            </w:tcMar>
          </w:tcPr>
          <w:p>
            <w:pPr>
              <w:spacing w:after="0" w:line="252"/>
              <w:jc w:val="right"/>
            </w:pPr>
            <w:r>
              <w:rPr>
                <w:rFonts w:ascii="Calibri" w:cs="Calibri" w:eastAsia="Calibri" w:hAnsi="Calibri"/>
                <w:b w:val="false"/>
                <w:bCs w:val="false"/>
                <w:sz w:val="20"/>
                <w:szCs w:val="20"/>
              </w:rPr>
              <w:t xml:space="preserve">26.4%</w:t>
            </w:r>
          </w:p>
        </w:tc>
      </w:tr>
      <w:tr>
        <w:tc>
          <w:tcPr>
            <w:tcW w:type="dxa" w:w="5014"/>
            <w:tcMar>
              <w:top w:type="dxa" w:w="70"/>
              <w:left w:type="dxa" w:w="110"/>
              <w:bottom w:type="dxa" w:w="70"/>
              <w:right w:type="dxa" w:w="110"/>
            </w:tcMar>
          </w:tcPr>
          <w:p>
            <w:pPr>
              <w:spacing w:after="0" w:line="252"/>
            </w:pPr>
            <w:r>
              <w:rPr>
                <w:rFonts w:ascii="Calibri" w:cs="Calibri" w:eastAsia="Calibri" w:hAnsi="Calibri"/>
                <w:b w:val="false"/>
                <w:bCs w:val="false"/>
                <w:sz w:val="20"/>
                <w:szCs w:val="20"/>
              </w:rPr>
              <w:t xml:space="preserve">Sample (40)</w:t>
            </w:r>
          </w:p>
        </w:tc>
        <w:tc>
          <w:tcPr>
            <w:tcW w:type="dxa" w:w="2006"/>
            <w:tcMar>
              <w:top w:type="dxa" w:w="70"/>
              <w:left w:type="dxa" w:w="110"/>
              <w:bottom w:type="dxa" w:w="70"/>
              <w:right w:type="dxa" w:w="110"/>
            </w:tcMar>
          </w:tcPr>
          <w:p>
            <w:pPr>
              <w:spacing w:after="0" w:line="252"/>
              <w:jc w:val="right"/>
            </w:pPr>
            <w:r>
              <w:rPr>
                <w:rFonts w:ascii="Calibri" w:cs="Calibri" w:eastAsia="Calibri" w:hAnsi="Calibri"/>
                <w:b w:val="false"/>
                <w:bCs w:val="false"/>
                <w:sz w:val="20"/>
                <w:szCs w:val="20"/>
              </w:rPr>
              <w:t xml:space="preserve">72.5%</w:t>
            </w:r>
          </w:p>
        </w:tc>
        <w:tc>
          <w:tcPr>
            <w:tcW w:type="dxa" w:w="2340"/>
            <w:tcMar>
              <w:top w:type="dxa" w:w="70"/>
              <w:left w:type="dxa" w:w="110"/>
              <w:bottom w:type="dxa" w:w="70"/>
              <w:right w:type="dxa" w:w="110"/>
            </w:tcMar>
          </w:tcPr>
          <w:p>
            <w:pPr>
              <w:spacing w:after="0" w:line="252"/>
              <w:jc w:val="right"/>
            </w:pPr>
            <w:r>
              <w:rPr>
                <w:rFonts w:ascii="Calibri" w:cs="Calibri" w:eastAsia="Calibri" w:hAnsi="Calibri"/>
                <w:b w:val="false"/>
                <w:bCs w:val="false"/>
                <w:sz w:val="20"/>
                <w:szCs w:val="20"/>
              </w:rPr>
              <w:t xml:space="preserve">27.5%</w:t>
            </w:r>
          </w:p>
        </w:tc>
      </w:tr>
    </w:tbl>
    <w:p>
      <w:pPr>
        <w:spacing w:after="220" w:before="60"/>
      </w:pPr>
      <w:r>
        <w:rPr>
          <w:rFonts w:ascii="Calibri" w:cs="Calibri" w:eastAsia="Calibri" w:hAnsi="Calibri"/>
          <w:i/>
          <w:iCs/>
          <w:color w:val="52514E"/>
          <w:sz w:val="18"/>
          <w:szCs w:val="18"/>
        </w:rPr>
        <w:t xml:space="preserve">The sample mirrors the population to within about one percentage point — the evidence for not stratifying. Forcing an even split would have produced 50/50, some twenty-four points away from the truth. The seed is fixed so that any group member re-running the script obtains the identical forty players; this was verified by drawing twice and comparing.</w:t>
      </w:r>
    </w:p>
    <w:p>
      <w:pPr>
        <w:pStyle w:val="Heading1"/>
        <w:spacing w:after="160" w:before="340"/>
      </w:pPr>
      <w:r>
        <w:rPr>
          <w:rFonts w:ascii="Calibri" w:cs="Calibri" w:eastAsia="Calibri" w:hAnsi="Calibri"/>
          <w:b/>
          <w:bCs/>
          <w:color w:val="1F4E5F"/>
          <w:sz w:val="30"/>
          <w:szCs w:val="30"/>
        </w:rPr>
        <w:t xml:space="preserve">Step 4 — Descriptive statistics</w:t>
      </w:r>
    </w:p>
    <w:p>
      <w:pPr>
        <w:spacing w:after="120" w:line="276"/>
      </w:pPr>
      <w:r>
        <w:rPr>
          <w:rFonts w:ascii="Calibri" w:cs="Calibri" w:eastAsia="Calibri" w:hAnsi="Calibri"/>
          <w:b/>
          <w:bCs/>
          <w:color w:val="1F4E5F"/>
          <w:sz w:val="22"/>
          <w:szCs w:val="22"/>
        </w:rPr>
        <w:t xml:space="preserve">WHY  </w:t>
      </w:r>
      <w:r>
        <w:rPr>
          <w:rFonts w:ascii="Calibri" w:cs="Calibri" w:eastAsia="Calibri" w:hAnsi="Calibri"/>
          <w:sz w:val="22"/>
          <w:szCs w:val="22"/>
        </w:rPr>
        <w:t xml:space="preserve">The temptation is to proceed directly to the hypothesis test, since that is where the answer lies. Descriptive statistics answers a prior question: does the analyst actually understand what is about to be tested? It is the only step in which the data is looked at rather than computed upon — a test will return a number whatever it is fed, and will not report a mis-scaled variable or an impossible value. It is also where the tools for later steps are chosen.</w:t>
      </w:r>
    </w:p>
    <w:tbl>
      <w:tblPr>
        <w:tblW w:type="dxa" w:w="9360"/>
        <w:tblBorders>
          <w:top w:val="single" w:color="C3C2B7" w:sz="4"/>
          <w:left w:val="none"/>
          <w:bottom w:val="single" w:color="C3C2B7" w:sz="4"/>
          <w:right w:val="none"/>
          <w:insideH w:val="single" w:color="E1E0D9" w:sz="2"/>
          <w:insideV w:val="none"/>
        </w:tblBorders>
      </w:tblPr>
      <w:tblGrid>
        <w:gridCol w:w="2880"/>
        <w:gridCol w:w="840"/>
        <w:gridCol w:w="1200"/>
        <w:gridCol w:w="1080"/>
        <w:gridCol w:w="1200"/>
        <w:gridCol w:w="1080"/>
        <w:gridCol w:w="1080"/>
      </w:tblGrid>
      <w:tr>
        <w:trPr>
          <w:tblHeader/>
        </w:trPr>
        <w:tc>
          <w:tcPr>
            <w:tcW w:type="dxa" w:w="2880"/>
            <w:shd w:fill="F2F7FB" w:color="auto" w:val="clear"/>
            <w:tcMar>
              <w:top w:type="dxa" w:w="70"/>
              <w:left w:type="dxa" w:w="110"/>
              <w:bottom w:type="dxa" w:w="70"/>
              <w:right w:type="dxa" w:w="110"/>
            </w:tcMar>
          </w:tcPr>
          <w:p>
            <w:pPr>
              <w:spacing w:after="0" w:line="252"/>
            </w:pPr>
            <w:r>
              <w:rPr>
                <w:rFonts w:ascii="Calibri" w:cs="Calibri" w:eastAsia="Calibri" w:hAnsi="Calibri"/>
                <w:b/>
                <w:bCs/>
                <w:sz w:val="20"/>
                <w:szCs w:val="20"/>
              </w:rPr>
              <w:t xml:space="preserve"/>
            </w:r>
          </w:p>
        </w:tc>
        <w:tc>
          <w:tcPr>
            <w:tcW w:type="dxa" w:w="840"/>
            <w:shd w:fill="F2F7FB" w:color="auto" w:val="clear"/>
            <w:tcMar>
              <w:top w:type="dxa" w:w="70"/>
              <w:left w:type="dxa" w:w="110"/>
              <w:bottom w:type="dxa" w:w="70"/>
              <w:right w:type="dxa" w:w="110"/>
            </w:tcMar>
          </w:tcPr>
          <w:p>
            <w:pPr>
              <w:spacing w:after="0" w:line="252"/>
              <w:jc w:val="right"/>
            </w:pPr>
            <w:r>
              <w:rPr>
                <w:rFonts w:ascii="Calibri" w:cs="Calibri" w:eastAsia="Calibri" w:hAnsi="Calibri"/>
                <w:b/>
                <w:bCs/>
                <w:sz w:val="20"/>
                <w:szCs w:val="20"/>
              </w:rPr>
              <w:t xml:space="preserve">n</w:t>
            </w:r>
          </w:p>
        </w:tc>
        <w:tc>
          <w:tcPr>
            <w:tcW w:type="dxa" w:w="1200"/>
            <w:shd w:fill="F2F7FB" w:color="auto" w:val="clear"/>
            <w:tcMar>
              <w:top w:type="dxa" w:w="70"/>
              <w:left w:type="dxa" w:w="110"/>
              <w:bottom w:type="dxa" w:w="70"/>
              <w:right w:type="dxa" w:w="110"/>
            </w:tcMar>
          </w:tcPr>
          <w:p>
            <w:pPr>
              <w:spacing w:after="0" w:line="252"/>
              <w:jc w:val="right"/>
            </w:pPr>
            <w:r>
              <w:rPr>
                <w:rFonts w:ascii="Calibri" w:cs="Calibri" w:eastAsia="Calibri" w:hAnsi="Calibri"/>
                <w:b/>
                <w:bCs/>
                <w:sz w:val="20"/>
                <w:szCs w:val="20"/>
              </w:rPr>
              <w:t xml:space="preserve">Mean</w:t>
            </w:r>
          </w:p>
        </w:tc>
        <w:tc>
          <w:tcPr>
            <w:tcW w:type="dxa" w:w="1080"/>
            <w:shd w:fill="F2F7FB" w:color="auto" w:val="clear"/>
            <w:tcMar>
              <w:top w:type="dxa" w:w="70"/>
              <w:left w:type="dxa" w:w="110"/>
              <w:bottom w:type="dxa" w:w="70"/>
              <w:right w:type="dxa" w:w="110"/>
            </w:tcMar>
          </w:tcPr>
          <w:p>
            <w:pPr>
              <w:spacing w:after="0" w:line="252"/>
              <w:jc w:val="right"/>
            </w:pPr>
            <w:r>
              <w:rPr>
                <w:rFonts w:ascii="Calibri" w:cs="Calibri" w:eastAsia="Calibri" w:hAnsi="Calibri"/>
                <w:b/>
                <w:bCs/>
                <w:sz w:val="20"/>
                <w:szCs w:val="20"/>
              </w:rPr>
              <w:t xml:space="preserve">SD</w:t>
            </w:r>
          </w:p>
        </w:tc>
        <w:tc>
          <w:tcPr>
            <w:tcW w:type="dxa" w:w="1200"/>
            <w:shd w:fill="F2F7FB" w:color="auto" w:val="clear"/>
            <w:tcMar>
              <w:top w:type="dxa" w:w="70"/>
              <w:left w:type="dxa" w:w="110"/>
              <w:bottom w:type="dxa" w:w="70"/>
              <w:right w:type="dxa" w:w="110"/>
            </w:tcMar>
          </w:tcPr>
          <w:p>
            <w:pPr>
              <w:spacing w:after="0" w:line="252"/>
              <w:jc w:val="right"/>
            </w:pPr>
            <w:r>
              <w:rPr>
                <w:rFonts w:ascii="Calibri" w:cs="Calibri" w:eastAsia="Calibri" w:hAnsi="Calibri"/>
                <w:b/>
                <w:bCs/>
                <w:sz w:val="20"/>
                <w:szCs w:val="20"/>
              </w:rPr>
              <w:t xml:space="preserve">Median</w:t>
            </w:r>
          </w:p>
        </w:tc>
        <w:tc>
          <w:tcPr>
            <w:tcW w:type="dxa" w:w="1080"/>
            <w:shd w:fill="F2F7FB" w:color="auto" w:val="clear"/>
            <w:tcMar>
              <w:top w:type="dxa" w:w="70"/>
              <w:left w:type="dxa" w:w="110"/>
              <w:bottom w:type="dxa" w:w="70"/>
              <w:right w:type="dxa" w:w="110"/>
            </w:tcMar>
          </w:tcPr>
          <w:p>
            <w:pPr>
              <w:spacing w:after="0" w:line="252"/>
              <w:jc w:val="right"/>
            </w:pPr>
            <w:r>
              <w:rPr>
                <w:rFonts w:ascii="Calibri" w:cs="Calibri" w:eastAsia="Calibri" w:hAnsi="Calibri"/>
                <w:b/>
                <w:bCs/>
                <w:sz w:val="20"/>
                <w:szCs w:val="20"/>
              </w:rPr>
              <w:t xml:space="preserve">Min</w:t>
            </w:r>
          </w:p>
        </w:tc>
        <w:tc>
          <w:tcPr>
            <w:tcW w:type="dxa" w:w="1080"/>
            <w:shd w:fill="F2F7FB" w:color="auto" w:val="clear"/>
            <w:tcMar>
              <w:top w:type="dxa" w:w="70"/>
              <w:left w:type="dxa" w:w="110"/>
              <w:bottom w:type="dxa" w:w="70"/>
              <w:right w:type="dxa" w:w="110"/>
            </w:tcMar>
          </w:tcPr>
          <w:p>
            <w:pPr>
              <w:spacing w:after="0" w:line="252"/>
              <w:jc w:val="right"/>
            </w:pPr>
            <w:r>
              <w:rPr>
                <w:rFonts w:ascii="Calibri" w:cs="Calibri" w:eastAsia="Calibri" w:hAnsi="Calibri"/>
                <w:b/>
                <w:bCs/>
                <w:sz w:val="20"/>
                <w:szCs w:val="20"/>
              </w:rPr>
              <w:t xml:space="preserve">Max</w:t>
            </w:r>
          </w:p>
        </w:tc>
      </w:tr>
      <w:tr>
        <w:tc>
          <w:tcPr>
            <w:tcW w:type="dxa" w:w="2880"/>
            <w:tcMar>
              <w:top w:type="dxa" w:w="70"/>
              <w:left w:type="dxa" w:w="110"/>
              <w:bottom w:type="dxa" w:w="70"/>
              <w:right w:type="dxa" w:w="110"/>
            </w:tcMar>
          </w:tcPr>
          <w:p>
            <w:pPr>
              <w:spacing w:after="0" w:line="252"/>
            </w:pPr>
            <w:r>
              <w:rPr>
                <w:rFonts w:ascii="Calibri" w:cs="Calibri" w:eastAsia="Calibri" w:hAnsi="Calibri"/>
                <w:b w:val="false"/>
                <w:bCs w:val="false"/>
                <w:sz w:val="20"/>
                <w:szCs w:val="20"/>
              </w:rPr>
              <w:t xml:space="preserve">Whole sample</w:t>
            </w:r>
          </w:p>
        </w:tc>
        <w:tc>
          <w:tcPr>
            <w:tcW w:type="dxa" w:w="840"/>
            <w:tcMar>
              <w:top w:type="dxa" w:w="70"/>
              <w:left w:type="dxa" w:w="110"/>
              <w:bottom w:type="dxa" w:w="70"/>
              <w:right w:type="dxa" w:w="110"/>
            </w:tcMar>
          </w:tcPr>
          <w:p>
            <w:pPr>
              <w:spacing w:after="0" w:line="252"/>
              <w:jc w:val="right"/>
            </w:pPr>
            <w:r>
              <w:rPr>
                <w:rFonts w:ascii="Calibri" w:cs="Calibri" w:eastAsia="Calibri" w:hAnsi="Calibri"/>
                <w:b w:val="false"/>
                <w:bCs w:val="false"/>
                <w:sz w:val="20"/>
                <w:szCs w:val="20"/>
              </w:rPr>
              <w:t xml:space="preserve">40</w:t>
            </w:r>
          </w:p>
        </w:tc>
        <w:tc>
          <w:tcPr>
            <w:tcW w:type="dxa" w:w="1200"/>
            <w:tcMar>
              <w:top w:type="dxa" w:w="70"/>
              <w:left w:type="dxa" w:w="110"/>
              <w:bottom w:type="dxa" w:w="70"/>
              <w:right w:type="dxa" w:w="110"/>
            </w:tcMar>
          </w:tcPr>
          <w:p>
            <w:pPr>
              <w:spacing w:after="0" w:line="252"/>
              <w:jc w:val="right"/>
            </w:pPr>
            <w:r>
              <w:rPr>
                <w:rFonts w:ascii="Calibri" w:cs="Calibri" w:eastAsia="Calibri" w:hAnsi="Calibri"/>
                <w:b w:val="false"/>
                <w:bCs w:val="false"/>
                <w:sz w:val="20"/>
                <w:szCs w:val="20"/>
              </w:rPr>
              <w:t xml:space="preserve">84.77</w:t>
            </w:r>
          </w:p>
        </w:tc>
        <w:tc>
          <w:tcPr>
            <w:tcW w:type="dxa" w:w="1080"/>
            <w:tcMar>
              <w:top w:type="dxa" w:w="70"/>
              <w:left w:type="dxa" w:w="110"/>
              <w:bottom w:type="dxa" w:w="70"/>
              <w:right w:type="dxa" w:w="110"/>
            </w:tcMar>
          </w:tcPr>
          <w:p>
            <w:pPr>
              <w:spacing w:after="0" w:line="252"/>
              <w:jc w:val="right"/>
            </w:pPr>
            <w:r>
              <w:rPr>
                <w:rFonts w:ascii="Calibri" w:cs="Calibri" w:eastAsia="Calibri" w:hAnsi="Calibri"/>
                <w:b w:val="false"/>
                <w:bCs w:val="false"/>
                <w:sz w:val="20"/>
                <w:szCs w:val="20"/>
              </w:rPr>
              <w:t xml:space="preserve">9.02</w:t>
            </w:r>
          </w:p>
        </w:tc>
        <w:tc>
          <w:tcPr>
            <w:tcW w:type="dxa" w:w="1200"/>
            <w:tcMar>
              <w:top w:type="dxa" w:w="70"/>
              <w:left w:type="dxa" w:w="110"/>
              <w:bottom w:type="dxa" w:w="70"/>
              <w:right w:type="dxa" w:w="110"/>
            </w:tcMar>
          </w:tcPr>
          <w:p>
            <w:pPr>
              <w:spacing w:after="0" w:line="252"/>
              <w:jc w:val="right"/>
            </w:pPr>
            <w:r>
              <w:rPr>
                <w:rFonts w:ascii="Calibri" w:cs="Calibri" w:eastAsia="Calibri" w:hAnsi="Calibri"/>
                <w:b w:val="false"/>
                <w:bCs w:val="false"/>
                <w:sz w:val="20"/>
                <w:szCs w:val="20"/>
              </w:rPr>
              <w:t xml:space="preserve">87.96</w:t>
            </w:r>
          </w:p>
        </w:tc>
        <w:tc>
          <w:tcPr>
            <w:tcW w:type="dxa" w:w="1080"/>
            <w:tcMar>
              <w:top w:type="dxa" w:w="70"/>
              <w:left w:type="dxa" w:w="110"/>
              <w:bottom w:type="dxa" w:w="70"/>
              <w:right w:type="dxa" w:w="110"/>
            </w:tcMar>
          </w:tcPr>
          <w:p>
            <w:pPr>
              <w:spacing w:after="0" w:line="252"/>
              <w:jc w:val="right"/>
            </w:pPr>
            <w:r>
              <w:rPr>
                <w:rFonts w:ascii="Calibri" w:cs="Calibri" w:eastAsia="Calibri" w:hAnsi="Calibri"/>
                <w:b w:val="false"/>
                <w:bCs w:val="false"/>
                <w:sz w:val="20"/>
                <w:szCs w:val="20"/>
              </w:rPr>
              <w:t xml:space="preserve">66.67</w:t>
            </w:r>
          </w:p>
        </w:tc>
        <w:tc>
          <w:tcPr>
            <w:tcW w:type="dxa" w:w="1080"/>
            <w:tcMar>
              <w:top w:type="dxa" w:w="70"/>
              <w:left w:type="dxa" w:w="110"/>
              <w:bottom w:type="dxa" w:w="70"/>
              <w:right w:type="dxa" w:w="110"/>
            </w:tcMar>
          </w:tcPr>
          <w:p>
            <w:pPr>
              <w:spacing w:after="0" w:line="252"/>
              <w:jc w:val="right"/>
            </w:pPr>
            <w:r>
              <w:rPr>
                <w:rFonts w:ascii="Calibri" w:cs="Calibri" w:eastAsia="Calibri" w:hAnsi="Calibri"/>
                <w:b w:val="false"/>
                <w:bCs w:val="false"/>
                <w:sz w:val="20"/>
                <w:szCs w:val="20"/>
              </w:rPr>
              <w:t xml:space="preserve">96.77</w:t>
            </w:r>
          </w:p>
        </w:tc>
      </w:tr>
      <w:tr>
        <w:tc>
          <w:tcPr>
            <w:tcW w:type="dxa" w:w="2880"/>
            <w:tcMar>
              <w:top w:type="dxa" w:w="70"/>
              <w:left w:type="dxa" w:w="110"/>
              <w:bottom w:type="dxa" w:w="70"/>
              <w:right w:type="dxa" w:w="110"/>
            </w:tcMar>
          </w:tcPr>
          <w:p>
            <w:pPr>
              <w:spacing w:after="0" w:line="252"/>
            </w:pPr>
            <w:r>
              <w:rPr>
                <w:rFonts w:ascii="Calibri" w:cs="Calibri" w:eastAsia="Calibri" w:hAnsi="Calibri"/>
                <w:b w:val="false"/>
                <w:bCs w:val="false"/>
                <w:sz w:val="20"/>
                <w:szCs w:val="20"/>
              </w:rPr>
              <w:t xml:space="preserve">UEFA</w:t>
            </w:r>
          </w:p>
        </w:tc>
        <w:tc>
          <w:tcPr>
            <w:tcW w:type="dxa" w:w="840"/>
            <w:tcMar>
              <w:top w:type="dxa" w:w="70"/>
              <w:left w:type="dxa" w:w="110"/>
              <w:bottom w:type="dxa" w:w="70"/>
              <w:right w:type="dxa" w:w="110"/>
            </w:tcMar>
          </w:tcPr>
          <w:p>
            <w:pPr>
              <w:spacing w:after="0" w:line="252"/>
              <w:jc w:val="right"/>
            </w:pPr>
            <w:r>
              <w:rPr>
                <w:rFonts w:ascii="Calibri" w:cs="Calibri" w:eastAsia="Calibri" w:hAnsi="Calibri"/>
                <w:b w:val="false"/>
                <w:bCs w:val="false"/>
                <w:sz w:val="20"/>
                <w:szCs w:val="20"/>
              </w:rPr>
              <w:t xml:space="preserve">29</w:t>
            </w:r>
          </w:p>
        </w:tc>
        <w:tc>
          <w:tcPr>
            <w:tcW w:type="dxa" w:w="1200"/>
            <w:tcMar>
              <w:top w:type="dxa" w:w="70"/>
              <w:left w:type="dxa" w:w="110"/>
              <w:bottom w:type="dxa" w:w="70"/>
              <w:right w:type="dxa" w:w="110"/>
            </w:tcMar>
          </w:tcPr>
          <w:p>
            <w:pPr>
              <w:spacing w:after="0" w:line="252"/>
              <w:jc w:val="right"/>
            </w:pPr>
            <w:r>
              <w:rPr>
                <w:rFonts w:ascii="Calibri" w:cs="Calibri" w:eastAsia="Calibri" w:hAnsi="Calibri"/>
                <w:b w:val="false"/>
                <w:bCs w:val="false"/>
                <w:sz w:val="20"/>
                <w:szCs w:val="20"/>
              </w:rPr>
              <w:t xml:space="preserve">85.20</w:t>
            </w:r>
          </w:p>
        </w:tc>
        <w:tc>
          <w:tcPr>
            <w:tcW w:type="dxa" w:w="1080"/>
            <w:tcMar>
              <w:top w:type="dxa" w:w="70"/>
              <w:left w:type="dxa" w:w="110"/>
              <w:bottom w:type="dxa" w:w="70"/>
              <w:right w:type="dxa" w:w="110"/>
            </w:tcMar>
          </w:tcPr>
          <w:p>
            <w:pPr>
              <w:spacing w:after="0" w:line="252"/>
              <w:jc w:val="right"/>
            </w:pPr>
            <w:r>
              <w:rPr>
                <w:rFonts w:ascii="Calibri" w:cs="Calibri" w:eastAsia="Calibri" w:hAnsi="Calibri"/>
                <w:b w:val="false"/>
                <w:bCs w:val="false"/>
                <w:sz w:val="20"/>
                <w:szCs w:val="20"/>
              </w:rPr>
              <w:t xml:space="preserve">8.66</w:t>
            </w:r>
          </w:p>
        </w:tc>
        <w:tc>
          <w:tcPr>
            <w:tcW w:type="dxa" w:w="1200"/>
            <w:tcMar>
              <w:top w:type="dxa" w:w="70"/>
              <w:left w:type="dxa" w:w="110"/>
              <w:bottom w:type="dxa" w:w="70"/>
              <w:right w:type="dxa" w:w="110"/>
            </w:tcMar>
          </w:tcPr>
          <w:p>
            <w:pPr>
              <w:spacing w:after="0" w:line="252"/>
              <w:jc w:val="right"/>
            </w:pPr>
            <w:r>
              <w:rPr>
                <w:rFonts w:ascii="Calibri" w:cs="Calibri" w:eastAsia="Calibri" w:hAnsi="Calibri"/>
                <w:b w:val="false"/>
                <w:bCs w:val="false"/>
                <w:sz w:val="20"/>
                <w:szCs w:val="20"/>
              </w:rPr>
              <w:t xml:space="preserve">89.47</w:t>
            </w:r>
          </w:p>
        </w:tc>
        <w:tc>
          <w:tcPr>
            <w:tcW w:type="dxa" w:w="1080"/>
            <w:tcMar>
              <w:top w:type="dxa" w:w="70"/>
              <w:left w:type="dxa" w:w="110"/>
              <w:bottom w:type="dxa" w:w="70"/>
              <w:right w:type="dxa" w:w="110"/>
            </w:tcMar>
          </w:tcPr>
          <w:p>
            <w:pPr>
              <w:spacing w:after="0" w:line="252"/>
              <w:jc w:val="right"/>
            </w:pPr>
            <w:r>
              <w:rPr>
                <w:rFonts w:ascii="Calibri" w:cs="Calibri" w:eastAsia="Calibri" w:hAnsi="Calibri"/>
                <w:b w:val="false"/>
                <w:bCs w:val="false"/>
                <w:sz w:val="20"/>
                <w:szCs w:val="20"/>
              </w:rPr>
              <w:t xml:space="preserve">68.18</w:t>
            </w:r>
          </w:p>
        </w:tc>
        <w:tc>
          <w:tcPr>
            <w:tcW w:type="dxa" w:w="1080"/>
            <w:tcMar>
              <w:top w:type="dxa" w:w="70"/>
              <w:left w:type="dxa" w:w="110"/>
              <w:bottom w:type="dxa" w:w="70"/>
              <w:right w:type="dxa" w:w="110"/>
            </w:tcMar>
          </w:tcPr>
          <w:p>
            <w:pPr>
              <w:spacing w:after="0" w:line="252"/>
              <w:jc w:val="right"/>
            </w:pPr>
            <w:r>
              <w:rPr>
                <w:rFonts w:ascii="Calibri" w:cs="Calibri" w:eastAsia="Calibri" w:hAnsi="Calibri"/>
                <w:b w:val="false"/>
                <w:bCs w:val="false"/>
                <w:sz w:val="20"/>
                <w:szCs w:val="20"/>
              </w:rPr>
              <w:t xml:space="preserve">96.77</w:t>
            </w:r>
          </w:p>
        </w:tc>
      </w:tr>
      <w:tr>
        <w:tc>
          <w:tcPr>
            <w:tcW w:type="dxa" w:w="2880"/>
            <w:tcMar>
              <w:top w:type="dxa" w:w="70"/>
              <w:left w:type="dxa" w:w="110"/>
              <w:bottom w:type="dxa" w:w="70"/>
              <w:right w:type="dxa" w:w="110"/>
            </w:tcMar>
          </w:tcPr>
          <w:p>
            <w:pPr>
              <w:spacing w:after="0" w:line="252"/>
            </w:pPr>
            <w:r>
              <w:rPr>
                <w:rFonts w:ascii="Calibri" w:cs="Calibri" w:eastAsia="Calibri" w:hAnsi="Calibri"/>
                <w:b w:val="false"/>
                <w:bCs w:val="false"/>
                <w:sz w:val="20"/>
                <w:szCs w:val="20"/>
              </w:rPr>
              <w:t xml:space="preserve">CONMEBOL</w:t>
            </w:r>
          </w:p>
        </w:tc>
        <w:tc>
          <w:tcPr>
            <w:tcW w:type="dxa" w:w="840"/>
            <w:tcMar>
              <w:top w:type="dxa" w:w="70"/>
              <w:left w:type="dxa" w:w="110"/>
              <w:bottom w:type="dxa" w:w="70"/>
              <w:right w:type="dxa" w:w="110"/>
            </w:tcMar>
          </w:tcPr>
          <w:p>
            <w:pPr>
              <w:spacing w:after="0" w:line="252"/>
              <w:jc w:val="right"/>
            </w:pPr>
            <w:r>
              <w:rPr>
                <w:rFonts w:ascii="Calibri" w:cs="Calibri" w:eastAsia="Calibri" w:hAnsi="Calibri"/>
                <w:b w:val="false"/>
                <w:bCs w:val="false"/>
                <w:sz w:val="20"/>
                <w:szCs w:val="20"/>
              </w:rPr>
              <w:t xml:space="preserve">11</w:t>
            </w:r>
          </w:p>
        </w:tc>
        <w:tc>
          <w:tcPr>
            <w:tcW w:type="dxa" w:w="1200"/>
            <w:tcMar>
              <w:top w:type="dxa" w:w="70"/>
              <w:left w:type="dxa" w:w="110"/>
              <w:bottom w:type="dxa" w:w="70"/>
              <w:right w:type="dxa" w:w="110"/>
            </w:tcMar>
          </w:tcPr>
          <w:p>
            <w:pPr>
              <w:spacing w:after="0" w:line="252"/>
              <w:jc w:val="right"/>
            </w:pPr>
            <w:r>
              <w:rPr>
                <w:rFonts w:ascii="Calibri" w:cs="Calibri" w:eastAsia="Calibri" w:hAnsi="Calibri"/>
                <w:b w:val="false"/>
                <w:bCs w:val="false"/>
                <w:sz w:val="20"/>
                <w:szCs w:val="20"/>
              </w:rPr>
              <w:t xml:space="preserve">83.62</w:t>
            </w:r>
          </w:p>
        </w:tc>
        <w:tc>
          <w:tcPr>
            <w:tcW w:type="dxa" w:w="1080"/>
            <w:tcMar>
              <w:top w:type="dxa" w:w="70"/>
              <w:left w:type="dxa" w:w="110"/>
              <w:bottom w:type="dxa" w:w="70"/>
              <w:right w:type="dxa" w:w="110"/>
            </w:tcMar>
          </w:tcPr>
          <w:p>
            <w:pPr>
              <w:spacing w:after="0" w:line="252"/>
              <w:jc w:val="right"/>
            </w:pPr>
            <w:r>
              <w:rPr>
                <w:rFonts w:ascii="Calibri" w:cs="Calibri" w:eastAsia="Calibri" w:hAnsi="Calibri"/>
                <w:b w:val="false"/>
                <w:bCs w:val="false"/>
                <w:sz w:val="20"/>
                <w:szCs w:val="20"/>
              </w:rPr>
              <w:t xml:space="preserve">10.27</w:t>
            </w:r>
          </w:p>
        </w:tc>
        <w:tc>
          <w:tcPr>
            <w:tcW w:type="dxa" w:w="1200"/>
            <w:tcMar>
              <w:top w:type="dxa" w:w="70"/>
              <w:left w:type="dxa" w:w="110"/>
              <w:bottom w:type="dxa" w:w="70"/>
              <w:right w:type="dxa" w:w="110"/>
            </w:tcMar>
          </w:tcPr>
          <w:p>
            <w:pPr>
              <w:spacing w:after="0" w:line="252"/>
              <w:jc w:val="right"/>
            </w:pPr>
            <w:r>
              <w:rPr>
                <w:rFonts w:ascii="Calibri" w:cs="Calibri" w:eastAsia="Calibri" w:hAnsi="Calibri"/>
                <w:b w:val="false"/>
                <w:bCs w:val="false"/>
                <w:sz w:val="20"/>
                <w:szCs w:val="20"/>
              </w:rPr>
              <w:t xml:space="preserve">82.91</w:t>
            </w:r>
          </w:p>
        </w:tc>
        <w:tc>
          <w:tcPr>
            <w:tcW w:type="dxa" w:w="1080"/>
            <w:tcMar>
              <w:top w:type="dxa" w:w="70"/>
              <w:left w:type="dxa" w:w="110"/>
              <w:bottom w:type="dxa" w:w="70"/>
              <w:right w:type="dxa" w:w="110"/>
            </w:tcMar>
          </w:tcPr>
          <w:p>
            <w:pPr>
              <w:spacing w:after="0" w:line="252"/>
              <w:jc w:val="right"/>
            </w:pPr>
            <w:r>
              <w:rPr>
                <w:rFonts w:ascii="Calibri" w:cs="Calibri" w:eastAsia="Calibri" w:hAnsi="Calibri"/>
                <w:b w:val="false"/>
                <w:bCs w:val="false"/>
                <w:sz w:val="20"/>
                <w:szCs w:val="20"/>
              </w:rPr>
              <w:t xml:space="preserve">66.67</w:t>
            </w:r>
          </w:p>
        </w:tc>
        <w:tc>
          <w:tcPr>
            <w:tcW w:type="dxa" w:w="1080"/>
            <w:tcMar>
              <w:top w:type="dxa" w:w="70"/>
              <w:left w:type="dxa" w:w="110"/>
              <w:bottom w:type="dxa" w:w="70"/>
              <w:right w:type="dxa" w:w="110"/>
            </w:tcMar>
          </w:tcPr>
          <w:p>
            <w:pPr>
              <w:spacing w:after="0" w:line="252"/>
              <w:jc w:val="right"/>
            </w:pPr>
            <w:r>
              <w:rPr>
                <w:rFonts w:ascii="Calibri" w:cs="Calibri" w:eastAsia="Calibri" w:hAnsi="Calibri"/>
                <w:b w:val="false"/>
                <w:bCs w:val="false"/>
                <w:sz w:val="20"/>
                <w:szCs w:val="20"/>
              </w:rPr>
              <w:t xml:space="preserve">95.82</w:t>
            </w:r>
          </w:p>
        </w:tc>
      </w:tr>
    </w:tbl>
    <w:p>
      <w:pPr>
        <w:pStyle w:val="Heading3"/>
        <w:spacing w:after="100" w:before="180"/>
      </w:pPr>
      <w:r>
        <w:rPr>
          <w:rFonts w:ascii="Calibri" w:cs="Calibri" w:eastAsia="Calibri" w:hAnsi="Calibri"/>
          <w:b/>
          <w:bCs/>
          <w:color w:val="000000"/>
          <w:sz w:val="22"/>
          <w:szCs w:val="22"/>
        </w:rPr>
        <w:t xml:space="preserve">The two groups differ in shape, not only in level</w:t>
      </w:r>
    </w:p>
    <w:p>
      <w:pPr>
        <w:spacing w:after="120" w:line="276"/>
      </w:pPr>
      <w:r>
        <w:rPr>
          <w:rFonts w:ascii="Calibri" w:cs="Calibri" w:eastAsia="Calibri" w:hAnsi="Calibri"/>
          <w:sz w:val="22"/>
          <w:szCs w:val="22"/>
        </w:rPr>
        <w:t xml:space="preserve">UEFA’s mean sits 4.27 points below its median, with a skew of −0.73: most European players cluster near 89 to 90 per cent, while a tail of low performers pulls the mean down. CONMEBOL is close to symmetric, its mean and median within 0.71 of one another.</w:t>
      </w:r>
    </w:p>
    <w:p>
      <w:pPr>
        <w:spacing w:after="120" w:line="276"/>
      </w:pPr>
      <w:r>
        <w:rPr>
          <w:rFonts w:ascii="Calibri" w:cs="Calibri" w:eastAsia="Calibri" w:hAnsi="Calibri"/>
          <w:sz w:val="22"/>
          <w:szCs w:val="22"/>
        </w:rPr>
        <w:t xml:space="preserve">This is the substantive reason for reporting the median beside the mean, rather than convention. Given only the means, 85.20 and 83.62 read as two groups differing slightly in level; with the medians, they are visibly different in structure.</w:t>
      </w:r>
    </w:p>
    <w:p>
      <w:pPr>
        <w:pStyle w:val="Heading3"/>
        <w:spacing w:after="100" w:before="180"/>
      </w:pPr>
      <w:r>
        <w:rPr>
          <w:rFonts w:ascii="Calibri" w:cs="Calibri" w:eastAsia="Calibri" w:hAnsi="Calibri"/>
          <w:b/>
          <w:bCs/>
          <w:color w:val="000000"/>
          <w:sz w:val="22"/>
          <w:szCs w:val="22"/>
        </w:rPr>
        <w:t xml:space="preserve">The descriptives predicted the assumption failure two steps early</w:t>
      </w:r>
    </w:p>
    <w:tbl>
      <w:tblPr>
        <w:tblW w:type="dxa" w:w="9360"/>
        <w:tblBorders>
          <w:top w:val="single" w:color="C3C2B7" w:sz="4"/>
          <w:left w:val="none"/>
          <w:bottom w:val="single" w:color="C3C2B7" w:sz="4"/>
          <w:right w:val="none"/>
          <w:insideH w:val="single" w:color="E1E0D9" w:sz="2"/>
          <w:insideV w:val="none"/>
        </w:tblBorders>
      </w:tblPr>
      <w:tblGrid>
        <w:gridCol w:w="3687"/>
        <w:gridCol w:w="1418"/>
        <w:gridCol w:w="4255"/>
      </w:tblGrid>
      <w:tr>
        <w:trPr>
          <w:tblHeader/>
        </w:trPr>
        <w:tc>
          <w:tcPr>
            <w:tcW w:type="dxa" w:w="3687"/>
            <w:shd w:fill="F2F7FB" w:color="auto" w:val="clear"/>
            <w:tcMar>
              <w:top w:type="dxa" w:w="70"/>
              <w:left w:type="dxa" w:w="110"/>
              <w:bottom w:type="dxa" w:w="70"/>
              <w:right w:type="dxa" w:w="110"/>
            </w:tcMar>
          </w:tcPr>
          <w:p>
            <w:pPr>
              <w:spacing w:after="0" w:line="252"/>
            </w:pPr>
            <w:r>
              <w:rPr>
                <w:rFonts w:ascii="Calibri" w:cs="Calibri" w:eastAsia="Calibri" w:hAnsi="Calibri"/>
                <w:b/>
                <w:bCs/>
                <w:sz w:val="20"/>
                <w:szCs w:val="20"/>
              </w:rPr>
              <w:t xml:space="preserve">Check performed in Step 6</w:t>
            </w:r>
          </w:p>
        </w:tc>
        <w:tc>
          <w:tcPr>
            <w:tcW w:type="dxa" w:w="1418"/>
            <w:shd w:fill="F2F7FB" w:color="auto" w:val="clear"/>
            <w:tcMar>
              <w:top w:type="dxa" w:w="70"/>
              <w:left w:type="dxa" w:w="110"/>
              <w:bottom w:type="dxa" w:w="70"/>
              <w:right w:type="dxa" w:w="110"/>
            </w:tcMar>
          </w:tcPr>
          <w:p>
            <w:pPr>
              <w:spacing w:after="0" w:line="252"/>
              <w:jc w:val="right"/>
            </w:pPr>
            <w:r>
              <w:rPr>
                <w:rFonts w:ascii="Calibri" w:cs="Calibri" w:eastAsia="Calibri" w:hAnsi="Calibri"/>
                <w:b/>
                <w:bCs/>
                <w:sz w:val="20"/>
                <w:szCs w:val="20"/>
              </w:rPr>
              <w:t xml:space="preserve">Result</w:t>
            </w:r>
          </w:p>
        </w:tc>
        <w:tc>
          <w:tcPr>
            <w:tcW w:type="dxa" w:w="4255"/>
            <w:shd w:fill="F2F7FB" w:color="auto" w:val="clear"/>
            <w:tcMar>
              <w:top w:type="dxa" w:w="70"/>
              <w:left w:type="dxa" w:w="110"/>
              <w:bottom w:type="dxa" w:w="70"/>
              <w:right w:type="dxa" w:w="110"/>
            </w:tcMar>
          </w:tcPr>
          <w:p>
            <w:pPr>
              <w:spacing w:after="0" w:line="252"/>
              <w:jc w:val="right"/>
            </w:pPr>
            <w:r>
              <w:rPr>
                <w:rFonts w:ascii="Calibri" w:cs="Calibri" w:eastAsia="Calibri" w:hAnsi="Calibri"/>
                <w:b/>
                <w:bCs/>
                <w:sz w:val="20"/>
                <w:szCs w:val="20"/>
              </w:rPr>
              <w:t xml:space="preserve">What Step 4 already indicated</w:t>
            </w:r>
          </w:p>
        </w:tc>
      </w:tr>
      <w:tr>
        <w:tc>
          <w:tcPr>
            <w:tcW w:type="dxa" w:w="3687"/>
            <w:tcMar>
              <w:top w:type="dxa" w:w="70"/>
              <w:left w:type="dxa" w:w="110"/>
              <w:bottom w:type="dxa" w:w="70"/>
              <w:right w:type="dxa" w:w="110"/>
            </w:tcMar>
          </w:tcPr>
          <w:p>
            <w:pPr>
              <w:spacing w:after="0" w:line="252"/>
            </w:pPr>
            <w:r>
              <w:rPr>
                <w:rFonts w:ascii="Calibri" w:cs="Calibri" w:eastAsia="Calibri" w:hAnsi="Calibri"/>
                <w:b w:val="false"/>
                <w:bCs w:val="false"/>
                <w:sz w:val="20"/>
                <w:szCs w:val="20"/>
              </w:rPr>
              <w:t xml:space="preserve">Shapiro–Wilk, UEFA</w:t>
            </w:r>
          </w:p>
        </w:tc>
        <w:tc>
          <w:tcPr>
            <w:tcW w:type="dxa" w:w="1418"/>
            <w:tcMar>
              <w:top w:type="dxa" w:w="70"/>
              <w:left w:type="dxa" w:w="110"/>
              <w:bottom w:type="dxa" w:w="70"/>
              <w:right w:type="dxa" w:w="110"/>
            </w:tcMar>
          </w:tcPr>
          <w:p>
            <w:pPr>
              <w:spacing w:after="0" w:line="252"/>
              <w:jc w:val="right"/>
            </w:pPr>
            <w:r>
              <w:rPr>
                <w:rFonts w:ascii="Calibri" w:cs="Calibri" w:eastAsia="Calibri" w:hAnsi="Calibri"/>
                <w:b w:val="false"/>
                <w:bCs w:val="false"/>
                <w:sz w:val="20"/>
                <w:szCs w:val="20"/>
              </w:rPr>
              <w:t xml:space="preserve">p = .007</w:t>
            </w:r>
          </w:p>
        </w:tc>
        <w:tc>
          <w:tcPr>
            <w:tcW w:type="dxa" w:w="4255"/>
            <w:tcMar>
              <w:top w:type="dxa" w:w="70"/>
              <w:left w:type="dxa" w:w="110"/>
              <w:bottom w:type="dxa" w:w="70"/>
              <w:right w:type="dxa" w:w="110"/>
            </w:tcMar>
          </w:tcPr>
          <w:p>
            <w:pPr>
              <w:spacing w:after="0" w:line="252"/>
              <w:jc w:val="right"/>
            </w:pPr>
            <w:r>
              <w:rPr>
                <w:rFonts w:ascii="Calibri" w:cs="Calibri" w:eastAsia="Calibri" w:hAnsi="Calibri"/>
                <w:b w:val="false"/>
                <w:bCs w:val="false"/>
                <w:sz w:val="20"/>
                <w:szCs w:val="20"/>
              </w:rPr>
              <w:t xml:space="preserve">skew −0.73, clearly asymmetric</w:t>
            </w:r>
          </w:p>
        </w:tc>
      </w:tr>
      <w:tr>
        <w:tc>
          <w:tcPr>
            <w:tcW w:type="dxa" w:w="3687"/>
            <w:tcMar>
              <w:top w:type="dxa" w:w="70"/>
              <w:left w:type="dxa" w:w="110"/>
              <w:bottom w:type="dxa" w:w="70"/>
              <w:right w:type="dxa" w:w="110"/>
            </w:tcMar>
          </w:tcPr>
          <w:p>
            <w:pPr>
              <w:spacing w:after="0" w:line="252"/>
            </w:pPr>
            <w:r>
              <w:rPr>
                <w:rFonts w:ascii="Calibri" w:cs="Calibri" w:eastAsia="Calibri" w:hAnsi="Calibri"/>
                <w:b w:val="false"/>
                <w:bCs w:val="false"/>
                <w:sz w:val="20"/>
                <w:szCs w:val="20"/>
              </w:rPr>
              <w:t xml:space="preserve">Shapiro–Wilk, CONMEBOL</w:t>
            </w:r>
          </w:p>
        </w:tc>
        <w:tc>
          <w:tcPr>
            <w:tcW w:type="dxa" w:w="1418"/>
            <w:tcMar>
              <w:top w:type="dxa" w:w="70"/>
              <w:left w:type="dxa" w:w="110"/>
              <w:bottom w:type="dxa" w:w="70"/>
              <w:right w:type="dxa" w:w="110"/>
            </w:tcMar>
          </w:tcPr>
          <w:p>
            <w:pPr>
              <w:spacing w:after="0" w:line="252"/>
              <w:jc w:val="right"/>
            </w:pPr>
            <w:r>
              <w:rPr>
                <w:rFonts w:ascii="Calibri" w:cs="Calibri" w:eastAsia="Calibri" w:hAnsi="Calibri"/>
                <w:b w:val="false"/>
                <w:bCs w:val="false"/>
                <w:sz w:val="20"/>
                <w:szCs w:val="20"/>
              </w:rPr>
              <w:t xml:space="preserve">p = .362</w:t>
            </w:r>
          </w:p>
        </w:tc>
        <w:tc>
          <w:tcPr>
            <w:tcW w:type="dxa" w:w="4255"/>
            <w:tcMar>
              <w:top w:type="dxa" w:w="70"/>
              <w:left w:type="dxa" w:w="110"/>
              <w:bottom w:type="dxa" w:w="70"/>
              <w:right w:type="dxa" w:w="110"/>
            </w:tcMar>
          </w:tcPr>
          <w:p>
            <w:pPr>
              <w:spacing w:after="0" w:line="252"/>
              <w:jc w:val="right"/>
            </w:pPr>
            <w:r>
              <w:rPr>
                <w:rFonts w:ascii="Calibri" w:cs="Calibri" w:eastAsia="Calibri" w:hAnsi="Calibri"/>
                <w:b w:val="false"/>
                <w:bCs w:val="false"/>
                <w:sz w:val="20"/>
                <w:szCs w:val="20"/>
              </w:rPr>
              <w:t xml:space="preserve">approximately symmetric</w:t>
            </w:r>
          </w:p>
        </w:tc>
      </w:tr>
      <w:tr>
        <w:tc>
          <w:tcPr>
            <w:tcW w:type="dxa" w:w="3687"/>
            <w:tcMar>
              <w:top w:type="dxa" w:w="70"/>
              <w:left w:type="dxa" w:w="110"/>
              <w:bottom w:type="dxa" w:w="70"/>
              <w:right w:type="dxa" w:w="110"/>
            </w:tcMar>
          </w:tcPr>
          <w:p>
            <w:pPr>
              <w:spacing w:after="0" w:line="252"/>
            </w:pPr>
            <w:r>
              <w:rPr>
                <w:rFonts w:ascii="Calibri" w:cs="Calibri" w:eastAsia="Calibri" w:hAnsi="Calibri"/>
                <w:b w:val="false"/>
                <w:bCs w:val="false"/>
                <w:sz w:val="20"/>
                <w:szCs w:val="20"/>
              </w:rPr>
              <w:t xml:space="preserve">Levene’s test</w:t>
            </w:r>
          </w:p>
        </w:tc>
        <w:tc>
          <w:tcPr>
            <w:tcW w:type="dxa" w:w="1418"/>
            <w:tcMar>
              <w:top w:type="dxa" w:w="70"/>
              <w:left w:type="dxa" w:w="110"/>
              <w:bottom w:type="dxa" w:w="70"/>
              <w:right w:type="dxa" w:w="110"/>
            </w:tcMar>
          </w:tcPr>
          <w:p>
            <w:pPr>
              <w:spacing w:after="0" w:line="252"/>
              <w:jc w:val="right"/>
            </w:pPr>
            <w:r>
              <w:rPr>
                <w:rFonts w:ascii="Calibri" w:cs="Calibri" w:eastAsia="Calibri" w:hAnsi="Calibri"/>
                <w:b w:val="false"/>
                <w:bCs w:val="false"/>
                <w:sz w:val="20"/>
                <w:szCs w:val="20"/>
              </w:rPr>
              <w:t xml:space="preserve">p = .419</w:t>
            </w:r>
          </w:p>
        </w:tc>
        <w:tc>
          <w:tcPr>
            <w:tcW w:type="dxa" w:w="4255"/>
            <w:tcMar>
              <w:top w:type="dxa" w:w="70"/>
              <w:left w:type="dxa" w:w="110"/>
              <w:bottom w:type="dxa" w:w="70"/>
              <w:right w:type="dxa" w:w="110"/>
            </w:tcMar>
          </w:tcPr>
          <w:p>
            <w:pPr>
              <w:spacing w:after="0" w:line="252"/>
              <w:jc w:val="right"/>
            </w:pPr>
            <w:r>
              <w:rPr>
                <w:rFonts w:ascii="Calibri" w:cs="Calibri" w:eastAsia="Calibri" w:hAnsi="Calibri"/>
                <w:b w:val="false"/>
                <w:bCs w:val="false"/>
                <w:sz w:val="20"/>
                <w:szCs w:val="20"/>
              </w:rPr>
              <w:t xml:space="preserve">variances comparable; unequal n is the real issue</w:t>
            </w:r>
          </w:p>
        </w:tc>
      </w:tr>
    </w:tbl>
    <w:p>
      <w:pPr>
        <w:spacing w:after="120" w:line="276"/>
      </w:pPr>
      <w:r>
        <w:rPr>
          <w:rFonts w:ascii="Calibri" w:cs="Calibri" w:eastAsia="Calibri" w:hAnsi="Calibri"/>
          <w:sz w:val="22"/>
          <w:szCs w:val="22"/>
        </w:rPr>
        <w:t xml:space="preserve">Welch’s test and the Mann–Whitney backup were therefore selected in advance on the evidence of this step, not adopted retrospectively once a test misbehaved.</w:t>
      </w:r>
    </w:p>
    <w:p>
      <w:pPr>
        <w:pStyle w:val="Heading3"/>
        <w:spacing w:after="100" w:before="180"/>
      </w:pPr>
      <w:r>
        <w:rPr>
          <w:rFonts w:ascii="Calibri" w:cs="Calibri" w:eastAsia="Calibri" w:hAnsi="Calibri"/>
          <w:b/>
          <w:bCs/>
          <w:color w:val="000000"/>
          <w:sz w:val="22"/>
          <w:szCs w:val="22"/>
        </w:rPr>
        <w:t xml:space="preserve">The null result is already visible here</w:t>
      </w:r>
    </w:p>
    <w:p>
      <w:pPr>
        <w:spacing w:after="120" w:line="276"/>
      </w:pPr>
      <w:r>
        <w:rPr>
          <w:rFonts w:ascii="Calibri" w:cs="Calibri" w:eastAsia="Calibri" w:hAnsi="Calibri"/>
          <w:sz w:val="22"/>
          <w:szCs w:val="22"/>
        </w:rPr>
        <w:t xml:space="preserve">The difference between groups is 1.58 percentage points. The standard deviation within the sample is 9.02, the interquartile range 14.03, and Cohen’s d is 0.17 — small by conventional benchmarks. A gap of 1.58 points sitting inside a fourteen-point band cannot be statistically significant. Step 6 confirms what this step has already shown, which is a stronger way to present a finding than producing a p-value at the end and asking the reader to be surprised by it.</w:t>
      </w:r>
    </w:p>
    <w:p>
      <w:pPr>
        <w:pStyle w:val="Heading1"/>
        <w:spacing w:after="160" w:before="340"/>
      </w:pPr>
      <w:r>
        <w:rPr>
          <w:rFonts w:ascii="Calibri" w:cs="Calibri" w:eastAsia="Calibri" w:hAnsi="Calibri"/>
          <w:b/>
          <w:bCs/>
          <w:color w:val="1F4E5F"/>
          <w:sz w:val="30"/>
          <w:szCs w:val="30"/>
        </w:rPr>
        <w:t xml:space="preserve">Step 5 — Confidence interval</w:t>
      </w:r>
    </w:p>
    <w:p>
      <w:pPr>
        <w:spacing w:after="120" w:line="276"/>
      </w:pPr>
      <w:r>
        <w:rPr>
          <w:rFonts w:ascii="Calibri" w:cs="Calibri" w:eastAsia="Calibri" w:hAnsi="Calibri"/>
          <w:b/>
          <w:bCs/>
          <w:color w:val="1F4E5F"/>
          <w:sz w:val="22"/>
          <w:szCs w:val="22"/>
        </w:rPr>
        <w:t xml:space="preserve">WHY  </w:t>
      </w:r>
      <w:r>
        <w:rPr>
          <w:rFonts w:ascii="Calibri" w:cs="Calibri" w:eastAsia="Calibri" w:hAnsi="Calibri"/>
          <w:sz w:val="22"/>
          <w:szCs w:val="22"/>
        </w:rPr>
        <w:t xml:space="preserve">The sample produced 84.77 per cent, but the forty players are not of interest — the 383 are. A single number cannot answer what 84.77 from forty people implies about 383, because a different forty would have produced a different number. The interval is the honest answer: not one figure but a range, together with a statement about how often the procedure succeeds.</w:t>
      </w:r>
    </w:p>
    <w:tbl>
      <w:tblPr>
        <w:tblW w:type="dxa" w:w="9360"/>
        <w:tblBorders>
          <w:top w:val="single" w:color="C3C2B7" w:sz="4"/>
          <w:left w:val="none"/>
          <w:bottom w:val="single" w:color="C3C2B7" w:sz="4"/>
          <w:right w:val="none"/>
          <w:insideH w:val="single" w:color="E1E0D9" w:sz="2"/>
          <w:insideV w:val="none"/>
        </w:tblBorders>
      </w:tblPr>
      <w:tblGrid>
        <w:gridCol w:w="6104"/>
        <w:gridCol w:w="3256"/>
      </w:tblGrid>
      <w:tr>
        <w:trPr>
          <w:tblHeader/>
        </w:trPr>
        <w:tc>
          <w:tcPr>
            <w:tcW w:type="dxa" w:w="6104"/>
            <w:shd w:fill="F2F7FB" w:color="auto" w:val="clear"/>
            <w:tcMar>
              <w:top w:type="dxa" w:w="70"/>
              <w:left w:type="dxa" w:w="110"/>
              <w:bottom w:type="dxa" w:w="70"/>
              <w:right w:type="dxa" w:w="110"/>
            </w:tcMar>
          </w:tcPr>
          <w:p>
            <w:pPr>
              <w:spacing w:after="0" w:line="252"/>
            </w:pPr>
            <w:r>
              <w:rPr>
                <w:rFonts w:ascii="Calibri" w:cs="Calibri" w:eastAsia="Calibri" w:hAnsi="Calibri"/>
                <w:b/>
                <w:bCs/>
                <w:sz w:val="20"/>
                <w:szCs w:val="20"/>
              </w:rPr>
              <w:t xml:space="preserve">Quantity</w:t>
            </w:r>
          </w:p>
        </w:tc>
        <w:tc>
          <w:tcPr>
            <w:tcW w:type="dxa" w:w="3256"/>
            <w:shd w:fill="F2F7FB" w:color="auto" w:val="clear"/>
            <w:tcMar>
              <w:top w:type="dxa" w:w="70"/>
              <w:left w:type="dxa" w:w="110"/>
              <w:bottom w:type="dxa" w:w="70"/>
              <w:right w:type="dxa" w:w="110"/>
            </w:tcMar>
          </w:tcPr>
          <w:p>
            <w:pPr>
              <w:spacing w:after="0" w:line="252"/>
              <w:jc w:val="right"/>
            </w:pPr>
            <w:r>
              <w:rPr>
                <w:rFonts w:ascii="Calibri" w:cs="Calibri" w:eastAsia="Calibri" w:hAnsi="Calibri"/>
                <w:b/>
                <w:bCs/>
                <w:sz w:val="20"/>
                <w:szCs w:val="20"/>
              </w:rPr>
              <w:t xml:space="preserve">Value</w:t>
            </w:r>
          </w:p>
        </w:tc>
      </w:tr>
      <w:tr>
        <w:tc>
          <w:tcPr>
            <w:tcW w:type="dxa" w:w="6104"/>
            <w:tcMar>
              <w:top w:type="dxa" w:w="70"/>
              <w:left w:type="dxa" w:w="110"/>
              <w:bottom w:type="dxa" w:w="70"/>
              <w:right w:type="dxa" w:w="110"/>
            </w:tcMar>
          </w:tcPr>
          <w:p>
            <w:pPr>
              <w:spacing w:after="0" w:line="252"/>
            </w:pPr>
            <w:r>
              <w:rPr>
                <w:rFonts w:ascii="Calibri" w:cs="Calibri" w:eastAsia="Calibri" w:hAnsi="Calibri"/>
                <w:b w:val="false"/>
                <w:bCs w:val="false"/>
                <w:sz w:val="20"/>
                <w:szCs w:val="20"/>
              </w:rPr>
              <w:t xml:space="preserve">Sample mean</w:t>
            </w:r>
          </w:p>
        </w:tc>
        <w:tc>
          <w:tcPr>
            <w:tcW w:type="dxa" w:w="3256"/>
            <w:tcMar>
              <w:top w:type="dxa" w:w="70"/>
              <w:left w:type="dxa" w:w="110"/>
              <w:bottom w:type="dxa" w:w="70"/>
              <w:right w:type="dxa" w:w="110"/>
            </w:tcMar>
          </w:tcPr>
          <w:p>
            <w:pPr>
              <w:spacing w:after="0" w:line="252"/>
              <w:jc w:val="right"/>
            </w:pPr>
            <w:r>
              <w:rPr>
                <w:rFonts w:ascii="Calibri" w:cs="Calibri" w:eastAsia="Calibri" w:hAnsi="Calibri"/>
                <w:b w:val="false"/>
                <w:bCs w:val="false"/>
                <w:sz w:val="20"/>
                <w:szCs w:val="20"/>
              </w:rPr>
              <w:t xml:space="preserve">84.77</w:t>
            </w:r>
          </w:p>
        </w:tc>
      </w:tr>
      <w:tr>
        <w:tc>
          <w:tcPr>
            <w:tcW w:type="dxa" w:w="6104"/>
            <w:tcMar>
              <w:top w:type="dxa" w:w="70"/>
              <w:left w:type="dxa" w:w="110"/>
              <w:bottom w:type="dxa" w:w="70"/>
              <w:right w:type="dxa" w:w="110"/>
            </w:tcMar>
          </w:tcPr>
          <w:p>
            <w:pPr>
              <w:spacing w:after="0" w:line="252"/>
            </w:pPr>
            <w:r>
              <w:rPr>
                <w:rFonts w:ascii="Calibri" w:cs="Calibri" w:eastAsia="Calibri" w:hAnsi="Calibri"/>
                <w:b w:val="false"/>
                <w:bCs w:val="false"/>
                <w:sz w:val="20"/>
                <w:szCs w:val="20"/>
              </w:rPr>
              <w:t xml:space="preserve">Sample SD</w:t>
            </w:r>
          </w:p>
        </w:tc>
        <w:tc>
          <w:tcPr>
            <w:tcW w:type="dxa" w:w="3256"/>
            <w:tcMar>
              <w:top w:type="dxa" w:w="70"/>
              <w:left w:type="dxa" w:w="110"/>
              <w:bottom w:type="dxa" w:w="70"/>
              <w:right w:type="dxa" w:w="110"/>
            </w:tcMar>
          </w:tcPr>
          <w:p>
            <w:pPr>
              <w:spacing w:after="0" w:line="252"/>
              <w:jc w:val="right"/>
            </w:pPr>
            <w:r>
              <w:rPr>
                <w:rFonts w:ascii="Calibri" w:cs="Calibri" w:eastAsia="Calibri" w:hAnsi="Calibri"/>
                <w:b w:val="false"/>
                <w:bCs w:val="false"/>
                <w:sz w:val="20"/>
                <w:szCs w:val="20"/>
              </w:rPr>
              <w:t xml:space="preserve">9.02</w:t>
            </w:r>
          </w:p>
        </w:tc>
      </w:tr>
      <w:tr>
        <w:tc>
          <w:tcPr>
            <w:tcW w:type="dxa" w:w="6104"/>
            <w:tcMar>
              <w:top w:type="dxa" w:w="70"/>
              <w:left w:type="dxa" w:w="110"/>
              <w:bottom w:type="dxa" w:w="70"/>
              <w:right w:type="dxa" w:w="110"/>
            </w:tcMar>
          </w:tcPr>
          <w:p>
            <w:pPr>
              <w:spacing w:after="0" w:line="252"/>
            </w:pPr>
            <w:r>
              <w:rPr>
                <w:rFonts w:ascii="Calibri" w:cs="Calibri" w:eastAsia="Calibri" w:hAnsi="Calibri"/>
                <w:b w:val="false"/>
                <w:bCs w:val="false"/>
                <w:sz w:val="20"/>
                <w:szCs w:val="20"/>
              </w:rPr>
              <w:t xml:space="preserve">Standard error (s ÷ √n)</w:t>
            </w:r>
          </w:p>
        </w:tc>
        <w:tc>
          <w:tcPr>
            <w:tcW w:type="dxa" w:w="3256"/>
            <w:tcMar>
              <w:top w:type="dxa" w:w="70"/>
              <w:left w:type="dxa" w:w="110"/>
              <w:bottom w:type="dxa" w:w="70"/>
              <w:right w:type="dxa" w:w="110"/>
            </w:tcMar>
          </w:tcPr>
          <w:p>
            <w:pPr>
              <w:spacing w:after="0" w:line="252"/>
              <w:jc w:val="right"/>
            </w:pPr>
            <w:r>
              <w:rPr>
                <w:rFonts w:ascii="Calibri" w:cs="Calibri" w:eastAsia="Calibri" w:hAnsi="Calibri"/>
                <w:b w:val="false"/>
                <w:bCs w:val="false"/>
                <w:sz w:val="20"/>
                <w:szCs w:val="20"/>
              </w:rPr>
              <w:t xml:space="preserve">1.426</w:t>
            </w:r>
          </w:p>
        </w:tc>
      </w:tr>
      <w:tr>
        <w:tc>
          <w:tcPr>
            <w:tcW w:type="dxa" w:w="6104"/>
            <w:tcMar>
              <w:top w:type="dxa" w:w="70"/>
              <w:left w:type="dxa" w:w="110"/>
              <w:bottom w:type="dxa" w:w="70"/>
              <w:right w:type="dxa" w:w="110"/>
            </w:tcMar>
          </w:tcPr>
          <w:p>
            <w:pPr>
              <w:spacing w:after="0" w:line="252"/>
            </w:pPr>
            <w:r>
              <w:rPr>
                <w:rFonts w:ascii="Calibri" w:cs="Calibri" w:eastAsia="Calibri" w:hAnsi="Calibri"/>
                <w:b w:val="false"/>
                <w:bCs w:val="false"/>
                <w:sz w:val="20"/>
                <w:szCs w:val="20"/>
              </w:rPr>
              <w:t xml:space="preserve">t* at 95%, df = 39</w:t>
            </w:r>
          </w:p>
        </w:tc>
        <w:tc>
          <w:tcPr>
            <w:tcW w:type="dxa" w:w="3256"/>
            <w:tcMar>
              <w:top w:type="dxa" w:w="70"/>
              <w:left w:type="dxa" w:w="110"/>
              <w:bottom w:type="dxa" w:w="70"/>
              <w:right w:type="dxa" w:w="110"/>
            </w:tcMar>
          </w:tcPr>
          <w:p>
            <w:pPr>
              <w:spacing w:after="0" w:line="252"/>
              <w:jc w:val="right"/>
            </w:pPr>
            <w:r>
              <w:rPr>
                <w:rFonts w:ascii="Calibri" w:cs="Calibri" w:eastAsia="Calibri" w:hAnsi="Calibri"/>
                <w:b w:val="false"/>
                <w:bCs w:val="false"/>
                <w:sz w:val="20"/>
                <w:szCs w:val="20"/>
              </w:rPr>
              <w:t xml:space="preserve">2.023</w:t>
            </w:r>
          </w:p>
        </w:tc>
      </w:tr>
      <w:tr>
        <w:tc>
          <w:tcPr>
            <w:tcW w:type="dxa" w:w="6104"/>
            <w:tcMar>
              <w:top w:type="dxa" w:w="70"/>
              <w:left w:type="dxa" w:w="110"/>
              <w:bottom w:type="dxa" w:w="70"/>
              <w:right w:type="dxa" w:w="110"/>
            </w:tcMar>
          </w:tcPr>
          <w:p>
            <w:pPr>
              <w:spacing w:after="0" w:line="252"/>
            </w:pPr>
            <w:r>
              <w:rPr>
                <w:rFonts w:ascii="Calibri" w:cs="Calibri" w:eastAsia="Calibri" w:hAnsi="Calibri"/>
                <w:b w:val="false"/>
                <w:bCs w:val="false"/>
                <w:sz w:val="20"/>
                <w:szCs w:val="20"/>
              </w:rPr>
              <w:t xml:space="preserve">Margin of error</w:t>
            </w:r>
          </w:p>
        </w:tc>
        <w:tc>
          <w:tcPr>
            <w:tcW w:type="dxa" w:w="3256"/>
            <w:tcMar>
              <w:top w:type="dxa" w:w="70"/>
              <w:left w:type="dxa" w:w="110"/>
              <w:bottom w:type="dxa" w:w="70"/>
              <w:right w:type="dxa" w:w="110"/>
            </w:tcMar>
          </w:tcPr>
          <w:p>
            <w:pPr>
              <w:spacing w:after="0" w:line="252"/>
              <w:jc w:val="right"/>
            </w:pPr>
            <w:r>
              <w:rPr>
                <w:rFonts w:ascii="Calibri" w:cs="Calibri" w:eastAsia="Calibri" w:hAnsi="Calibri"/>
                <w:b w:val="false"/>
                <w:bCs w:val="false"/>
                <w:sz w:val="20"/>
                <w:szCs w:val="20"/>
              </w:rPr>
              <w:t xml:space="preserve">2.88</w:t>
            </w:r>
          </w:p>
        </w:tc>
      </w:tr>
      <w:tr>
        <w:tc>
          <w:tcPr>
            <w:tcW w:type="dxa" w:w="6104"/>
            <w:tcMar>
              <w:top w:type="dxa" w:w="70"/>
              <w:left w:type="dxa" w:w="110"/>
              <w:bottom w:type="dxa" w:w="70"/>
              <w:right w:type="dxa" w:w="110"/>
            </w:tcMar>
          </w:tcPr>
          <w:p>
            <w:pPr>
              <w:spacing w:after="0" w:line="252"/>
            </w:pPr>
            <w:r>
              <w:rPr>
                <w:rFonts w:ascii="Calibri" w:cs="Calibri" w:eastAsia="Calibri" w:hAnsi="Calibri"/>
                <w:b w:val="false"/>
                <w:bCs w:val="false"/>
                <w:sz w:val="20"/>
                <w:szCs w:val="20"/>
              </w:rPr>
              <w:t xml:space="preserve">95% confidence interval</w:t>
            </w:r>
          </w:p>
        </w:tc>
        <w:tc>
          <w:tcPr>
            <w:tcW w:type="dxa" w:w="3256"/>
            <w:tcMar>
              <w:top w:type="dxa" w:w="70"/>
              <w:left w:type="dxa" w:w="110"/>
              <w:bottom w:type="dxa" w:w="70"/>
              <w:right w:type="dxa" w:w="110"/>
            </w:tcMar>
          </w:tcPr>
          <w:p>
            <w:pPr>
              <w:spacing w:after="0" w:line="252"/>
              <w:jc w:val="right"/>
            </w:pPr>
            <w:r>
              <w:rPr>
                <w:rFonts w:ascii="Calibri" w:cs="Calibri" w:eastAsia="Calibri" w:hAnsi="Calibri"/>
                <w:b w:val="false"/>
                <w:bCs w:val="false"/>
                <w:sz w:val="20"/>
                <w:szCs w:val="20"/>
              </w:rPr>
              <w:t xml:space="preserve">[81.88, 87.65]</w:t>
            </w:r>
          </w:p>
        </w:tc>
      </w:tr>
    </w:tbl>
    <w:p>
      <w:pPr>
        <w:pStyle w:val="Heading3"/>
        <w:spacing w:after="100" w:before="180"/>
      </w:pPr>
      <w:r>
        <w:rPr>
          <w:rFonts w:ascii="Calibri" w:cs="Calibri" w:eastAsia="Calibri" w:hAnsi="Calibri"/>
          <w:b/>
          <w:bCs/>
          <w:color w:val="000000"/>
          <w:sz w:val="22"/>
          <w:szCs w:val="22"/>
        </w:rPr>
        <w:t xml:space="preserve">Verified rather than asserted</w:t>
      </w:r>
    </w:p>
    <w:p>
      <w:pPr>
        <w:spacing w:after="120" w:line="276"/>
      </w:pPr>
      <w:r>
        <w:rPr>
          <w:rFonts w:ascii="Calibri" w:cs="Calibri" w:eastAsia="Calibri" w:hAnsi="Calibri"/>
          <w:b/>
          <w:bCs/>
          <w:color w:val="1F4E5F"/>
          <w:sz w:val="22"/>
          <w:szCs w:val="22"/>
        </w:rPr>
        <w:t xml:space="preserve">WHY  </w:t>
      </w:r>
      <w:r>
        <w:rPr>
          <w:rFonts w:ascii="Calibri" w:cs="Calibri" w:eastAsia="Calibri" w:hAnsi="Calibri"/>
          <w:sz w:val="22"/>
          <w:szCs w:val="22"/>
        </w:rPr>
        <w:t xml:space="preserve">A confidence interval is normally an act of faith: an interval is computed for a population that can never be observed. Here the whole population is held, so the procedure can be tested rather than trusted.</w:t>
      </w:r>
    </w:p>
    <w:p>
      <w:pPr>
        <w:spacing w:after="120" w:line="276"/>
      </w:pPr>
      <w:r>
        <w:rPr>
          <w:rFonts w:ascii="Calibri" w:cs="Calibri" w:eastAsia="Calibri" w:hAnsi="Calibri"/>
          <w:sz w:val="22"/>
          <w:szCs w:val="22"/>
        </w:rPr>
        <w:t xml:space="preserve">The true population mean is 84.70, and it falls inside the interval. More usefully, the confidence level itself can be checked: drawing two thousand independent samples of forty and constructing an interval for each, 94.3 per cent of those intervals contained 84.70, against a nominal 95 per cent. The shortfall of 0.7 points is about 1.4 standard errors of the simulated coverage estimate and therefore consistent with simulation noise. The procedure delivers the coverage it claims.</w:t>
      </w:r>
    </w:p>
    <w:p>
      <w:pPr>
        <w:pStyle w:val="Heading3"/>
        <w:spacing w:after="100" w:before="180"/>
      </w:pPr>
      <w:r>
        <w:rPr>
          <w:rFonts w:ascii="Calibri" w:cs="Calibri" w:eastAsia="Calibri" w:hAnsi="Calibri"/>
          <w:b/>
          <w:bCs/>
          <w:color w:val="000000"/>
          <w:sz w:val="22"/>
          <w:szCs w:val="22"/>
        </w:rPr>
        <w:t xml:space="preserve">Two smaller decisions</w:t>
      </w:r>
    </w:p>
    <w:p>
      <w:pPr>
        <w:spacing w:after="120" w:line="276"/>
      </w:pPr>
      <w:r>
        <w:rPr>
          <w:rFonts w:ascii="Calibri" w:cs="Calibri" w:eastAsia="Calibri" w:hAnsi="Calibri"/>
          <w:sz w:val="22"/>
          <w:szCs w:val="22"/>
        </w:rPr>
        <w:t xml:space="preserve">The t distribution was used rather than z because the population standard deviation is unknown and estimated from the sample. With df = 39, t* is 2.023 against z* of 1.960, making the interval 3.2 per cent wider — the price of not knowing σ. A 95 per cent level was chosen over 99 per cent because width and informativeness trade against one another: the 99 per cent interval spans 7.72 points against 5.77, almost certainly capturing the true mean while saying much less about where it lies.</w:t>
      </w:r>
    </w:p>
    <w:p>
      <w:pPr>
        <w:spacing w:after="120" w:line="276"/>
      </w:pPr>
      <w:r>
        <w:rPr>
          <w:rFonts w:ascii="Calibri" w:cs="Calibri" w:eastAsia="Calibri" w:hAnsi="Calibri"/>
          <w:sz w:val="22"/>
          <w:szCs w:val="22"/>
        </w:rPr>
        <w:t xml:space="preserve">Interpretation matters here, and is easy to state wrongly. It is not that there is a 95 per cent chance the true mean lies in this interval — the true mean is a fixed number, 84.70, and has no probability. What varies is the interval. Correctly: if this sampling procedure were repeated many times, approximately 95 per cent of the intervals produced would contain the true population mean; and in this study that claim was verified empirically at 94.3 per cent.</w:t>
      </w:r>
    </w:p>
    <w:p>
      <w:r>
        <w:br w:type="page"/>
      </w:r>
    </w:p>
    <w:p>
      <w:pPr>
        <w:pStyle w:val="Heading1"/>
        <w:spacing w:after="160" w:before="340"/>
      </w:pPr>
      <w:r>
        <w:rPr>
          <w:rFonts w:ascii="Calibri" w:cs="Calibri" w:eastAsia="Calibri" w:hAnsi="Calibri"/>
          <w:b/>
          <w:bCs/>
          <w:color w:val="1F4E5F"/>
          <w:sz w:val="30"/>
          <w:szCs w:val="30"/>
        </w:rPr>
        <w:t xml:space="preserve">Step 6 — Hypothesis test</w:t>
      </w:r>
    </w:p>
    <w:p>
      <w:pPr>
        <w:spacing w:after="120" w:line="276"/>
      </w:pPr>
      <w:r>
        <w:rPr>
          <w:rFonts w:ascii="Calibri" w:cs="Calibri" w:eastAsia="Calibri" w:hAnsi="Calibri"/>
          <w:b/>
          <w:bCs/>
          <w:color w:val="1F4E5F"/>
          <w:sz w:val="22"/>
          <w:szCs w:val="22"/>
        </w:rPr>
        <w:t xml:space="preserve">WHY  </w:t>
      </w:r>
      <w:r>
        <w:rPr>
          <w:rFonts w:ascii="Calibri" w:cs="Calibri" w:eastAsia="Calibri" w:hAnsi="Calibri"/>
          <w:sz w:val="22"/>
          <w:szCs w:val="22"/>
        </w:rPr>
        <w:t xml:space="preserve">Step 4 established a gap of 1.58 points and Step 5 estimated the population mean. Neither answers the central question: is that gap real, or is it what randomly drawing forty players from 383 produces anyway? This is the only step that addresses it.</w:t>
      </w:r>
    </w:p>
    <w:p>
      <w:pPr>
        <w:spacing w:after="120" w:line="276"/>
      </w:pPr>
      <w:r>
        <w:rPr>
          <w:rFonts w:ascii="Calibri" w:cs="Calibri" w:eastAsia="Calibri" w:hAnsi="Calibri"/>
          <w:b/>
          <w:bCs/>
          <w:sz w:val="22"/>
          <w:szCs w:val="22"/>
        </w:rPr>
        <w:t xml:space="preserve">H₀: μ</w:t>
      </w:r>
      <w:r>
        <w:rPr>
          <w:rFonts w:ascii="Calibri" w:cs="Calibri" w:eastAsia="Calibri" w:hAnsi="Calibri"/>
          <w:b/>
          <w:bCs/>
          <w:sz w:val="16"/>
          <w:szCs w:val="16"/>
        </w:rPr>
        <w:t xml:space="preserve">UEFA</w:t>
      </w:r>
      <w:r>
        <w:rPr>
          <w:rFonts w:ascii="Calibri" w:cs="Calibri" w:eastAsia="Calibri" w:hAnsi="Calibri"/>
          <w:b/>
          <w:bCs/>
          <w:sz w:val="22"/>
          <w:szCs w:val="22"/>
        </w:rPr>
        <w:t xml:space="preserve"> = μ</w:t>
      </w:r>
      <w:r>
        <w:rPr>
          <w:rFonts w:ascii="Calibri" w:cs="Calibri" w:eastAsia="Calibri" w:hAnsi="Calibri"/>
          <w:b/>
          <w:bCs/>
          <w:sz w:val="16"/>
          <w:szCs w:val="16"/>
        </w:rPr>
        <w:t xml:space="preserve">CONMEBOL</w:t>
      </w:r>
      <w:r>
        <w:rPr>
          <w:rFonts w:ascii="Calibri" w:cs="Calibri" w:eastAsia="Calibri" w:hAnsi="Calibri"/>
          <w:b/>
          <w:bCs/>
          <w:sz w:val="22"/>
          <w:szCs w:val="22"/>
        </w:rPr>
        <w:t xml:space="preserve">     H₁: μ</w:t>
      </w:r>
      <w:r>
        <w:rPr>
          <w:rFonts w:ascii="Calibri" w:cs="Calibri" w:eastAsia="Calibri" w:hAnsi="Calibri"/>
          <w:b/>
          <w:bCs/>
          <w:sz w:val="16"/>
          <w:szCs w:val="16"/>
        </w:rPr>
        <w:t xml:space="preserve">UEFA</w:t>
      </w:r>
      <w:r>
        <w:rPr>
          <w:rFonts w:ascii="Calibri" w:cs="Calibri" w:eastAsia="Calibri" w:hAnsi="Calibri"/>
          <w:b/>
          <w:bCs/>
          <w:sz w:val="22"/>
          <w:szCs w:val="22"/>
        </w:rPr>
        <w:t xml:space="preserve"> ≠ μ</w:t>
      </w:r>
      <w:r>
        <w:rPr>
          <w:rFonts w:ascii="Calibri" w:cs="Calibri" w:eastAsia="Calibri" w:hAnsi="Calibri"/>
          <w:b/>
          <w:bCs/>
          <w:sz w:val="16"/>
          <w:szCs w:val="16"/>
        </w:rPr>
        <w:t xml:space="preserve">CONMEBOL</w:t>
      </w:r>
    </w:p>
    <w:p>
      <w:pPr>
        <w:pStyle w:val="Heading3"/>
        <w:spacing w:after="100" w:before="180"/>
      </w:pPr>
      <w:r>
        <w:rPr>
          <w:rFonts w:ascii="Calibri" w:cs="Calibri" w:eastAsia="Calibri" w:hAnsi="Calibri"/>
          <w:b/>
          <w:bCs/>
          <w:color w:val="000000"/>
          <w:sz w:val="22"/>
          <w:szCs w:val="22"/>
        </w:rPr>
        <w:t xml:space="preserve">Why Welch rather than Student’s</w:t>
      </w:r>
    </w:p>
    <w:tbl>
      <w:tblPr>
        <w:tblW w:type="dxa" w:w="9360"/>
        <w:tblBorders>
          <w:top w:val="single" w:color="C3C2B7" w:sz="4"/>
          <w:left w:val="none"/>
          <w:bottom w:val="single" w:color="C3C2B7" w:sz="4"/>
          <w:right w:val="none"/>
          <w:insideH w:val="single" w:color="E1E0D9" w:sz="2"/>
          <w:insideV w:val="none"/>
        </w:tblBorders>
      </w:tblPr>
      <w:tblGrid>
        <w:gridCol w:w="5394"/>
        <w:gridCol w:w="2538"/>
        <w:gridCol w:w="1428"/>
      </w:tblGrid>
      <w:tr>
        <w:trPr>
          <w:tblHeader/>
        </w:trPr>
        <w:tc>
          <w:tcPr>
            <w:tcW w:type="dxa" w:w="5394"/>
            <w:shd w:fill="F2F7FB" w:color="auto" w:val="clear"/>
            <w:tcMar>
              <w:top w:type="dxa" w:w="70"/>
              <w:left w:type="dxa" w:w="110"/>
              <w:bottom w:type="dxa" w:w="70"/>
              <w:right w:type="dxa" w:w="110"/>
            </w:tcMar>
          </w:tcPr>
          <w:p>
            <w:pPr>
              <w:spacing w:after="0" w:line="252"/>
            </w:pPr>
            <w:r>
              <w:rPr>
                <w:rFonts w:ascii="Calibri" w:cs="Calibri" w:eastAsia="Calibri" w:hAnsi="Calibri"/>
                <w:b/>
                <w:bCs/>
                <w:sz w:val="20"/>
                <w:szCs w:val="20"/>
              </w:rPr>
              <w:t xml:space="preserve">Test</w:t>
            </w:r>
          </w:p>
        </w:tc>
        <w:tc>
          <w:tcPr>
            <w:tcW w:type="dxa" w:w="2538"/>
            <w:shd w:fill="F2F7FB" w:color="auto" w:val="clear"/>
            <w:tcMar>
              <w:top w:type="dxa" w:w="70"/>
              <w:left w:type="dxa" w:w="110"/>
              <w:bottom w:type="dxa" w:w="70"/>
              <w:right w:type="dxa" w:w="110"/>
            </w:tcMar>
          </w:tcPr>
          <w:p>
            <w:pPr>
              <w:spacing w:after="0" w:line="252"/>
              <w:jc w:val="right"/>
            </w:pPr>
            <w:r>
              <w:rPr>
                <w:rFonts w:ascii="Calibri" w:cs="Calibri" w:eastAsia="Calibri" w:hAnsi="Calibri"/>
                <w:b/>
                <w:bCs/>
                <w:sz w:val="20"/>
                <w:szCs w:val="20"/>
              </w:rPr>
              <w:t xml:space="preserve">Statistic</w:t>
            </w:r>
          </w:p>
        </w:tc>
        <w:tc>
          <w:tcPr>
            <w:tcW w:type="dxa" w:w="1428"/>
            <w:shd w:fill="F2F7FB" w:color="auto" w:val="clear"/>
            <w:tcMar>
              <w:top w:type="dxa" w:w="70"/>
              <w:left w:type="dxa" w:w="110"/>
              <w:bottom w:type="dxa" w:w="70"/>
              <w:right w:type="dxa" w:w="110"/>
            </w:tcMar>
          </w:tcPr>
          <w:p>
            <w:pPr>
              <w:spacing w:after="0" w:line="252"/>
              <w:jc w:val="right"/>
            </w:pPr>
            <w:r>
              <w:rPr>
                <w:rFonts w:ascii="Calibri" w:cs="Calibri" w:eastAsia="Calibri" w:hAnsi="Calibri"/>
                <w:b/>
                <w:bCs/>
                <w:sz w:val="20"/>
                <w:szCs w:val="20"/>
              </w:rPr>
              <w:t xml:space="preserve">p</w:t>
            </w:r>
          </w:p>
        </w:tc>
      </w:tr>
      <w:tr>
        <w:tc>
          <w:tcPr>
            <w:tcW w:type="dxa" w:w="5394"/>
            <w:tcMar>
              <w:top w:type="dxa" w:w="70"/>
              <w:left w:type="dxa" w:w="110"/>
              <w:bottom w:type="dxa" w:w="70"/>
              <w:right w:type="dxa" w:w="110"/>
            </w:tcMar>
          </w:tcPr>
          <w:p>
            <w:pPr>
              <w:spacing w:after="0" w:line="252"/>
            </w:pPr>
            <w:r>
              <w:rPr>
                <w:rFonts w:ascii="Calibri" w:cs="Calibri" w:eastAsia="Calibri" w:hAnsi="Calibri"/>
                <w:b w:val="false"/>
                <w:bCs w:val="false"/>
                <w:sz w:val="20"/>
                <w:szCs w:val="20"/>
              </w:rPr>
              <w:t xml:space="preserve">Student’s (pools the variances)</w:t>
            </w:r>
          </w:p>
        </w:tc>
        <w:tc>
          <w:tcPr>
            <w:tcW w:type="dxa" w:w="2538"/>
            <w:tcMar>
              <w:top w:type="dxa" w:w="70"/>
              <w:left w:type="dxa" w:w="110"/>
              <w:bottom w:type="dxa" w:w="70"/>
              <w:right w:type="dxa" w:w="110"/>
            </w:tcMar>
          </w:tcPr>
          <w:p>
            <w:pPr>
              <w:spacing w:after="0" w:line="252"/>
              <w:jc w:val="right"/>
            </w:pPr>
            <w:r>
              <w:rPr>
                <w:rFonts w:ascii="Calibri" w:cs="Calibri" w:eastAsia="Calibri" w:hAnsi="Calibri"/>
                <w:b w:val="false"/>
                <w:bCs w:val="false"/>
                <w:sz w:val="20"/>
                <w:szCs w:val="20"/>
              </w:rPr>
              <w:t xml:space="preserve">t(38) = 0.489</w:t>
            </w:r>
          </w:p>
        </w:tc>
        <w:tc>
          <w:tcPr>
            <w:tcW w:type="dxa" w:w="1428"/>
            <w:tcMar>
              <w:top w:type="dxa" w:w="70"/>
              <w:left w:type="dxa" w:w="110"/>
              <w:bottom w:type="dxa" w:w="70"/>
              <w:right w:type="dxa" w:w="110"/>
            </w:tcMar>
          </w:tcPr>
          <w:p>
            <w:pPr>
              <w:spacing w:after="0" w:line="252"/>
              <w:jc w:val="right"/>
            </w:pPr>
            <w:r>
              <w:rPr>
                <w:rFonts w:ascii="Calibri" w:cs="Calibri" w:eastAsia="Calibri" w:hAnsi="Calibri"/>
                <w:b w:val="false"/>
                <w:bCs w:val="false"/>
                <w:sz w:val="20"/>
                <w:szCs w:val="20"/>
              </w:rPr>
              <w:t xml:space="preserve">.628</w:t>
            </w:r>
          </w:p>
        </w:tc>
      </w:tr>
      <w:tr>
        <w:tc>
          <w:tcPr>
            <w:tcW w:type="dxa" w:w="5394"/>
            <w:tcMar>
              <w:top w:type="dxa" w:w="70"/>
              <w:left w:type="dxa" w:w="110"/>
              <w:bottom w:type="dxa" w:w="70"/>
              <w:right w:type="dxa" w:w="110"/>
            </w:tcMar>
          </w:tcPr>
          <w:p>
            <w:pPr>
              <w:spacing w:after="0" w:line="252"/>
            </w:pPr>
            <w:r>
              <w:rPr>
                <w:rFonts w:ascii="Calibri" w:cs="Calibri" w:eastAsia="Calibri" w:hAnsi="Calibri"/>
                <w:b w:val="false"/>
                <w:bCs w:val="false"/>
                <w:sz w:val="20"/>
                <w:szCs w:val="20"/>
              </w:rPr>
              <w:t xml:space="preserve">Welch’s (does not pool) — adopted</w:t>
            </w:r>
          </w:p>
        </w:tc>
        <w:tc>
          <w:tcPr>
            <w:tcW w:type="dxa" w:w="2538"/>
            <w:tcMar>
              <w:top w:type="dxa" w:w="70"/>
              <w:left w:type="dxa" w:w="110"/>
              <w:bottom w:type="dxa" w:w="70"/>
              <w:right w:type="dxa" w:w="110"/>
            </w:tcMar>
          </w:tcPr>
          <w:p>
            <w:pPr>
              <w:spacing w:after="0" w:line="252"/>
              <w:jc w:val="right"/>
            </w:pPr>
            <w:r>
              <w:rPr>
                <w:rFonts w:ascii="Calibri" w:cs="Calibri" w:eastAsia="Calibri" w:hAnsi="Calibri"/>
                <w:b w:val="false"/>
                <w:bCs w:val="false"/>
                <w:sz w:val="20"/>
                <w:szCs w:val="20"/>
              </w:rPr>
              <w:t xml:space="preserve">t(15.71) = 0.452</w:t>
            </w:r>
          </w:p>
        </w:tc>
        <w:tc>
          <w:tcPr>
            <w:tcW w:type="dxa" w:w="1428"/>
            <w:tcMar>
              <w:top w:type="dxa" w:w="70"/>
              <w:left w:type="dxa" w:w="110"/>
              <w:bottom w:type="dxa" w:w="70"/>
              <w:right w:type="dxa" w:w="110"/>
            </w:tcMar>
          </w:tcPr>
          <w:p>
            <w:pPr>
              <w:spacing w:after="0" w:line="252"/>
              <w:jc w:val="right"/>
            </w:pPr>
            <w:r>
              <w:rPr>
                <w:rFonts w:ascii="Calibri" w:cs="Calibri" w:eastAsia="Calibri" w:hAnsi="Calibri"/>
                <w:b w:val="false"/>
                <w:bCs w:val="false"/>
                <w:sz w:val="20"/>
                <w:szCs w:val="20"/>
              </w:rPr>
              <w:t xml:space="preserve">.657</w:t>
            </w:r>
          </w:p>
        </w:tc>
      </w:tr>
    </w:tbl>
    <w:p>
      <w:pPr>
        <w:spacing w:after="120" w:line="276"/>
      </w:pPr>
      <w:r>
        <w:rPr>
          <w:rFonts w:ascii="Calibri" w:cs="Calibri" w:eastAsia="Calibri" w:hAnsi="Calibri"/>
          <w:sz w:val="22"/>
          <w:szCs w:val="22"/>
        </w:rPr>
        <w:t xml:space="preserve">Levene’s test (Levene, 1960) returned p = .419, so variances are comparable and Student’s test would have been permitted. Welch’s was still chosen because the groups are markedly unequal in size, twenty-nine against eleven, and Student’s test pools variance weighted by group size — meaning UEFA would dominate the estimate of a variance it must share with a group of eleven. Welch’s test (Welch, 1947) estimates each group separately, and is recommended as the default for unequal group sizes (Ruxton, 2006). The cost is visible: degrees of freedom fall from 38 to 15.7. Welch penalises the analysis for having a small group, which is the honest outcome.</w:t>
      </w:r>
    </w:p>
    <w:p>
      <w:pPr>
        <w:spacing w:after="120" w:line="276"/>
      </w:pPr>
      <w:r>
        <w:rPr>
          <w:rFonts w:ascii="Calibri" w:cs="Calibri" w:eastAsia="Calibri" w:hAnsi="Calibri"/>
          <w:sz w:val="22"/>
          <w:szCs w:val="22"/>
        </w:rPr>
        <w:t xml:space="preserve">Result: t(15.71) = 0.45, p = .657 — fail to reject H₀ at α = .05. Cohen’s d = 0.17, a small effect by conventional benchmarks (Cohen, 1988).</w:t>
      </w:r>
    </w:p>
    <w:p>
      <w:pPr>
        <w:pStyle w:val="Heading3"/>
        <w:spacing w:after="100" w:before="180"/>
      </w:pPr>
      <w:r>
        <w:rPr>
          <w:rFonts w:ascii="Calibri" w:cs="Calibri" w:eastAsia="Calibri" w:hAnsi="Calibri"/>
          <w:b/>
          <w:bCs/>
          <w:color w:val="000000"/>
          <w:sz w:val="22"/>
          <w:szCs w:val="22"/>
        </w:rPr>
        <w:t xml:space="preserve">Reporting a test that was not required</w:t>
      </w:r>
    </w:p>
    <w:p>
      <w:pPr>
        <w:spacing w:after="120" w:line="276"/>
      </w:pPr>
      <w:r>
        <w:rPr>
          <w:rFonts w:ascii="Calibri" w:cs="Calibri" w:eastAsia="Calibri" w:hAnsi="Calibri"/>
          <w:sz w:val="22"/>
          <w:szCs w:val="22"/>
        </w:rPr>
        <w:t xml:space="preserve">Shapiro–Wilk (Shapiro &amp; Wilk, 1965) indicated that the UEFA group departs from normality (p = .007). This could have been omitted. It is reported for two reasons: an assumption never checked is a hope rather than an assumption; and reporting it permits a demonstration that the conclusion does not rest on it. A Mann–Whitney U test (Mann &amp; Whitney, 1947), which assumes no particular distribution, returned U = 171.0, p = .739 — the same conclusion. When two tests resting on different assumptions agree, the finding stands on its own rather than on the choice of test.</w:t>
      </w:r>
    </w:p>
    <w:p>
      <w:pPr>
        <w:pStyle w:val="Heading3"/>
        <w:spacing w:after="100" w:before="180"/>
      </w:pPr>
      <w:r>
        <w:rPr>
          <w:rFonts w:ascii="Calibri" w:cs="Calibri" w:eastAsia="Calibri" w:hAnsi="Calibri"/>
          <w:b/>
          <w:bCs/>
          <w:color w:val="000000"/>
          <w:sz w:val="22"/>
          <w:szCs w:val="22"/>
        </w:rPr>
        <w:t xml:space="preserve">Why “fail to reject” is not “proven equal” — quantified</w:t>
      </w:r>
    </w:p>
    <w:p>
      <w:pPr>
        <w:spacing w:after="120" w:line="276"/>
      </w:pPr>
      <w:r>
        <w:rPr>
          <w:rFonts w:ascii="Calibri" w:cs="Calibri" w:eastAsia="Calibri" w:hAnsi="Calibri"/>
          <w:sz w:val="22"/>
          <w:szCs w:val="22"/>
        </w:rPr>
        <w:t xml:space="preserve">This is the most important qualification in the report, and it is stated numerically rather than as a general caution.</w:t>
      </w:r>
    </w:p>
    <w:tbl>
      <w:tblPr>
        <w:tblW w:type="dxa" w:w="9360"/>
        <w:tblBorders>
          <w:top w:val="single" w:color="C3C2B7" w:sz="4"/>
          <w:left w:val="none"/>
          <w:bottom w:val="single" w:color="C3C2B7" w:sz="4"/>
          <w:right w:val="none"/>
          <w:insideH w:val="single" w:color="E1E0D9" w:sz="2"/>
          <w:insideV w:val="none"/>
        </w:tblBorders>
      </w:tblPr>
      <w:tblGrid>
        <w:gridCol w:w="3120"/>
        <w:gridCol w:w="2836"/>
        <w:gridCol w:w="3404"/>
      </w:tblGrid>
      <w:tr>
        <w:trPr>
          <w:tblHeader/>
        </w:trPr>
        <w:tc>
          <w:tcPr>
            <w:tcW w:type="dxa" w:w="3120"/>
            <w:shd w:fill="F2F7FB" w:color="auto" w:val="clear"/>
            <w:tcMar>
              <w:top w:type="dxa" w:w="70"/>
              <w:left w:type="dxa" w:w="110"/>
              <w:bottom w:type="dxa" w:w="70"/>
              <w:right w:type="dxa" w:w="110"/>
            </w:tcMar>
          </w:tcPr>
          <w:p>
            <w:pPr>
              <w:spacing w:after="0" w:line="252"/>
            </w:pPr>
            <w:r>
              <w:rPr>
                <w:rFonts w:ascii="Calibri" w:cs="Calibri" w:eastAsia="Calibri" w:hAnsi="Calibri"/>
                <w:b/>
                <w:bCs/>
                <w:sz w:val="20"/>
                <w:szCs w:val="20"/>
              </w:rPr>
              <w:t xml:space="preserve">Basis of the test</w:t>
            </w:r>
          </w:p>
        </w:tc>
        <w:tc>
          <w:tcPr>
            <w:tcW w:type="dxa" w:w="2836"/>
            <w:shd w:fill="F2F7FB" w:color="auto" w:val="clear"/>
            <w:tcMar>
              <w:top w:type="dxa" w:w="70"/>
              <w:left w:type="dxa" w:w="110"/>
              <w:bottom w:type="dxa" w:w="70"/>
              <w:right w:type="dxa" w:w="110"/>
            </w:tcMar>
          </w:tcPr>
          <w:p>
            <w:pPr>
              <w:spacing w:after="0" w:line="252"/>
              <w:jc w:val="right"/>
            </w:pPr>
            <w:r>
              <w:rPr>
                <w:rFonts w:ascii="Calibri" w:cs="Calibri" w:eastAsia="Calibri" w:hAnsi="Calibri"/>
                <w:b/>
                <w:bCs/>
                <w:sz w:val="20"/>
                <w:szCs w:val="20"/>
              </w:rPr>
              <w:t xml:space="preserve">Power to detect the observed effect</w:t>
            </w:r>
          </w:p>
        </w:tc>
        <w:tc>
          <w:tcPr>
            <w:tcW w:type="dxa" w:w="3404"/>
            <w:shd w:fill="F2F7FB" w:color="auto" w:val="clear"/>
            <w:tcMar>
              <w:top w:type="dxa" w:w="70"/>
              <w:left w:type="dxa" w:w="110"/>
              <w:bottom w:type="dxa" w:w="70"/>
              <w:right w:type="dxa" w:w="110"/>
            </w:tcMar>
          </w:tcPr>
          <w:p>
            <w:pPr>
              <w:spacing w:after="0" w:line="252"/>
              <w:jc w:val="right"/>
            </w:pPr>
            <w:r>
              <w:rPr>
                <w:rFonts w:ascii="Calibri" w:cs="Calibri" w:eastAsia="Calibri" w:hAnsi="Calibri"/>
                <w:b/>
                <w:bCs/>
                <w:sz w:val="20"/>
                <w:szCs w:val="20"/>
              </w:rPr>
              <w:t xml:space="preserve">Smallest effect detectable at 80% power</w:t>
            </w:r>
          </w:p>
        </w:tc>
      </w:tr>
      <w:tr>
        <w:tc>
          <w:tcPr>
            <w:tcW w:type="dxa" w:w="3120"/>
            <w:tcMar>
              <w:top w:type="dxa" w:w="70"/>
              <w:left w:type="dxa" w:w="110"/>
              <w:bottom w:type="dxa" w:w="70"/>
              <w:right w:type="dxa" w:w="110"/>
            </w:tcMar>
          </w:tcPr>
          <w:p>
            <w:pPr>
              <w:spacing w:after="0" w:line="252"/>
            </w:pPr>
            <w:r>
              <w:rPr>
                <w:rFonts w:ascii="Calibri" w:cs="Calibri" w:eastAsia="Calibri" w:hAnsi="Calibri"/>
                <w:b w:val="false"/>
                <w:bCs w:val="false"/>
                <w:sz w:val="20"/>
                <w:szCs w:val="20"/>
              </w:rPr>
              <w:t xml:space="preserve">Sample: 29 vs 11</w:t>
            </w:r>
          </w:p>
        </w:tc>
        <w:tc>
          <w:tcPr>
            <w:tcW w:type="dxa" w:w="2836"/>
            <w:tcMar>
              <w:top w:type="dxa" w:w="70"/>
              <w:left w:type="dxa" w:w="110"/>
              <w:bottom w:type="dxa" w:w="70"/>
              <w:right w:type="dxa" w:w="110"/>
            </w:tcMar>
          </w:tcPr>
          <w:p>
            <w:pPr>
              <w:spacing w:after="0" w:line="252"/>
              <w:jc w:val="right"/>
            </w:pPr>
            <w:r>
              <w:rPr>
                <w:rFonts w:ascii="Calibri" w:cs="Calibri" w:eastAsia="Calibri" w:hAnsi="Calibri"/>
                <w:b w:val="false"/>
                <w:bCs w:val="false"/>
                <w:sz w:val="20"/>
                <w:szCs w:val="20"/>
              </w:rPr>
              <w:t xml:space="preserve">7.6%</w:t>
            </w:r>
          </w:p>
        </w:tc>
        <w:tc>
          <w:tcPr>
            <w:tcW w:type="dxa" w:w="3404"/>
            <w:tcMar>
              <w:top w:type="dxa" w:w="70"/>
              <w:left w:type="dxa" w:w="110"/>
              <w:bottom w:type="dxa" w:w="70"/>
              <w:right w:type="dxa" w:w="110"/>
            </w:tcMar>
          </w:tcPr>
          <w:p>
            <w:pPr>
              <w:spacing w:after="0" w:line="252"/>
              <w:jc w:val="right"/>
            </w:pPr>
            <w:r>
              <w:rPr>
                <w:rFonts w:ascii="Calibri" w:cs="Calibri" w:eastAsia="Calibri" w:hAnsi="Calibri"/>
                <w:b w:val="false"/>
                <w:bCs w:val="false"/>
                <w:sz w:val="20"/>
                <w:szCs w:val="20"/>
              </w:rPr>
              <w:t xml:space="preserve">d = 1.02 (≈ 9.2 points)</w:t>
            </w:r>
          </w:p>
        </w:tc>
      </w:tr>
      <w:tr>
        <w:tc>
          <w:tcPr>
            <w:tcW w:type="dxa" w:w="3120"/>
            <w:tcMar>
              <w:top w:type="dxa" w:w="70"/>
              <w:left w:type="dxa" w:w="110"/>
              <w:bottom w:type="dxa" w:w="70"/>
              <w:right w:type="dxa" w:w="110"/>
            </w:tcMar>
          </w:tcPr>
          <w:p>
            <w:pPr>
              <w:spacing w:after="0" w:line="252"/>
            </w:pPr>
            <w:r>
              <w:rPr>
                <w:rFonts w:ascii="Calibri" w:cs="Calibri" w:eastAsia="Calibri" w:hAnsi="Calibri"/>
                <w:b w:val="false"/>
                <w:bCs w:val="false"/>
                <w:sz w:val="20"/>
                <w:szCs w:val="20"/>
              </w:rPr>
              <w:t xml:space="preserve">Census: 282 vs 101</w:t>
            </w:r>
          </w:p>
        </w:tc>
        <w:tc>
          <w:tcPr>
            <w:tcW w:type="dxa" w:w="2836"/>
            <w:tcMar>
              <w:top w:type="dxa" w:w="70"/>
              <w:left w:type="dxa" w:w="110"/>
              <w:bottom w:type="dxa" w:w="70"/>
              <w:right w:type="dxa" w:w="110"/>
            </w:tcMar>
          </w:tcPr>
          <w:p>
            <w:pPr>
              <w:spacing w:after="0" w:line="252"/>
              <w:jc w:val="right"/>
            </w:pPr>
            <w:r>
              <w:rPr>
                <w:rFonts w:ascii="Calibri" w:cs="Calibri" w:eastAsia="Calibri" w:hAnsi="Calibri"/>
                <w:b w:val="false"/>
                <w:bCs w:val="false"/>
                <w:sz w:val="20"/>
                <w:szCs w:val="20"/>
              </w:rPr>
              <w:t xml:space="preserve">—</w:t>
            </w:r>
          </w:p>
        </w:tc>
        <w:tc>
          <w:tcPr>
            <w:tcW w:type="dxa" w:w="3404"/>
            <w:tcMar>
              <w:top w:type="dxa" w:w="70"/>
              <w:left w:type="dxa" w:w="110"/>
              <w:bottom w:type="dxa" w:w="70"/>
              <w:right w:type="dxa" w:w="110"/>
            </w:tcMar>
          </w:tcPr>
          <w:p>
            <w:pPr>
              <w:spacing w:after="0" w:line="252"/>
              <w:jc w:val="right"/>
            </w:pPr>
            <w:r>
              <w:rPr>
                <w:rFonts w:ascii="Calibri" w:cs="Calibri" w:eastAsia="Calibri" w:hAnsi="Calibri"/>
                <w:b w:val="false"/>
                <w:bCs w:val="false"/>
                <w:sz w:val="20"/>
                <w:szCs w:val="20"/>
              </w:rPr>
              <w:t xml:space="preserve">d = 0.33 (≈ 2.8 points)</w:t>
            </w:r>
          </w:p>
        </w:tc>
      </w:tr>
    </w:tbl>
    <w:p>
      <w:pPr>
        <w:spacing w:after="120" w:line="276"/>
      </w:pPr>
      <w:r>
        <w:rPr>
          <w:rFonts w:ascii="Calibri" w:cs="Calibri" w:eastAsia="Calibri" w:hAnsi="Calibri"/>
          <w:sz w:val="22"/>
          <w:szCs w:val="22"/>
        </w:rPr>
        <w:t xml:space="preserve">The sample of forty could only reliably have detected a gap of roughly nine percentage points. The real gap is 1.58. On the sample alone, a null conclusion would be unsupported — the study simply lacked the power to find an effect of that size.</w:t>
      </w:r>
    </w:p>
    <w:p>
      <w:pPr>
        <w:spacing w:after="120" w:line="276"/>
      </w:pPr>
      <w:r>
        <w:rPr>
          <w:rFonts w:ascii="Calibri" w:cs="Calibri" w:eastAsia="Calibri" w:hAnsi="Calibri"/>
          <w:sz w:val="22"/>
          <w:szCs w:val="22"/>
        </w:rPr>
        <w:t xml:space="preserve">The census is what resolves this. Using all 383 players, the analysis could have detected a gap of about 2.8 points, and none was present (t = 0.84, p = .404, d = 0.108). It is the census, not the sample, that licenses the null conclusion — and saying so is both more honest and more robust than resting the claim on forty observations.</w:t>
      </w:r>
    </w:p>
    <w:p>
      <w:pPr>
        <w:pStyle w:val="Heading1"/>
        <w:spacing w:after="160" w:before="340"/>
      </w:pPr>
      <w:r>
        <w:rPr>
          <w:rFonts w:ascii="Calibri" w:cs="Calibri" w:eastAsia="Calibri" w:hAnsi="Calibri"/>
          <w:b/>
          <w:bCs/>
          <w:color w:val="1F4E5F"/>
          <w:sz w:val="30"/>
          <w:szCs w:val="30"/>
        </w:rPr>
        <w:t xml:space="preserve">Step 7 — Robustness</w:t>
      </w:r>
    </w:p>
    <w:p>
      <w:pPr>
        <w:spacing w:after="120" w:line="276"/>
      </w:pPr>
      <w:r>
        <w:rPr>
          <w:rFonts w:ascii="Calibri" w:cs="Calibri" w:eastAsia="Calibri" w:hAnsi="Calibri"/>
          <w:b/>
          <w:bCs/>
          <w:color w:val="1F4E5F"/>
          <w:sz w:val="22"/>
          <w:szCs w:val="22"/>
        </w:rPr>
        <w:t xml:space="preserve">WHY  </w:t>
      </w:r>
      <w:r>
        <w:rPr>
          <w:rFonts w:ascii="Calibri" w:cs="Calibri" w:eastAsia="Calibri" w:hAnsi="Calibri"/>
          <w:sz w:val="22"/>
          <w:szCs w:val="22"/>
        </w:rPr>
        <w:t xml:space="preserve">The brief does not require this step, so its justification must be genuine. Every decision from Step 3 to Step 6 involved a choice: the population boundary, the exclusion threshold, the sample size, the seed, the test. A sceptical reader is entitled to ask whether the choices that produced this answer were selected because they produced it. Robustness is the answer to that question — not an assurance, but a demonstration of what happens under the alternatives.</w:t>
      </w:r>
    </w:p>
    <w:p>
      <w:pPr>
        <w:spacing w:after="120" w:line="276"/>
      </w:pPr>
      <w:r>
        <w:rPr>
          <w:rFonts w:ascii="Calibri" w:cs="Calibri" w:eastAsia="Calibri" w:hAnsi="Calibri"/>
          <w:sz w:val="22"/>
          <w:szCs w:val="22"/>
        </w:rPr>
        <w:t xml:space="preserve">There is a second and sharper reason. Step 6 showed that the sample had only 7.6 per cent power, so the sample-based p-value cannot on its own support the conclusion. This section is therefore not supplementary: it is where the conclusion earns its support.</w:t>
      </w:r>
    </w:p>
    <w:tbl>
      <w:tblPr>
        <w:tblW w:type="dxa" w:w="9360"/>
        <w:tblBorders>
          <w:top w:val="single" w:color="C3C2B7" w:sz="4"/>
          <w:left w:val="none"/>
          <w:bottom w:val="single" w:color="C3C2B7" w:sz="4"/>
          <w:right w:val="none"/>
          <w:insideH w:val="single" w:color="E1E0D9" w:sz="2"/>
          <w:insideV w:val="none"/>
        </w:tblBorders>
      </w:tblPr>
      <w:tblGrid>
        <w:gridCol w:w="3120"/>
        <w:gridCol w:w="5105"/>
        <w:gridCol w:w="1135"/>
      </w:tblGrid>
      <w:tr>
        <w:trPr>
          <w:tblHeader/>
        </w:trPr>
        <w:tc>
          <w:tcPr>
            <w:tcW w:type="dxa" w:w="3120"/>
            <w:shd w:fill="F2F7FB" w:color="auto" w:val="clear"/>
            <w:tcMar>
              <w:top w:type="dxa" w:w="70"/>
              <w:left w:type="dxa" w:w="110"/>
              <w:bottom w:type="dxa" w:w="70"/>
              <w:right w:type="dxa" w:w="110"/>
            </w:tcMar>
          </w:tcPr>
          <w:p>
            <w:pPr>
              <w:spacing w:after="0" w:line="252"/>
            </w:pPr>
            <w:r>
              <w:rPr>
                <w:rFonts w:ascii="Calibri" w:cs="Calibri" w:eastAsia="Calibri" w:hAnsi="Calibri"/>
                <w:b/>
                <w:bCs/>
                <w:sz w:val="20"/>
                <w:szCs w:val="20"/>
              </w:rPr>
              <w:t xml:space="preserve">Choice tested</w:t>
            </w:r>
          </w:p>
        </w:tc>
        <w:tc>
          <w:tcPr>
            <w:tcW w:type="dxa" w:w="5105"/>
            <w:shd w:fill="F2F7FB" w:color="auto" w:val="clear"/>
            <w:tcMar>
              <w:top w:type="dxa" w:w="70"/>
              <w:left w:type="dxa" w:w="110"/>
              <w:bottom w:type="dxa" w:w="70"/>
              <w:right w:type="dxa" w:w="110"/>
            </w:tcMar>
          </w:tcPr>
          <w:p>
            <w:pPr>
              <w:spacing w:after="0" w:line="252"/>
              <w:jc w:val="right"/>
            </w:pPr>
            <w:r>
              <w:rPr>
                <w:rFonts w:ascii="Calibri" w:cs="Calibri" w:eastAsia="Calibri" w:hAnsi="Calibri"/>
                <w:b/>
                <w:bCs/>
                <w:sz w:val="20"/>
                <w:szCs w:val="20"/>
              </w:rPr>
              <w:t xml:space="preserve">Variant</w:t>
            </w:r>
          </w:p>
        </w:tc>
        <w:tc>
          <w:tcPr>
            <w:tcW w:type="dxa" w:w="1135"/>
            <w:shd w:fill="F2F7FB" w:color="auto" w:val="clear"/>
            <w:tcMar>
              <w:top w:type="dxa" w:w="70"/>
              <w:left w:type="dxa" w:w="110"/>
              <w:bottom w:type="dxa" w:w="70"/>
              <w:right w:type="dxa" w:w="110"/>
            </w:tcMar>
          </w:tcPr>
          <w:p>
            <w:pPr>
              <w:spacing w:after="0" w:line="252"/>
              <w:jc w:val="right"/>
            </w:pPr>
            <w:r>
              <w:rPr>
                <w:rFonts w:ascii="Calibri" w:cs="Calibri" w:eastAsia="Calibri" w:hAnsi="Calibri"/>
                <w:b/>
                <w:bCs/>
                <w:sz w:val="20"/>
                <w:szCs w:val="20"/>
              </w:rPr>
              <w:t xml:space="preserve">p</w:t>
            </w:r>
          </w:p>
        </w:tc>
      </w:tr>
      <w:tr>
        <w:tc>
          <w:tcPr>
            <w:tcW w:type="dxa" w:w="3120"/>
            <w:tcMar>
              <w:top w:type="dxa" w:w="70"/>
              <w:left w:type="dxa" w:w="110"/>
              <w:bottom w:type="dxa" w:w="70"/>
              <w:right w:type="dxa" w:w="110"/>
            </w:tcMar>
          </w:tcPr>
          <w:p>
            <w:pPr>
              <w:spacing w:after="0" w:line="252"/>
            </w:pPr>
            <w:r>
              <w:rPr>
                <w:rFonts w:ascii="Calibri" w:cs="Calibri" w:eastAsia="Calibri" w:hAnsi="Calibri"/>
                <w:b w:val="false"/>
                <w:bCs w:val="false"/>
                <w:sz w:val="20"/>
                <w:szCs w:val="20"/>
              </w:rPr>
              <w:t xml:space="preserve">Exclusion threshold</w:t>
            </w:r>
          </w:p>
        </w:tc>
        <w:tc>
          <w:tcPr>
            <w:tcW w:type="dxa" w:w="5105"/>
            <w:tcMar>
              <w:top w:type="dxa" w:w="70"/>
              <w:left w:type="dxa" w:w="110"/>
              <w:bottom w:type="dxa" w:w="70"/>
              <w:right w:type="dxa" w:w="110"/>
            </w:tcMar>
          </w:tcPr>
          <w:p>
            <w:pPr>
              <w:spacing w:after="0" w:line="252"/>
              <w:jc w:val="right"/>
            </w:pPr>
            <w:r>
              <w:rPr>
                <w:rFonts w:ascii="Calibri" w:cs="Calibri" w:eastAsia="Calibri" w:hAnsi="Calibri"/>
                <w:b w:val="false"/>
                <w:bCs w:val="false"/>
                <w:sz w:val="20"/>
                <w:szCs w:val="20"/>
              </w:rPr>
              <w:t xml:space="preserve">at least 1 pass (the brief’s own rule)</w:t>
            </w:r>
          </w:p>
        </w:tc>
        <w:tc>
          <w:tcPr>
            <w:tcW w:type="dxa" w:w="1135"/>
            <w:tcMar>
              <w:top w:type="dxa" w:w="70"/>
              <w:left w:type="dxa" w:w="110"/>
              <w:bottom w:type="dxa" w:w="70"/>
              <w:right w:type="dxa" w:w="110"/>
            </w:tcMar>
          </w:tcPr>
          <w:p>
            <w:pPr>
              <w:spacing w:after="0" w:line="252"/>
              <w:jc w:val="right"/>
            </w:pPr>
            <w:r>
              <w:rPr>
                <w:rFonts w:ascii="Calibri" w:cs="Calibri" w:eastAsia="Calibri" w:hAnsi="Calibri"/>
                <w:b w:val="false"/>
                <w:bCs w:val="false"/>
                <w:sz w:val="20"/>
                <w:szCs w:val="20"/>
              </w:rPr>
              <w:t xml:space="preserve">.989</w:t>
            </w:r>
          </w:p>
        </w:tc>
      </w:tr>
      <w:tr>
        <w:tc>
          <w:tcPr>
            <w:tcW w:type="dxa" w:w="3120"/>
            <w:tcMar>
              <w:top w:type="dxa" w:w="70"/>
              <w:left w:type="dxa" w:w="110"/>
              <w:bottom w:type="dxa" w:w="70"/>
              <w:right w:type="dxa" w:w="110"/>
            </w:tcMar>
          </w:tcPr>
          <w:p>
            <w:pPr>
              <w:spacing w:after="0" w:line="252"/>
            </w:pPr>
            <w:r>
              <w:rPr>
                <w:rFonts w:ascii="Calibri" w:cs="Calibri" w:eastAsia="Calibri" w:hAnsi="Calibri"/>
                <w:b w:val="false"/>
                <w:bCs w:val="false"/>
                <w:sz w:val="20"/>
                <w:szCs w:val="20"/>
              </w:rPr>
              <w:t xml:space="preserve"/>
            </w:r>
          </w:p>
        </w:tc>
        <w:tc>
          <w:tcPr>
            <w:tcW w:type="dxa" w:w="5105"/>
            <w:tcMar>
              <w:top w:type="dxa" w:w="70"/>
              <w:left w:type="dxa" w:w="110"/>
              <w:bottom w:type="dxa" w:w="70"/>
              <w:right w:type="dxa" w:w="110"/>
            </w:tcMar>
          </w:tcPr>
          <w:p>
            <w:pPr>
              <w:spacing w:after="0" w:line="252"/>
              <w:jc w:val="right"/>
            </w:pPr>
            <w:r>
              <w:rPr>
                <w:rFonts w:ascii="Calibri" w:cs="Calibri" w:eastAsia="Calibri" w:hAnsi="Calibri"/>
                <w:b w:val="false"/>
                <w:bCs w:val="false"/>
                <w:sz w:val="20"/>
                <w:szCs w:val="20"/>
              </w:rPr>
              <w:t xml:space="preserve">at least 10</w:t>
            </w:r>
          </w:p>
        </w:tc>
        <w:tc>
          <w:tcPr>
            <w:tcW w:type="dxa" w:w="1135"/>
            <w:tcMar>
              <w:top w:type="dxa" w:w="70"/>
              <w:left w:type="dxa" w:w="110"/>
              <w:bottom w:type="dxa" w:w="70"/>
              <w:right w:type="dxa" w:w="110"/>
            </w:tcMar>
          </w:tcPr>
          <w:p>
            <w:pPr>
              <w:spacing w:after="0" w:line="252"/>
              <w:jc w:val="right"/>
            </w:pPr>
            <w:r>
              <w:rPr>
                <w:rFonts w:ascii="Calibri" w:cs="Calibri" w:eastAsia="Calibri" w:hAnsi="Calibri"/>
                <w:b w:val="false"/>
                <w:bCs w:val="false"/>
                <w:sz w:val="20"/>
                <w:szCs w:val="20"/>
              </w:rPr>
              <w:t xml:space="preserve">.706</w:t>
            </w:r>
          </w:p>
        </w:tc>
      </w:tr>
      <w:tr>
        <w:tc>
          <w:tcPr>
            <w:tcW w:type="dxa" w:w="3120"/>
            <w:tcMar>
              <w:top w:type="dxa" w:w="70"/>
              <w:left w:type="dxa" w:w="110"/>
              <w:bottom w:type="dxa" w:w="70"/>
              <w:right w:type="dxa" w:w="110"/>
            </w:tcMar>
          </w:tcPr>
          <w:p>
            <w:pPr>
              <w:spacing w:after="0" w:line="252"/>
            </w:pPr>
            <w:r>
              <w:rPr>
                <w:rFonts w:ascii="Calibri" w:cs="Calibri" w:eastAsia="Calibri" w:hAnsi="Calibri"/>
                <w:b w:val="false"/>
                <w:bCs w:val="false"/>
                <w:sz w:val="20"/>
                <w:szCs w:val="20"/>
              </w:rPr>
              <w:t xml:space="preserve"/>
            </w:r>
          </w:p>
        </w:tc>
        <w:tc>
          <w:tcPr>
            <w:tcW w:type="dxa" w:w="5105"/>
            <w:tcMar>
              <w:top w:type="dxa" w:w="70"/>
              <w:left w:type="dxa" w:w="110"/>
              <w:bottom w:type="dxa" w:w="70"/>
              <w:right w:type="dxa" w:w="110"/>
            </w:tcMar>
          </w:tcPr>
          <w:p>
            <w:pPr>
              <w:spacing w:after="0" w:line="252"/>
              <w:jc w:val="right"/>
            </w:pPr>
            <w:r>
              <w:rPr>
                <w:rFonts w:ascii="Calibri" w:cs="Calibri" w:eastAsia="Calibri" w:hAnsi="Calibri"/>
                <w:b w:val="false"/>
                <w:bCs w:val="false"/>
                <w:sz w:val="20"/>
                <w:szCs w:val="20"/>
              </w:rPr>
              <w:t xml:space="preserve">at least 20 — adopted</w:t>
            </w:r>
          </w:p>
        </w:tc>
        <w:tc>
          <w:tcPr>
            <w:tcW w:type="dxa" w:w="1135"/>
            <w:tcMar>
              <w:top w:type="dxa" w:w="70"/>
              <w:left w:type="dxa" w:w="110"/>
              <w:bottom w:type="dxa" w:w="70"/>
              <w:right w:type="dxa" w:w="110"/>
            </w:tcMar>
          </w:tcPr>
          <w:p>
            <w:pPr>
              <w:spacing w:after="0" w:line="252"/>
              <w:jc w:val="right"/>
            </w:pPr>
            <w:r>
              <w:rPr>
                <w:rFonts w:ascii="Calibri" w:cs="Calibri" w:eastAsia="Calibri" w:hAnsi="Calibri"/>
                <w:b w:val="false"/>
                <w:bCs w:val="false"/>
                <w:sz w:val="20"/>
                <w:szCs w:val="20"/>
              </w:rPr>
              <w:t xml:space="preserve">.657</w:t>
            </w:r>
          </w:p>
        </w:tc>
      </w:tr>
      <w:tr>
        <w:tc>
          <w:tcPr>
            <w:tcW w:type="dxa" w:w="3120"/>
            <w:tcMar>
              <w:top w:type="dxa" w:w="70"/>
              <w:left w:type="dxa" w:w="110"/>
              <w:bottom w:type="dxa" w:w="70"/>
              <w:right w:type="dxa" w:w="110"/>
            </w:tcMar>
          </w:tcPr>
          <w:p>
            <w:pPr>
              <w:spacing w:after="0" w:line="252"/>
            </w:pPr>
            <w:r>
              <w:rPr>
                <w:rFonts w:ascii="Calibri" w:cs="Calibri" w:eastAsia="Calibri" w:hAnsi="Calibri"/>
                <w:b w:val="false"/>
                <w:bCs w:val="false"/>
                <w:sz w:val="20"/>
                <w:szCs w:val="20"/>
              </w:rPr>
              <w:t xml:space="preserve"/>
            </w:r>
          </w:p>
        </w:tc>
        <w:tc>
          <w:tcPr>
            <w:tcW w:type="dxa" w:w="5105"/>
            <w:tcMar>
              <w:top w:type="dxa" w:w="70"/>
              <w:left w:type="dxa" w:w="110"/>
              <w:bottom w:type="dxa" w:w="70"/>
              <w:right w:type="dxa" w:w="110"/>
            </w:tcMar>
          </w:tcPr>
          <w:p>
            <w:pPr>
              <w:spacing w:after="0" w:line="252"/>
              <w:jc w:val="right"/>
            </w:pPr>
            <w:r>
              <w:rPr>
                <w:rFonts w:ascii="Calibri" w:cs="Calibri" w:eastAsia="Calibri" w:hAnsi="Calibri"/>
                <w:b w:val="false"/>
                <w:bCs w:val="false"/>
                <w:sz w:val="20"/>
                <w:szCs w:val="20"/>
              </w:rPr>
              <w:t xml:space="preserve">at least 50</w:t>
            </w:r>
          </w:p>
        </w:tc>
        <w:tc>
          <w:tcPr>
            <w:tcW w:type="dxa" w:w="1135"/>
            <w:tcMar>
              <w:top w:type="dxa" w:w="70"/>
              <w:left w:type="dxa" w:w="110"/>
              <w:bottom w:type="dxa" w:w="70"/>
              <w:right w:type="dxa" w:w="110"/>
            </w:tcMar>
          </w:tcPr>
          <w:p>
            <w:pPr>
              <w:spacing w:after="0" w:line="252"/>
              <w:jc w:val="right"/>
            </w:pPr>
            <w:r>
              <w:rPr>
                <w:rFonts w:ascii="Calibri" w:cs="Calibri" w:eastAsia="Calibri" w:hAnsi="Calibri"/>
                <w:b w:val="false"/>
                <w:bCs w:val="false"/>
                <w:sz w:val="20"/>
                <w:szCs w:val="20"/>
              </w:rPr>
              <w:t xml:space="preserve">.882</w:t>
            </w:r>
          </w:p>
        </w:tc>
      </w:tr>
      <w:tr>
        <w:tc>
          <w:tcPr>
            <w:tcW w:type="dxa" w:w="3120"/>
            <w:tcMar>
              <w:top w:type="dxa" w:w="70"/>
              <w:left w:type="dxa" w:w="110"/>
              <w:bottom w:type="dxa" w:w="70"/>
              <w:right w:type="dxa" w:w="110"/>
            </w:tcMar>
          </w:tcPr>
          <w:p>
            <w:pPr>
              <w:spacing w:after="0" w:line="252"/>
            </w:pPr>
            <w:r>
              <w:rPr>
                <w:rFonts w:ascii="Calibri" w:cs="Calibri" w:eastAsia="Calibri" w:hAnsi="Calibri"/>
                <w:b w:val="false"/>
                <w:bCs w:val="false"/>
                <w:sz w:val="20"/>
                <w:szCs w:val="20"/>
              </w:rPr>
              <w:t xml:space="preserve"/>
            </w:r>
          </w:p>
        </w:tc>
        <w:tc>
          <w:tcPr>
            <w:tcW w:type="dxa" w:w="5105"/>
            <w:tcMar>
              <w:top w:type="dxa" w:w="70"/>
              <w:left w:type="dxa" w:w="110"/>
              <w:bottom w:type="dxa" w:w="70"/>
              <w:right w:type="dxa" w:w="110"/>
            </w:tcMar>
          </w:tcPr>
          <w:p>
            <w:pPr>
              <w:spacing w:after="0" w:line="252"/>
              <w:jc w:val="right"/>
            </w:pPr>
            <w:r>
              <w:rPr>
                <w:rFonts w:ascii="Calibri" w:cs="Calibri" w:eastAsia="Calibri" w:hAnsi="Calibri"/>
                <w:b w:val="false"/>
                <w:bCs w:val="false"/>
                <w:sz w:val="20"/>
                <w:szCs w:val="20"/>
              </w:rPr>
              <w:t xml:space="preserve">at least 100</w:t>
            </w:r>
          </w:p>
        </w:tc>
        <w:tc>
          <w:tcPr>
            <w:tcW w:type="dxa" w:w="1135"/>
            <w:tcMar>
              <w:top w:type="dxa" w:w="70"/>
              <w:left w:type="dxa" w:w="110"/>
              <w:bottom w:type="dxa" w:w="70"/>
              <w:right w:type="dxa" w:w="110"/>
            </w:tcMar>
          </w:tcPr>
          <w:p>
            <w:pPr>
              <w:spacing w:after="0" w:line="252"/>
              <w:jc w:val="right"/>
            </w:pPr>
            <w:r>
              <w:rPr>
                <w:rFonts w:ascii="Calibri" w:cs="Calibri" w:eastAsia="Calibri" w:hAnsi="Calibri"/>
                <w:b w:val="false"/>
                <w:bCs w:val="false"/>
                <w:sz w:val="20"/>
                <w:szCs w:val="20"/>
              </w:rPr>
              <w:t xml:space="preserve">.309</w:t>
            </w:r>
          </w:p>
        </w:tc>
      </w:tr>
      <w:tr>
        <w:tc>
          <w:tcPr>
            <w:tcW w:type="dxa" w:w="3120"/>
            <w:tcMar>
              <w:top w:type="dxa" w:w="70"/>
              <w:left w:type="dxa" w:w="110"/>
              <w:bottom w:type="dxa" w:w="70"/>
              <w:right w:type="dxa" w:w="110"/>
            </w:tcMar>
          </w:tcPr>
          <w:p>
            <w:pPr>
              <w:spacing w:after="0" w:line="252"/>
            </w:pPr>
            <w:r>
              <w:rPr>
                <w:rFonts w:ascii="Calibri" w:cs="Calibri" w:eastAsia="Calibri" w:hAnsi="Calibri"/>
                <w:b w:val="false"/>
                <w:bCs w:val="false"/>
                <w:sz w:val="20"/>
                <w:szCs w:val="20"/>
              </w:rPr>
              <w:t xml:space="preserve"/>
            </w:r>
          </w:p>
        </w:tc>
        <w:tc>
          <w:tcPr>
            <w:tcW w:type="dxa" w:w="5105"/>
            <w:tcMar>
              <w:top w:type="dxa" w:w="70"/>
              <w:left w:type="dxa" w:w="110"/>
              <w:bottom w:type="dxa" w:w="70"/>
              <w:right w:type="dxa" w:w="110"/>
            </w:tcMar>
          </w:tcPr>
          <w:p>
            <w:pPr>
              <w:spacing w:after="0" w:line="252"/>
              <w:jc w:val="right"/>
            </w:pPr>
            <w:r>
              <w:rPr>
                <w:rFonts w:ascii="Calibri" w:cs="Calibri" w:eastAsia="Calibri" w:hAnsi="Calibri"/>
                <w:b w:val="false"/>
                <w:bCs w:val="false"/>
                <w:sz w:val="20"/>
                <w:szCs w:val="20"/>
              </w:rPr>
              <w:t xml:space="preserve">at least 150</w:t>
            </w:r>
          </w:p>
        </w:tc>
        <w:tc>
          <w:tcPr>
            <w:tcW w:type="dxa" w:w="1135"/>
            <w:tcMar>
              <w:top w:type="dxa" w:w="70"/>
              <w:left w:type="dxa" w:w="110"/>
              <w:bottom w:type="dxa" w:w="70"/>
              <w:right w:type="dxa" w:w="110"/>
            </w:tcMar>
          </w:tcPr>
          <w:p>
            <w:pPr>
              <w:spacing w:after="0" w:line="252"/>
              <w:jc w:val="right"/>
            </w:pPr>
            <w:r>
              <w:rPr>
                <w:rFonts w:ascii="Calibri" w:cs="Calibri" w:eastAsia="Calibri" w:hAnsi="Calibri"/>
                <w:b w:val="false"/>
                <w:bCs w:val="false"/>
                <w:sz w:val="20"/>
                <w:szCs w:val="20"/>
              </w:rPr>
              <w:t xml:space="preserve">.423</w:t>
            </w:r>
          </w:p>
        </w:tc>
      </w:tr>
      <w:tr>
        <w:tc>
          <w:tcPr>
            <w:tcW w:type="dxa" w:w="3120"/>
            <w:tcMar>
              <w:top w:type="dxa" w:w="70"/>
              <w:left w:type="dxa" w:w="110"/>
              <w:bottom w:type="dxa" w:w="70"/>
              <w:right w:type="dxa" w:w="110"/>
            </w:tcMar>
          </w:tcPr>
          <w:p>
            <w:pPr>
              <w:spacing w:after="0" w:line="252"/>
            </w:pPr>
            <w:r>
              <w:rPr>
                <w:rFonts w:ascii="Calibri" w:cs="Calibri" w:eastAsia="Calibri" w:hAnsi="Calibri"/>
                <w:b w:val="false"/>
                <w:bCs w:val="false"/>
                <w:sz w:val="20"/>
                <w:szCs w:val="20"/>
              </w:rPr>
              <w:t xml:space="preserve"/>
            </w:r>
          </w:p>
        </w:tc>
        <w:tc>
          <w:tcPr>
            <w:tcW w:type="dxa" w:w="5105"/>
            <w:tcMar>
              <w:top w:type="dxa" w:w="70"/>
              <w:left w:type="dxa" w:w="110"/>
              <w:bottom w:type="dxa" w:w="70"/>
              <w:right w:type="dxa" w:w="110"/>
            </w:tcMar>
          </w:tcPr>
          <w:p>
            <w:pPr>
              <w:spacing w:after="0" w:line="252"/>
              <w:jc w:val="right"/>
            </w:pPr>
            <w:r>
              <w:rPr>
                <w:rFonts w:ascii="Calibri" w:cs="Calibri" w:eastAsia="Calibri" w:hAnsi="Calibri"/>
                <w:b w:val="false"/>
                <w:bCs w:val="false"/>
                <w:sz w:val="20"/>
                <w:szCs w:val="20"/>
              </w:rPr>
              <w:t xml:space="preserve">at least 200</w:t>
            </w:r>
          </w:p>
        </w:tc>
        <w:tc>
          <w:tcPr>
            <w:tcW w:type="dxa" w:w="1135"/>
            <w:tcMar>
              <w:top w:type="dxa" w:w="70"/>
              <w:left w:type="dxa" w:w="110"/>
              <w:bottom w:type="dxa" w:w="70"/>
              <w:right w:type="dxa" w:w="110"/>
            </w:tcMar>
          </w:tcPr>
          <w:p>
            <w:pPr>
              <w:spacing w:after="0" w:line="252"/>
              <w:jc w:val="right"/>
            </w:pPr>
            <w:r>
              <w:rPr>
                <w:rFonts w:ascii="Calibri" w:cs="Calibri" w:eastAsia="Calibri" w:hAnsi="Calibri"/>
                <w:b w:val="false"/>
                <w:bCs w:val="false"/>
                <w:sz w:val="20"/>
                <w:szCs w:val="20"/>
              </w:rPr>
              <w:t xml:space="preserve">.521</w:t>
            </w:r>
          </w:p>
        </w:tc>
      </w:tr>
      <w:tr>
        <w:tc>
          <w:tcPr>
            <w:tcW w:type="dxa" w:w="3120"/>
            <w:tcMar>
              <w:top w:type="dxa" w:w="70"/>
              <w:left w:type="dxa" w:w="110"/>
              <w:bottom w:type="dxa" w:w="70"/>
              <w:right w:type="dxa" w:w="110"/>
            </w:tcMar>
          </w:tcPr>
          <w:p>
            <w:pPr>
              <w:spacing w:after="0" w:line="252"/>
            </w:pPr>
            <w:r>
              <w:rPr>
                <w:rFonts w:ascii="Calibri" w:cs="Calibri" w:eastAsia="Calibri" w:hAnsi="Calibri"/>
                <w:b w:val="false"/>
                <w:bCs w:val="false"/>
                <w:sz w:val="20"/>
                <w:szCs w:val="20"/>
              </w:rPr>
              <w:t xml:space="preserve">Population boundary</w:t>
            </w:r>
          </w:p>
        </w:tc>
        <w:tc>
          <w:tcPr>
            <w:tcW w:type="dxa" w:w="5105"/>
            <w:tcMar>
              <w:top w:type="dxa" w:w="70"/>
              <w:left w:type="dxa" w:w="110"/>
              <w:bottom w:type="dxa" w:w="70"/>
              <w:right w:type="dxa" w:w="110"/>
            </w:tcMar>
          </w:tcPr>
          <w:p>
            <w:pPr>
              <w:spacing w:after="0" w:line="252"/>
              <w:jc w:val="right"/>
            </w:pPr>
            <w:r>
              <w:rPr>
                <w:rFonts w:ascii="Calibri" w:cs="Calibri" w:eastAsia="Calibri" w:hAnsi="Calibri"/>
                <w:b w:val="false"/>
                <w:bCs w:val="false"/>
                <w:sz w:val="20"/>
                <w:szCs w:val="20"/>
              </w:rPr>
              <w:t xml:space="preserve">“American” including CONCACAF (sample)</w:t>
            </w:r>
          </w:p>
        </w:tc>
        <w:tc>
          <w:tcPr>
            <w:tcW w:type="dxa" w:w="1135"/>
            <w:tcMar>
              <w:top w:type="dxa" w:w="70"/>
              <w:left w:type="dxa" w:w="110"/>
              <w:bottom w:type="dxa" w:w="70"/>
              <w:right w:type="dxa" w:w="110"/>
            </w:tcMar>
          </w:tcPr>
          <w:p>
            <w:pPr>
              <w:spacing w:after="0" w:line="252"/>
              <w:jc w:val="right"/>
            </w:pPr>
            <w:r>
              <w:rPr>
                <w:rFonts w:ascii="Calibri" w:cs="Calibri" w:eastAsia="Calibri" w:hAnsi="Calibri"/>
                <w:b w:val="false"/>
                <w:bCs w:val="false"/>
                <w:sz w:val="20"/>
                <w:szCs w:val="20"/>
              </w:rPr>
              <w:t xml:space="preserve">.373</w:t>
            </w:r>
          </w:p>
        </w:tc>
      </w:tr>
      <w:tr>
        <w:tc>
          <w:tcPr>
            <w:tcW w:type="dxa" w:w="3120"/>
            <w:tcMar>
              <w:top w:type="dxa" w:w="70"/>
              <w:left w:type="dxa" w:w="110"/>
              <w:bottom w:type="dxa" w:w="70"/>
              <w:right w:type="dxa" w:w="110"/>
            </w:tcMar>
          </w:tcPr>
          <w:p>
            <w:pPr>
              <w:spacing w:after="0" w:line="252"/>
            </w:pPr>
            <w:r>
              <w:rPr>
                <w:rFonts w:ascii="Calibri" w:cs="Calibri" w:eastAsia="Calibri" w:hAnsi="Calibri"/>
                <w:b w:val="false"/>
                <w:bCs w:val="false"/>
                <w:sz w:val="20"/>
                <w:szCs w:val="20"/>
              </w:rPr>
              <w:t xml:space="preserve"/>
            </w:r>
          </w:p>
        </w:tc>
        <w:tc>
          <w:tcPr>
            <w:tcW w:type="dxa" w:w="5105"/>
            <w:tcMar>
              <w:top w:type="dxa" w:w="70"/>
              <w:left w:type="dxa" w:w="110"/>
              <w:bottom w:type="dxa" w:w="70"/>
              <w:right w:type="dxa" w:w="110"/>
            </w:tcMar>
          </w:tcPr>
          <w:p>
            <w:pPr>
              <w:spacing w:after="0" w:line="252"/>
              <w:jc w:val="right"/>
            </w:pPr>
            <w:r>
              <w:rPr>
                <w:rFonts w:ascii="Calibri" w:cs="Calibri" w:eastAsia="Calibri" w:hAnsi="Calibri"/>
                <w:b w:val="false"/>
                <w:bCs w:val="false"/>
                <w:sz w:val="20"/>
                <w:szCs w:val="20"/>
              </w:rPr>
              <w:t xml:space="preserve">“American” including CONCACAF (census)</w:t>
            </w:r>
          </w:p>
        </w:tc>
        <w:tc>
          <w:tcPr>
            <w:tcW w:type="dxa" w:w="1135"/>
            <w:tcMar>
              <w:top w:type="dxa" w:w="70"/>
              <w:left w:type="dxa" w:w="110"/>
              <w:bottom w:type="dxa" w:w="70"/>
              <w:right w:type="dxa" w:w="110"/>
            </w:tcMar>
          </w:tcPr>
          <w:p>
            <w:pPr>
              <w:spacing w:after="0" w:line="252"/>
              <w:jc w:val="right"/>
            </w:pPr>
            <w:r>
              <w:rPr>
                <w:rFonts w:ascii="Calibri" w:cs="Calibri" w:eastAsia="Calibri" w:hAnsi="Calibri"/>
                <w:b w:val="false"/>
                <w:bCs w:val="false"/>
                <w:sz w:val="20"/>
                <w:szCs w:val="20"/>
              </w:rPr>
              <w:t xml:space="preserve">.133</w:t>
            </w:r>
          </w:p>
        </w:tc>
      </w:tr>
      <w:tr>
        <w:tc>
          <w:tcPr>
            <w:tcW w:type="dxa" w:w="3120"/>
            <w:tcMar>
              <w:top w:type="dxa" w:w="70"/>
              <w:left w:type="dxa" w:w="110"/>
              <w:bottom w:type="dxa" w:w="70"/>
              <w:right w:type="dxa" w:w="110"/>
            </w:tcMar>
          </w:tcPr>
          <w:p>
            <w:pPr>
              <w:spacing w:after="0" w:line="252"/>
            </w:pPr>
            <w:r>
              <w:rPr>
                <w:rFonts w:ascii="Calibri" w:cs="Calibri" w:eastAsia="Calibri" w:hAnsi="Calibri"/>
                <w:b w:val="false"/>
                <w:bCs w:val="false"/>
                <w:sz w:val="20"/>
                <w:szCs w:val="20"/>
              </w:rPr>
              <w:t xml:space="preserve">Population size</w:t>
            </w:r>
          </w:p>
        </w:tc>
        <w:tc>
          <w:tcPr>
            <w:tcW w:type="dxa" w:w="5105"/>
            <w:tcMar>
              <w:top w:type="dxa" w:w="70"/>
              <w:left w:type="dxa" w:w="110"/>
              <w:bottom w:type="dxa" w:w="70"/>
              <w:right w:type="dxa" w:w="110"/>
            </w:tcMar>
          </w:tcPr>
          <w:p>
            <w:pPr>
              <w:spacing w:after="0" w:line="252"/>
              <w:jc w:val="right"/>
            </w:pPr>
            <w:r>
              <w:rPr>
                <w:rFonts w:ascii="Calibri" w:cs="Calibri" w:eastAsia="Calibri" w:hAnsi="Calibri"/>
                <w:b w:val="false"/>
                <w:bCs w:val="false"/>
                <w:sz w:val="20"/>
                <w:szCs w:val="20"/>
              </w:rPr>
              <w:t xml:space="preserve">reduced to 247, matching a group member</w:t>
            </w:r>
          </w:p>
        </w:tc>
        <w:tc>
          <w:tcPr>
            <w:tcW w:type="dxa" w:w="1135"/>
            <w:tcMar>
              <w:top w:type="dxa" w:w="70"/>
              <w:left w:type="dxa" w:w="110"/>
              <w:bottom w:type="dxa" w:w="70"/>
              <w:right w:type="dxa" w:w="110"/>
            </w:tcMar>
          </w:tcPr>
          <w:p>
            <w:pPr>
              <w:spacing w:after="0" w:line="252"/>
              <w:jc w:val="right"/>
            </w:pPr>
            <w:r>
              <w:rPr>
                <w:rFonts w:ascii="Calibri" w:cs="Calibri" w:eastAsia="Calibri" w:hAnsi="Calibri"/>
                <w:b w:val="false"/>
                <w:bCs w:val="false"/>
                <w:sz w:val="20"/>
                <w:szCs w:val="20"/>
              </w:rPr>
              <w:t xml:space="preserve">.415</w:t>
            </w:r>
          </w:p>
        </w:tc>
      </w:tr>
      <w:tr>
        <w:tc>
          <w:tcPr>
            <w:tcW w:type="dxa" w:w="3120"/>
            <w:tcMar>
              <w:top w:type="dxa" w:w="70"/>
              <w:left w:type="dxa" w:w="110"/>
              <w:bottom w:type="dxa" w:w="70"/>
              <w:right w:type="dxa" w:w="110"/>
            </w:tcMar>
          </w:tcPr>
          <w:p>
            <w:pPr>
              <w:spacing w:after="0" w:line="252"/>
            </w:pPr>
            <w:r>
              <w:rPr>
                <w:rFonts w:ascii="Calibri" w:cs="Calibri" w:eastAsia="Calibri" w:hAnsi="Calibri"/>
                <w:b w:val="false"/>
                <w:bCs w:val="false"/>
                <w:sz w:val="20"/>
                <w:szCs w:val="20"/>
              </w:rPr>
              <w:t xml:space="preserve">Sampling itself</w:t>
            </w:r>
          </w:p>
        </w:tc>
        <w:tc>
          <w:tcPr>
            <w:tcW w:type="dxa" w:w="5105"/>
            <w:tcMar>
              <w:top w:type="dxa" w:w="70"/>
              <w:left w:type="dxa" w:w="110"/>
              <w:bottom w:type="dxa" w:w="70"/>
              <w:right w:type="dxa" w:w="110"/>
            </w:tcMar>
          </w:tcPr>
          <w:p>
            <w:pPr>
              <w:spacing w:after="0" w:line="252"/>
              <w:jc w:val="right"/>
            </w:pPr>
            <w:r>
              <w:rPr>
                <w:rFonts w:ascii="Calibri" w:cs="Calibri" w:eastAsia="Calibri" w:hAnsi="Calibri"/>
                <w:b w:val="false"/>
                <w:bCs w:val="false"/>
                <w:sz w:val="20"/>
                <w:szCs w:val="20"/>
              </w:rPr>
              <w:t xml:space="preserve">census, no sample drawn</w:t>
            </w:r>
          </w:p>
        </w:tc>
        <w:tc>
          <w:tcPr>
            <w:tcW w:type="dxa" w:w="1135"/>
            <w:tcMar>
              <w:top w:type="dxa" w:w="70"/>
              <w:left w:type="dxa" w:w="110"/>
              <w:bottom w:type="dxa" w:w="70"/>
              <w:right w:type="dxa" w:w="110"/>
            </w:tcMar>
          </w:tcPr>
          <w:p>
            <w:pPr>
              <w:spacing w:after="0" w:line="252"/>
              <w:jc w:val="right"/>
            </w:pPr>
            <w:r>
              <w:rPr>
                <w:rFonts w:ascii="Calibri" w:cs="Calibri" w:eastAsia="Calibri" w:hAnsi="Calibri"/>
                <w:b w:val="false"/>
                <w:bCs w:val="false"/>
                <w:sz w:val="20"/>
                <w:szCs w:val="20"/>
              </w:rPr>
              <w:t xml:space="preserve">.404</w:t>
            </w:r>
          </w:p>
        </w:tc>
      </w:tr>
      <w:tr>
        <w:tc>
          <w:tcPr>
            <w:tcW w:type="dxa" w:w="3120"/>
            <w:tcMar>
              <w:top w:type="dxa" w:w="70"/>
              <w:left w:type="dxa" w:w="110"/>
              <w:bottom w:type="dxa" w:w="70"/>
              <w:right w:type="dxa" w:w="110"/>
            </w:tcMar>
          </w:tcPr>
          <w:p>
            <w:pPr>
              <w:spacing w:after="0" w:line="252"/>
            </w:pPr>
            <w:r>
              <w:rPr>
                <w:rFonts w:ascii="Calibri" w:cs="Calibri" w:eastAsia="Calibri" w:hAnsi="Calibri"/>
                <w:b w:val="false"/>
                <w:bCs w:val="false"/>
                <w:sz w:val="20"/>
                <w:szCs w:val="20"/>
              </w:rPr>
              <w:t xml:space="preserve">The random seed</w:t>
            </w:r>
          </w:p>
        </w:tc>
        <w:tc>
          <w:tcPr>
            <w:tcW w:type="dxa" w:w="5105"/>
            <w:tcMar>
              <w:top w:type="dxa" w:w="70"/>
              <w:left w:type="dxa" w:w="110"/>
              <w:bottom w:type="dxa" w:w="70"/>
              <w:right w:type="dxa" w:w="110"/>
            </w:tcMar>
          </w:tcPr>
          <w:p>
            <w:pPr>
              <w:spacing w:after="0" w:line="252"/>
              <w:jc w:val="right"/>
            </w:pPr>
            <w:r>
              <w:rPr>
                <w:rFonts w:ascii="Calibri" w:cs="Calibri" w:eastAsia="Calibri" w:hAnsi="Calibri"/>
                <w:b w:val="false"/>
                <w:bCs w:val="false"/>
                <w:sz w:val="20"/>
                <w:szCs w:val="20"/>
              </w:rPr>
              <w:t xml:space="preserve">500 different seeds, median</w:t>
            </w:r>
          </w:p>
        </w:tc>
        <w:tc>
          <w:tcPr>
            <w:tcW w:type="dxa" w:w="1135"/>
            <w:tcMar>
              <w:top w:type="dxa" w:w="70"/>
              <w:left w:type="dxa" w:w="110"/>
              <w:bottom w:type="dxa" w:w="70"/>
              <w:right w:type="dxa" w:w="110"/>
            </w:tcMar>
          </w:tcPr>
          <w:p>
            <w:pPr>
              <w:spacing w:after="0" w:line="252"/>
              <w:jc w:val="right"/>
            </w:pPr>
            <w:r>
              <w:rPr>
                <w:rFonts w:ascii="Calibri" w:cs="Calibri" w:eastAsia="Calibri" w:hAnsi="Calibri"/>
                <w:b w:val="false"/>
                <w:bCs w:val="false"/>
                <w:sz w:val="20"/>
                <w:szCs w:val="20"/>
              </w:rPr>
              <w:t xml:space="preserve">.493</w:t>
            </w:r>
          </w:p>
        </w:tc>
      </w:tr>
      <w:tr>
        <w:tc>
          <w:tcPr>
            <w:tcW w:type="dxa" w:w="3120"/>
            <w:tcMar>
              <w:top w:type="dxa" w:w="70"/>
              <w:left w:type="dxa" w:w="110"/>
              <w:bottom w:type="dxa" w:w="70"/>
              <w:right w:type="dxa" w:w="110"/>
            </w:tcMar>
          </w:tcPr>
          <w:p>
            <w:pPr>
              <w:spacing w:after="0" w:line="252"/>
            </w:pPr>
            <w:r>
              <w:rPr>
                <w:rFonts w:ascii="Calibri" w:cs="Calibri" w:eastAsia="Calibri" w:hAnsi="Calibri"/>
                <w:b w:val="false"/>
                <w:bCs w:val="false"/>
                <w:sz w:val="20"/>
                <w:szCs w:val="20"/>
              </w:rPr>
              <w:t xml:space="preserve">The test</w:t>
            </w:r>
          </w:p>
        </w:tc>
        <w:tc>
          <w:tcPr>
            <w:tcW w:type="dxa" w:w="5105"/>
            <w:tcMar>
              <w:top w:type="dxa" w:w="70"/>
              <w:left w:type="dxa" w:w="110"/>
              <w:bottom w:type="dxa" w:w="70"/>
              <w:right w:type="dxa" w:w="110"/>
            </w:tcMar>
          </w:tcPr>
          <w:p>
            <w:pPr>
              <w:spacing w:after="0" w:line="252"/>
              <w:jc w:val="right"/>
            </w:pPr>
            <w:r>
              <w:rPr>
                <w:rFonts w:ascii="Calibri" w:cs="Calibri" w:eastAsia="Calibri" w:hAnsi="Calibri"/>
                <w:b w:val="false"/>
                <w:bCs w:val="false"/>
                <w:sz w:val="20"/>
                <w:szCs w:val="20"/>
              </w:rPr>
              <w:t xml:space="preserve">Student’s instead of Welch</w:t>
            </w:r>
          </w:p>
        </w:tc>
        <w:tc>
          <w:tcPr>
            <w:tcW w:type="dxa" w:w="1135"/>
            <w:tcMar>
              <w:top w:type="dxa" w:w="70"/>
              <w:left w:type="dxa" w:w="110"/>
              <w:bottom w:type="dxa" w:w="70"/>
              <w:right w:type="dxa" w:w="110"/>
            </w:tcMar>
          </w:tcPr>
          <w:p>
            <w:pPr>
              <w:spacing w:after="0" w:line="252"/>
              <w:jc w:val="right"/>
            </w:pPr>
            <w:r>
              <w:rPr>
                <w:rFonts w:ascii="Calibri" w:cs="Calibri" w:eastAsia="Calibri" w:hAnsi="Calibri"/>
                <w:b w:val="false"/>
                <w:bCs w:val="false"/>
                <w:sz w:val="20"/>
                <w:szCs w:val="20"/>
              </w:rPr>
              <w:t xml:space="preserve">.628</w:t>
            </w:r>
          </w:p>
        </w:tc>
      </w:tr>
      <w:tr>
        <w:tc>
          <w:tcPr>
            <w:tcW w:type="dxa" w:w="3120"/>
            <w:tcMar>
              <w:top w:type="dxa" w:w="70"/>
              <w:left w:type="dxa" w:w="110"/>
              <w:bottom w:type="dxa" w:w="70"/>
              <w:right w:type="dxa" w:w="110"/>
            </w:tcMar>
          </w:tcPr>
          <w:p>
            <w:pPr>
              <w:spacing w:after="0" w:line="252"/>
            </w:pPr>
            <w:r>
              <w:rPr>
                <w:rFonts w:ascii="Calibri" w:cs="Calibri" w:eastAsia="Calibri" w:hAnsi="Calibri"/>
                <w:b w:val="false"/>
                <w:bCs w:val="false"/>
                <w:sz w:val="20"/>
                <w:szCs w:val="20"/>
              </w:rPr>
              <w:t xml:space="preserve">The test family</w:t>
            </w:r>
          </w:p>
        </w:tc>
        <w:tc>
          <w:tcPr>
            <w:tcW w:type="dxa" w:w="5105"/>
            <w:tcMar>
              <w:top w:type="dxa" w:w="70"/>
              <w:left w:type="dxa" w:w="110"/>
              <w:bottom w:type="dxa" w:w="70"/>
              <w:right w:type="dxa" w:w="110"/>
            </w:tcMar>
          </w:tcPr>
          <w:p>
            <w:pPr>
              <w:spacing w:after="0" w:line="252"/>
              <w:jc w:val="right"/>
            </w:pPr>
            <w:r>
              <w:rPr>
                <w:rFonts w:ascii="Calibri" w:cs="Calibri" w:eastAsia="Calibri" w:hAnsi="Calibri"/>
                <w:b w:val="false"/>
                <w:bCs w:val="false"/>
                <w:sz w:val="20"/>
                <w:szCs w:val="20"/>
              </w:rPr>
              <w:t xml:space="preserve">Mann–Whitney, non-parametric</w:t>
            </w:r>
          </w:p>
        </w:tc>
        <w:tc>
          <w:tcPr>
            <w:tcW w:type="dxa" w:w="1135"/>
            <w:tcMar>
              <w:top w:type="dxa" w:w="70"/>
              <w:left w:type="dxa" w:w="110"/>
              <w:bottom w:type="dxa" w:w="70"/>
              <w:right w:type="dxa" w:w="110"/>
            </w:tcMar>
          </w:tcPr>
          <w:p>
            <w:pPr>
              <w:spacing w:after="0" w:line="252"/>
              <w:jc w:val="right"/>
            </w:pPr>
            <w:r>
              <w:rPr>
                <w:rFonts w:ascii="Calibri" w:cs="Calibri" w:eastAsia="Calibri" w:hAnsi="Calibri"/>
                <w:b w:val="false"/>
                <w:bCs w:val="false"/>
                <w:sz w:val="20"/>
                <w:szCs w:val="20"/>
              </w:rPr>
              <w:t xml:space="preserve">.739</w:t>
            </w:r>
          </w:p>
        </w:tc>
      </w:tr>
    </w:tbl>
    <w:p>
      <w:pPr>
        <w:spacing w:after="220" w:before="60"/>
      </w:pPr>
      <w:r>
        <w:rPr>
          <w:rFonts w:ascii="Calibri" w:cs="Calibri" w:eastAsia="Calibri" w:hAnsi="Calibri"/>
          <w:i/>
          <w:iCs/>
          <w:color w:val="52514E"/>
          <w:sz w:val="18"/>
          <w:szCs w:val="18"/>
        </w:rPr>
        <w:t xml:space="preserve">Fourteen specifications, spanning p from .133 to .989. None falls below .05. Displaying every specification together rather than one preferred result follows specification curve analysis (Simonsohn et al., 2020); see Figure 2.</w:t>
      </w:r>
    </w:p>
    <w:p>
      <w:pPr>
        <w:spacing w:after="120" w:line="276"/>
      </w:pPr>
      <w:r>
        <w:rPr>
          <w:rFonts w:ascii="Calibri" w:cs="Calibri" w:eastAsia="Calibri" w:hAnsi="Calibri"/>
          <w:sz w:val="22"/>
          <w:szCs w:val="22"/>
        </w:rPr>
        <w:t xml:space="preserve">Across five hundred independent samples, 5.8 per cent would have rejected the null. That figure is not a weakness: it is approximately the false-positive rate an α = .05 criterion predicts when the null hypothesis is true. The occasional significant sample is the noise the method is built to tolerate.</w:t>
      </w:r>
    </w:p>
    <w:p>
      <w:pPr>
        <w:spacing w:after="120" w:line="276"/>
      </w:pPr>
      <w:r>
        <w:rPr>
          <w:rFonts w:ascii="Calibri" w:cs="Calibri" w:eastAsia="Calibri" w:hAnsi="Calibri"/>
          <w:sz w:val="22"/>
          <w:szCs w:val="22"/>
        </w:rPr>
        <w:t xml:space="preserve">The specification that comes closest to significance is p = .133, under the alternative reading of “American” that admits CONCACAF. That reading widens the gap to 1.22 points, because CONCACAF players average 83.41 per cent — below CONMEBOL’s 84.01 — but with 282 against 197 players it still falls well short. Stating where the analysis is weakest is deliberate; a reader who finds it unaided trusts the remainder less.</w:t>
      </w:r>
    </w:p>
    <w:p>
      <w:pPr>
        <w:pStyle w:val="Heading2"/>
        <w:spacing w:after="120" w:before="240"/>
      </w:pPr>
      <w:r>
        <w:rPr>
          <w:rFonts w:ascii="Calibri" w:cs="Calibri" w:eastAsia="Calibri" w:hAnsi="Calibri"/>
          <w:b/>
          <w:bCs/>
          <w:color w:val="1F4E5F"/>
          <w:sz w:val="24"/>
          <w:szCs w:val="24"/>
        </w:rPr>
        <w:t xml:space="preserve">Answering the question raised in supervision</w:t>
      </w:r>
    </w:p>
    <w:p>
      <w:pPr>
        <w:spacing w:after="120" w:line="276"/>
      </w:pPr>
      <w:r>
        <w:rPr>
          <w:rFonts w:ascii="Calibri" w:cs="Calibri" w:eastAsia="Calibri" w:hAnsi="Calibri"/>
          <w:sz w:val="22"/>
          <w:szCs w:val="22"/>
        </w:rPr>
        <w:t xml:space="preserve">This task used FIFA while the rest of the group used Football Reference, and whether that changes the findings was tested rather than asserted. The two sources agree to within 1.7 per cent on how many players took the field — FIFA lists 1,019 with at least one pass, Football Reference 1,037 with minutes played — across the identical twenty-two nations. The larger population here, 383 against a group member’s 247, reflects the exclusion rule and not the source: a twenty-pass threshold is less restrictive than a 180-minute one. Had the figure of 1,242 been compared against 1,037, an apparent discrepancy of more than two hundred players would have been inferred; that discrepancy is an artefact of two different definitions of “player”.</w:t>
      </w:r>
    </w:p>
    <w:p>
      <w:r>
        <w:br w:type="page"/>
      </w:r>
    </w:p>
    <w:p>
      <w:pPr>
        <w:pStyle w:val="Heading1"/>
        <w:spacing w:after="160" w:before="340"/>
      </w:pPr>
      <w:r>
        <w:rPr>
          <w:rFonts w:ascii="Calibri" w:cs="Calibri" w:eastAsia="Calibri" w:hAnsi="Calibri"/>
          <w:b/>
          <w:bCs/>
          <w:color w:val="1F4E5F"/>
          <w:sz w:val="30"/>
          <w:szCs w:val="30"/>
        </w:rPr>
        <w:t xml:space="preserve">Step 8 — Extended exploration</w:t>
      </w:r>
    </w:p>
    <w:p>
      <w:pPr>
        <w:spacing w:after="120" w:line="276"/>
      </w:pPr>
      <w:r>
        <w:rPr>
          <w:rFonts w:ascii="Calibri" w:cs="Calibri" w:eastAsia="Calibri" w:hAnsi="Calibri"/>
          <w:b/>
          <w:bCs/>
          <w:color w:val="1F4E5F"/>
          <w:sz w:val="22"/>
          <w:szCs w:val="22"/>
        </w:rPr>
        <w:t xml:space="preserve">WHY  </w:t>
      </w:r>
      <w:r>
        <w:rPr>
          <w:rFonts w:ascii="Calibri" w:cs="Calibri" w:eastAsia="Calibri" w:hAnsi="Calibri"/>
          <w:sz w:val="22"/>
          <w:szCs w:val="22"/>
        </w:rPr>
        <w:t xml:space="preserve">Steps 6 and 7 established the null result robustly, but neither can explain it, because both see only one aggregated figure per player. A null result admits two readings: either no difference exists, or differences exist and cancel. Until they are distinguished, the analysis has a fact without an explanation.</w:t>
      </w:r>
    </w:p>
    <w:p>
      <w:pPr>
        <w:spacing w:after="120" w:line="276"/>
      </w:pPr>
      <w:r>
        <w:rPr>
          <w:rFonts w:ascii="Calibri" w:cs="Calibri" w:eastAsia="Calibri" w:hAnsi="Calibri"/>
          <w:b/>
          <w:bCs/>
          <w:color w:val="1F4E5F"/>
          <w:sz w:val="22"/>
          <w:szCs w:val="22"/>
        </w:rPr>
        <w:t xml:space="preserve">STORY  </w:t>
      </w:r>
      <w:r>
        <w:rPr>
          <w:rFonts w:ascii="Calibri" w:cs="Calibri" w:eastAsia="Calibri" w:hAnsi="Calibri"/>
          <w:sz w:val="22"/>
          <w:szCs w:val="22"/>
        </w:rPr>
        <w:t xml:space="preserve">The idea that separates them is a footballing observation rather than a statistical one. “Pass completion rate” is not one thing: a five-metre sideways ball and a forty-metre pass through a defensive line each count as one pass. If two footballing cultures differ in which kinds of pass they succeed at, an aggregate rate could look identical while the underlying behaviour differs entirely. The columns retained speculatively in Step 2 are what made this testable.</w:t>
      </w:r>
    </w:p>
    <w:p>
      <w:pPr>
        <w:pStyle w:val="Heading3"/>
        <w:spacing w:after="100" w:before="180"/>
      </w:pPr>
      <w:r>
        <w:rPr>
          <w:rFonts w:ascii="Calibri" w:cs="Calibri" w:eastAsia="Calibri" w:hAnsi="Calibri"/>
          <w:b/>
          <w:bCs/>
          <w:color w:val="000000"/>
          <w:sz w:val="22"/>
          <w:szCs w:val="22"/>
        </w:rPr>
        <w:t xml:space="preserve">8.1  Not all passes are equally difficult</w:t>
      </w:r>
    </w:p>
    <w:tbl>
      <w:tblPr>
        <w:tblW w:type="dxa" w:w="9360"/>
        <w:tblBorders>
          <w:top w:val="single" w:color="C3C2B7" w:sz="4"/>
          <w:left w:val="none"/>
          <w:bottom w:val="single" w:color="C3C2B7" w:sz="4"/>
          <w:right w:val="none"/>
          <w:insideH w:val="single" w:color="E1E0D9" w:sz="2"/>
          <w:insideV w:val="none"/>
        </w:tblBorders>
      </w:tblPr>
      <w:tblGrid>
        <w:gridCol w:w="4926"/>
        <w:gridCol w:w="2463"/>
        <w:gridCol w:w="1971"/>
      </w:tblGrid>
      <w:tr>
        <w:trPr>
          <w:tblHeader/>
        </w:trPr>
        <w:tc>
          <w:tcPr>
            <w:tcW w:type="dxa" w:w="4926"/>
            <w:shd w:fill="F2F7FB" w:color="auto" w:val="clear"/>
            <w:tcMar>
              <w:top w:type="dxa" w:w="70"/>
              <w:left w:type="dxa" w:w="110"/>
              <w:bottom w:type="dxa" w:w="70"/>
              <w:right w:type="dxa" w:w="110"/>
            </w:tcMar>
          </w:tcPr>
          <w:p>
            <w:pPr>
              <w:spacing w:after="0" w:line="252"/>
            </w:pPr>
            <w:r>
              <w:rPr>
                <w:rFonts w:ascii="Calibri" w:cs="Calibri" w:eastAsia="Calibri" w:hAnsi="Calibri"/>
                <w:b/>
                <w:bCs/>
                <w:sz w:val="20"/>
                <w:szCs w:val="20"/>
              </w:rPr>
              <w:t xml:space="preserve">Pass type</w:t>
            </w:r>
          </w:p>
        </w:tc>
        <w:tc>
          <w:tcPr>
            <w:tcW w:type="dxa" w:w="2463"/>
            <w:shd w:fill="F2F7FB" w:color="auto" w:val="clear"/>
            <w:tcMar>
              <w:top w:type="dxa" w:w="70"/>
              <w:left w:type="dxa" w:w="110"/>
              <w:bottom w:type="dxa" w:w="70"/>
              <w:right w:type="dxa" w:w="110"/>
            </w:tcMar>
          </w:tcPr>
          <w:p>
            <w:pPr>
              <w:spacing w:after="0" w:line="252"/>
              <w:jc w:val="right"/>
            </w:pPr>
            <w:r>
              <w:rPr>
                <w:rFonts w:ascii="Calibri" w:cs="Calibri" w:eastAsia="Calibri" w:hAnsi="Calibri"/>
                <w:b/>
                <w:bCs/>
                <w:sz w:val="20"/>
                <w:szCs w:val="20"/>
              </w:rPr>
              <w:t xml:space="preserve">Completion rate</w:t>
            </w:r>
          </w:p>
        </w:tc>
        <w:tc>
          <w:tcPr>
            <w:tcW w:type="dxa" w:w="1971"/>
            <w:shd w:fill="F2F7FB" w:color="auto" w:val="clear"/>
            <w:tcMar>
              <w:top w:type="dxa" w:w="70"/>
              <w:left w:type="dxa" w:w="110"/>
              <w:bottom w:type="dxa" w:w="70"/>
              <w:right w:type="dxa" w:w="110"/>
            </w:tcMar>
          </w:tcPr>
          <w:p>
            <w:pPr>
              <w:spacing w:after="0" w:line="252"/>
              <w:jc w:val="right"/>
            </w:pPr>
            <w:r>
              <w:rPr>
                <w:rFonts w:ascii="Calibri" w:cs="Calibri" w:eastAsia="Calibri" w:hAnsi="Calibri"/>
                <w:b/>
                <w:bCs/>
                <w:sz w:val="20"/>
                <w:szCs w:val="20"/>
              </w:rPr>
              <w:t xml:space="preserve">Volume</w:t>
            </w:r>
          </w:p>
        </w:tc>
      </w:tr>
      <w:tr>
        <w:tc>
          <w:tcPr>
            <w:tcW w:type="dxa" w:w="4926"/>
            <w:tcMar>
              <w:top w:type="dxa" w:w="70"/>
              <w:left w:type="dxa" w:w="110"/>
              <w:bottom w:type="dxa" w:w="70"/>
              <w:right w:type="dxa" w:w="110"/>
            </w:tcMar>
          </w:tcPr>
          <w:p>
            <w:pPr>
              <w:spacing w:after="0" w:line="252"/>
            </w:pPr>
            <w:r>
              <w:rPr>
                <w:rFonts w:ascii="Calibri" w:cs="Calibri" w:eastAsia="Calibri" w:hAnsi="Calibri"/>
                <w:b w:val="false"/>
                <w:bCs w:val="false"/>
                <w:sz w:val="20"/>
                <w:szCs w:val="20"/>
              </w:rPr>
              <w:t xml:space="preserve">All passes</w:t>
            </w:r>
          </w:p>
        </w:tc>
        <w:tc>
          <w:tcPr>
            <w:tcW w:type="dxa" w:w="2463"/>
            <w:tcMar>
              <w:top w:type="dxa" w:w="70"/>
              <w:left w:type="dxa" w:w="110"/>
              <w:bottom w:type="dxa" w:w="70"/>
              <w:right w:type="dxa" w:w="110"/>
            </w:tcMar>
          </w:tcPr>
          <w:p>
            <w:pPr>
              <w:spacing w:after="0" w:line="252"/>
              <w:jc w:val="right"/>
            </w:pPr>
            <w:r>
              <w:rPr>
                <w:rFonts w:ascii="Calibri" w:cs="Calibri" w:eastAsia="Calibri" w:hAnsi="Calibri"/>
                <w:b w:val="false"/>
                <w:bCs w:val="false"/>
                <w:sz w:val="20"/>
                <w:szCs w:val="20"/>
              </w:rPr>
              <w:t xml:space="preserve">87.5%</w:t>
            </w:r>
          </w:p>
        </w:tc>
        <w:tc>
          <w:tcPr>
            <w:tcW w:type="dxa" w:w="1971"/>
            <w:tcMar>
              <w:top w:type="dxa" w:w="70"/>
              <w:left w:type="dxa" w:w="110"/>
              <w:bottom w:type="dxa" w:w="70"/>
              <w:right w:type="dxa" w:w="110"/>
            </w:tcMar>
          </w:tcPr>
          <w:p>
            <w:pPr>
              <w:spacing w:after="0" w:line="252"/>
              <w:jc w:val="right"/>
            </w:pPr>
            <w:r>
              <w:rPr>
                <w:rFonts w:ascii="Calibri" w:cs="Calibri" w:eastAsia="Calibri" w:hAnsi="Calibri"/>
                <w:b w:val="false"/>
                <w:bCs w:val="false"/>
                <w:sz w:val="20"/>
                <w:szCs w:val="20"/>
              </w:rPr>
              <w:t xml:space="preserve">56,887</w:t>
            </w:r>
          </w:p>
        </w:tc>
      </w:tr>
      <w:tr>
        <w:tc>
          <w:tcPr>
            <w:tcW w:type="dxa" w:w="4926"/>
            <w:tcMar>
              <w:top w:type="dxa" w:w="70"/>
              <w:left w:type="dxa" w:w="110"/>
              <w:bottom w:type="dxa" w:w="70"/>
              <w:right w:type="dxa" w:w="110"/>
            </w:tcMar>
          </w:tcPr>
          <w:p>
            <w:pPr>
              <w:spacing w:after="0" w:line="252"/>
            </w:pPr>
            <w:r>
              <w:rPr>
                <w:rFonts w:ascii="Calibri" w:cs="Calibri" w:eastAsia="Calibri" w:hAnsi="Calibri"/>
                <w:b w:val="false"/>
                <w:bCs w:val="false"/>
                <w:sz w:val="20"/>
                <w:szCs w:val="20"/>
              </w:rPr>
              <w:t xml:space="preserve">Switches of play</w:t>
            </w:r>
          </w:p>
        </w:tc>
        <w:tc>
          <w:tcPr>
            <w:tcW w:type="dxa" w:w="2463"/>
            <w:tcMar>
              <w:top w:type="dxa" w:w="70"/>
              <w:left w:type="dxa" w:w="110"/>
              <w:bottom w:type="dxa" w:w="70"/>
              <w:right w:type="dxa" w:w="110"/>
            </w:tcMar>
          </w:tcPr>
          <w:p>
            <w:pPr>
              <w:spacing w:after="0" w:line="252"/>
              <w:jc w:val="right"/>
            </w:pPr>
            <w:r>
              <w:rPr>
                <w:rFonts w:ascii="Calibri" w:cs="Calibri" w:eastAsia="Calibri" w:hAnsi="Calibri"/>
                <w:b w:val="false"/>
                <w:bCs w:val="false"/>
                <w:sz w:val="20"/>
                <w:szCs w:val="20"/>
              </w:rPr>
              <w:t xml:space="preserve">84.7%</w:t>
            </w:r>
          </w:p>
        </w:tc>
        <w:tc>
          <w:tcPr>
            <w:tcW w:type="dxa" w:w="1971"/>
            <w:tcMar>
              <w:top w:type="dxa" w:w="70"/>
              <w:left w:type="dxa" w:w="110"/>
              <w:bottom w:type="dxa" w:w="70"/>
              <w:right w:type="dxa" w:w="110"/>
            </w:tcMar>
          </w:tcPr>
          <w:p>
            <w:pPr>
              <w:spacing w:after="0" w:line="252"/>
              <w:jc w:val="right"/>
            </w:pPr>
            <w:r>
              <w:rPr>
                <w:rFonts w:ascii="Calibri" w:cs="Calibri" w:eastAsia="Calibri" w:hAnsi="Calibri"/>
                <w:b w:val="false"/>
                <w:bCs w:val="false"/>
                <w:sz w:val="20"/>
                <w:szCs w:val="20"/>
              </w:rPr>
              <w:t xml:space="preserve">563</w:t>
            </w:r>
          </w:p>
        </w:tc>
      </w:tr>
      <w:tr>
        <w:tc>
          <w:tcPr>
            <w:tcW w:type="dxa" w:w="4926"/>
            <w:tcMar>
              <w:top w:type="dxa" w:w="70"/>
              <w:left w:type="dxa" w:w="110"/>
              <w:bottom w:type="dxa" w:w="70"/>
              <w:right w:type="dxa" w:w="110"/>
            </w:tcMar>
          </w:tcPr>
          <w:p>
            <w:pPr>
              <w:spacing w:after="0" w:line="252"/>
            </w:pPr>
            <w:r>
              <w:rPr>
                <w:rFonts w:ascii="Calibri" w:cs="Calibri" w:eastAsia="Calibri" w:hAnsi="Calibri"/>
                <w:b w:val="false"/>
                <w:bCs w:val="false"/>
                <w:sz w:val="20"/>
                <w:szCs w:val="20"/>
              </w:rPr>
              <w:t xml:space="preserve">Defensive linebreaks</w:t>
            </w:r>
          </w:p>
        </w:tc>
        <w:tc>
          <w:tcPr>
            <w:tcW w:type="dxa" w:w="2463"/>
            <w:tcMar>
              <w:top w:type="dxa" w:w="70"/>
              <w:left w:type="dxa" w:w="110"/>
              <w:bottom w:type="dxa" w:w="70"/>
              <w:right w:type="dxa" w:w="110"/>
            </w:tcMar>
          </w:tcPr>
          <w:p>
            <w:pPr>
              <w:spacing w:after="0" w:line="252"/>
              <w:jc w:val="right"/>
            </w:pPr>
            <w:r>
              <w:rPr>
                <w:rFonts w:ascii="Calibri" w:cs="Calibri" w:eastAsia="Calibri" w:hAnsi="Calibri"/>
                <w:b w:val="false"/>
                <w:bCs w:val="false"/>
                <w:sz w:val="20"/>
                <w:szCs w:val="20"/>
              </w:rPr>
              <w:t xml:space="preserve">54.3%</w:t>
            </w:r>
          </w:p>
        </w:tc>
        <w:tc>
          <w:tcPr>
            <w:tcW w:type="dxa" w:w="1971"/>
            <w:tcMar>
              <w:top w:type="dxa" w:w="70"/>
              <w:left w:type="dxa" w:w="110"/>
              <w:bottom w:type="dxa" w:w="70"/>
              <w:right w:type="dxa" w:w="110"/>
            </w:tcMar>
          </w:tcPr>
          <w:p>
            <w:pPr>
              <w:spacing w:after="0" w:line="252"/>
              <w:jc w:val="right"/>
            </w:pPr>
            <w:r>
              <w:rPr>
                <w:rFonts w:ascii="Calibri" w:cs="Calibri" w:eastAsia="Calibri" w:hAnsi="Calibri"/>
                <w:b w:val="false"/>
                <w:bCs w:val="false"/>
                <w:sz w:val="20"/>
                <w:szCs w:val="20"/>
              </w:rPr>
              <w:t xml:space="preserve">2,208</w:t>
            </w:r>
          </w:p>
        </w:tc>
      </w:tr>
      <w:tr>
        <w:tc>
          <w:tcPr>
            <w:tcW w:type="dxa" w:w="4926"/>
            <w:tcMar>
              <w:top w:type="dxa" w:w="70"/>
              <w:left w:type="dxa" w:w="110"/>
              <w:bottom w:type="dxa" w:w="70"/>
              <w:right w:type="dxa" w:w="110"/>
            </w:tcMar>
          </w:tcPr>
          <w:p>
            <w:pPr>
              <w:spacing w:after="0" w:line="252"/>
            </w:pPr>
            <w:r>
              <w:rPr>
                <w:rFonts w:ascii="Calibri" w:cs="Calibri" w:eastAsia="Calibri" w:hAnsi="Calibri"/>
                <w:b w:val="false"/>
                <w:bCs w:val="false"/>
                <w:sz w:val="20"/>
                <w:szCs w:val="20"/>
              </w:rPr>
              <w:t xml:space="preserve">Crosses</w:t>
            </w:r>
          </w:p>
        </w:tc>
        <w:tc>
          <w:tcPr>
            <w:tcW w:type="dxa" w:w="2463"/>
            <w:tcMar>
              <w:top w:type="dxa" w:w="70"/>
              <w:left w:type="dxa" w:w="110"/>
              <w:bottom w:type="dxa" w:w="70"/>
              <w:right w:type="dxa" w:w="110"/>
            </w:tcMar>
          </w:tcPr>
          <w:p>
            <w:pPr>
              <w:spacing w:after="0" w:line="252"/>
              <w:jc w:val="right"/>
            </w:pPr>
            <w:r>
              <w:rPr>
                <w:rFonts w:ascii="Calibri" w:cs="Calibri" w:eastAsia="Calibri" w:hAnsi="Calibri"/>
                <w:b w:val="false"/>
                <w:bCs w:val="false"/>
                <w:sz w:val="20"/>
                <w:szCs w:val="20"/>
              </w:rPr>
              <w:t xml:space="preserve">23.4%</w:t>
            </w:r>
          </w:p>
        </w:tc>
        <w:tc>
          <w:tcPr>
            <w:tcW w:type="dxa" w:w="1971"/>
            <w:tcMar>
              <w:top w:type="dxa" w:w="70"/>
              <w:left w:type="dxa" w:w="110"/>
              <w:bottom w:type="dxa" w:w="70"/>
              <w:right w:type="dxa" w:w="110"/>
            </w:tcMar>
          </w:tcPr>
          <w:p>
            <w:pPr>
              <w:spacing w:after="0" w:line="252"/>
              <w:jc w:val="right"/>
            </w:pPr>
            <w:r>
              <w:rPr>
                <w:rFonts w:ascii="Calibri" w:cs="Calibri" w:eastAsia="Calibri" w:hAnsi="Calibri"/>
                <w:b w:val="false"/>
                <w:bCs w:val="false"/>
                <w:sz w:val="20"/>
                <w:szCs w:val="20"/>
              </w:rPr>
              <w:t xml:space="preserve">1,995</w:t>
            </w:r>
          </w:p>
        </w:tc>
      </w:tr>
    </w:tbl>
    <w:p>
      <w:pPr>
        <w:spacing w:after="120" w:line="276"/>
      </w:pPr>
      <w:r>
        <w:rPr>
          <w:rFonts w:ascii="Calibri" w:cs="Calibri" w:eastAsia="Calibri" w:hAnsi="Calibri"/>
          <w:sz w:val="22"/>
          <w:szCs w:val="22"/>
        </w:rPr>
        <w:t xml:space="preserve">A cross is 3.7 times harder to complete than an average pass. This reframes the original variable: an overall rate of ninety per cent may indicate accuracy or merely caution, and the headline figure cannot distinguish them.</w:t>
      </w:r>
    </w:p>
    <w:p>
      <w:pPr>
        <w:pStyle w:val="Heading3"/>
        <w:spacing w:after="100" w:before="180"/>
      </w:pPr>
      <w:r>
        <w:rPr>
          <w:rFonts w:ascii="Calibri" w:cs="Calibri" w:eastAsia="Calibri" w:hAnsi="Calibri"/>
          <w:b/>
          <w:bCs/>
          <w:color w:val="000000"/>
          <w:sz w:val="22"/>
          <w:szCs w:val="22"/>
        </w:rPr>
        <w:t xml:space="preserve">8.2  Accuracy differs by type, in opposite directions</w:t>
      </w:r>
    </w:p>
    <w:tbl>
      <w:tblPr>
        <w:tblW w:type="dxa" w:w="9360"/>
        <w:tblBorders>
          <w:top w:val="single" w:color="C3C2B7" w:sz="4"/>
          <w:left w:val="none"/>
          <w:bottom w:val="single" w:color="C3C2B7" w:sz="4"/>
          <w:right w:val="none"/>
          <w:insideH w:val="single" w:color="E1E0D9" w:sz="2"/>
          <w:insideV w:val="none"/>
        </w:tblBorders>
      </w:tblPr>
      <w:tblGrid>
        <w:gridCol w:w="3209"/>
        <w:gridCol w:w="1337"/>
        <w:gridCol w:w="1605"/>
        <w:gridCol w:w="1070"/>
        <w:gridCol w:w="2139"/>
      </w:tblGrid>
      <w:tr>
        <w:trPr>
          <w:tblHeader/>
        </w:trPr>
        <w:tc>
          <w:tcPr>
            <w:tcW w:type="dxa" w:w="3209"/>
            <w:shd w:fill="F2F7FB" w:color="auto" w:val="clear"/>
            <w:tcMar>
              <w:top w:type="dxa" w:w="70"/>
              <w:left w:type="dxa" w:w="110"/>
              <w:bottom w:type="dxa" w:w="70"/>
              <w:right w:type="dxa" w:w="110"/>
            </w:tcMar>
          </w:tcPr>
          <w:p>
            <w:pPr>
              <w:spacing w:after="0" w:line="252"/>
            </w:pPr>
            <w:r>
              <w:rPr>
                <w:rFonts w:ascii="Calibri" w:cs="Calibri" w:eastAsia="Calibri" w:hAnsi="Calibri"/>
                <w:b/>
                <w:bCs/>
                <w:sz w:val="20"/>
                <w:szCs w:val="20"/>
              </w:rPr>
              <w:t xml:space="preserve">Pass type</w:t>
            </w:r>
          </w:p>
        </w:tc>
        <w:tc>
          <w:tcPr>
            <w:tcW w:type="dxa" w:w="1337"/>
            <w:shd w:fill="F2F7FB" w:color="auto" w:val="clear"/>
            <w:tcMar>
              <w:top w:type="dxa" w:w="70"/>
              <w:left w:type="dxa" w:w="110"/>
              <w:bottom w:type="dxa" w:w="70"/>
              <w:right w:type="dxa" w:w="110"/>
            </w:tcMar>
          </w:tcPr>
          <w:p>
            <w:pPr>
              <w:spacing w:after="0" w:line="252"/>
              <w:jc w:val="right"/>
            </w:pPr>
            <w:r>
              <w:rPr>
                <w:rFonts w:ascii="Calibri" w:cs="Calibri" w:eastAsia="Calibri" w:hAnsi="Calibri"/>
                <w:b/>
                <w:bCs/>
                <w:sz w:val="20"/>
                <w:szCs w:val="20"/>
              </w:rPr>
              <w:t xml:space="preserve">UEFA</w:t>
            </w:r>
          </w:p>
        </w:tc>
        <w:tc>
          <w:tcPr>
            <w:tcW w:type="dxa" w:w="1605"/>
            <w:shd w:fill="F2F7FB" w:color="auto" w:val="clear"/>
            <w:tcMar>
              <w:top w:type="dxa" w:w="70"/>
              <w:left w:type="dxa" w:w="110"/>
              <w:bottom w:type="dxa" w:w="70"/>
              <w:right w:type="dxa" w:w="110"/>
            </w:tcMar>
          </w:tcPr>
          <w:p>
            <w:pPr>
              <w:spacing w:after="0" w:line="252"/>
              <w:jc w:val="right"/>
            </w:pPr>
            <w:r>
              <w:rPr>
                <w:rFonts w:ascii="Calibri" w:cs="Calibri" w:eastAsia="Calibri" w:hAnsi="Calibri"/>
                <w:b/>
                <w:bCs/>
                <w:sz w:val="20"/>
                <w:szCs w:val="20"/>
              </w:rPr>
              <w:t xml:space="preserve">CONMEBOL</w:t>
            </w:r>
          </w:p>
        </w:tc>
        <w:tc>
          <w:tcPr>
            <w:tcW w:type="dxa" w:w="1070"/>
            <w:shd w:fill="F2F7FB" w:color="auto" w:val="clear"/>
            <w:tcMar>
              <w:top w:type="dxa" w:w="70"/>
              <w:left w:type="dxa" w:w="110"/>
              <w:bottom w:type="dxa" w:w="70"/>
              <w:right w:type="dxa" w:w="110"/>
            </w:tcMar>
          </w:tcPr>
          <w:p>
            <w:pPr>
              <w:spacing w:after="0" w:line="252"/>
              <w:jc w:val="right"/>
            </w:pPr>
            <w:r>
              <w:rPr>
                <w:rFonts w:ascii="Calibri" w:cs="Calibri" w:eastAsia="Calibri" w:hAnsi="Calibri"/>
                <w:b/>
                <w:bCs/>
                <w:sz w:val="20"/>
                <w:szCs w:val="20"/>
              </w:rPr>
              <w:t xml:space="preserve">p</w:t>
            </w:r>
          </w:p>
        </w:tc>
        <w:tc>
          <w:tcPr>
            <w:tcW w:type="dxa" w:w="2139"/>
            <w:shd w:fill="F2F7FB" w:color="auto" w:val="clear"/>
            <w:tcMar>
              <w:top w:type="dxa" w:w="70"/>
              <w:left w:type="dxa" w:w="110"/>
              <w:bottom w:type="dxa" w:w="70"/>
              <w:right w:type="dxa" w:w="110"/>
            </w:tcMar>
          </w:tcPr>
          <w:p>
            <w:pPr>
              <w:spacing w:after="0" w:line="252"/>
              <w:jc w:val="right"/>
            </w:pPr>
            <w:r>
              <w:rPr>
                <w:rFonts w:ascii="Calibri" w:cs="Calibri" w:eastAsia="Calibri" w:hAnsi="Calibri"/>
                <w:b/>
                <w:bCs/>
                <w:sz w:val="20"/>
                <w:szCs w:val="20"/>
              </w:rPr>
              <w:t xml:space="preserve"/>
            </w:r>
          </w:p>
        </w:tc>
      </w:tr>
      <w:tr>
        <w:tc>
          <w:tcPr>
            <w:tcW w:type="dxa" w:w="3209"/>
            <w:tcMar>
              <w:top w:type="dxa" w:w="70"/>
              <w:left w:type="dxa" w:w="110"/>
              <w:bottom w:type="dxa" w:w="70"/>
              <w:right w:type="dxa" w:w="110"/>
            </w:tcMar>
          </w:tcPr>
          <w:p>
            <w:pPr>
              <w:spacing w:after="0" w:line="252"/>
            </w:pPr>
            <w:r>
              <w:rPr>
                <w:rFonts w:ascii="Calibri" w:cs="Calibri" w:eastAsia="Calibri" w:hAnsi="Calibri"/>
                <w:b w:val="false"/>
                <w:bCs w:val="false"/>
                <w:sz w:val="20"/>
                <w:szCs w:val="20"/>
              </w:rPr>
              <w:t xml:space="preserve">Crossing</w:t>
            </w:r>
          </w:p>
        </w:tc>
        <w:tc>
          <w:tcPr>
            <w:tcW w:type="dxa" w:w="1337"/>
            <w:tcMar>
              <w:top w:type="dxa" w:w="70"/>
              <w:left w:type="dxa" w:w="110"/>
              <w:bottom w:type="dxa" w:w="70"/>
              <w:right w:type="dxa" w:w="110"/>
            </w:tcMar>
          </w:tcPr>
          <w:p>
            <w:pPr>
              <w:spacing w:after="0" w:line="252"/>
              <w:jc w:val="right"/>
            </w:pPr>
            <w:r>
              <w:rPr>
                <w:rFonts w:ascii="Calibri" w:cs="Calibri" w:eastAsia="Calibri" w:hAnsi="Calibri"/>
                <w:b w:val="false"/>
                <w:bCs w:val="false"/>
                <w:sz w:val="20"/>
                <w:szCs w:val="20"/>
              </w:rPr>
              <w:t xml:space="preserve">22.8%</w:t>
            </w:r>
          </w:p>
        </w:tc>
        <w:tc>
          <w:tcPr>
            <w:tcW w:type="dxa" w:w="1605"/>
            <w:tcMar>
              <w:top w:type="dxa" w:w="70"/>
              <w:left w:type="dxa" w:w="110"/>
              <w:bottom w:type="dxa" w:w="70"/>
              <w:right w:type="dxa" w:w="110"/>
            </w:tcMar>
          </w:tcPr>
          <w:p>
            <w:pPr>
              <w:spacing w:after="0" w:line="252"/>
              <w:jc w:val="right"/>
            </w:pPr>
            <w:r>
              <w:rPr>
                <w:rFonts w:ascii="Calibri" w:cs="Calibri" w:eastAsia="Calibri" w:hAnsi="Calibri"/>
                <w:b w:val="false"/>
                <w:bCs w:val="false"/>
                <w:sz w:val="20"/>
                <w:szCs w:val="20"/>
              </w:rPr>
              <w:t xml:space="preserve">24.4%</w:t>
            </w:r>
          </w:p>
        </w:tc>
        <w:tc>
          <w:tcPr>
            <w:tcW w:type="dxa" w:w="1070"/>
            <w:tcMar>
              <w:top w:type="dxa" w:w="70"/>
              <w:left w:type="dxa" w:w="110"/>
              <w:bottom w:type="dxa" w:w="70"/>
              <w:right w:type="dxa" w:w="110"/>
            </w:tcMar>
          </w:tcPr>
          <w:p>
            <w:pPr>
              <w:spacing w:after="0" w:line="252"/>
              <w:jc w:val="right"/>
            </w:pPr>
            <w:r>
              <w:rPr>
                <w:rFonts w:ascii="Calibri" w:cs="Calibri" w:eastAsia="Calibri" w:hAnsi="Calibri"/>
                <w:b w:val="false"/>
                <w:bCs w:val="false"/>
                <w:sz w:val="20"/>
                <w:szCs w:val="20"/>
              </w:rPr>
              <w:t xml:space="preserve">.633</w:t>
            </w:r>
          </w:p>
        </w:tc>
        <w:tc>
          <w:tcPr>
            <w:tcW w:type="dxa" w:w="2139"/>
            <w:tcMar>
              <w:top w:type="dxa" w:w="70"/>
              <w:left w:type="dxa" w:w="110"/>
              <w:bottom w:type="dxa" w:w="70"/>
              <w:right w:type="dxa" w:w="110"/>
            </w:tcMar>
          </w:tcPr>
          <w:p>
            <w:pPr>
              <w:spacing w:after="0" w:line="252"/>
              <w:jc w:val="right"/>
            </w:pPr>
            <w:r>
              <w:rPr>
                <w:rFonts w:ascii="Calibri" w:cs="Calibri" w:eastAsia="Calibri" w:hAnsi="Calibri"/>
                <w:b w:val="false"/>
                <w:bCs w:val="false"/>
                <w:sz w:val="20"/>
                <w:szCs w:val="20"/>
              </w:rPr>
              <w:t xml:space="preserve">n.s.</w:t>
            </w:r>
          </w:p>
        </w:tc>
      </w:tr>
      <w:tr>
        <w:tc>
          <w:tcPr>
            <w:tcW w:type="dxa" w:w="3209"/>
            <w:tcMar>
              <w:top w:type="dxa" w:w="70"/>
              <w:left w:type="dxa" w:w="110"/>
              <w:bottom w:type="dxa" w:w="70"/>
              <w:right w:type="dxa" w:w="110"/>
            </w:tcMar>
          </w:tcPr>
          <w:p>
            <w:pPr>
              <w:spacing w:after="0" w:line="252"/>
            </w:pPr>
            <w:r>
              <w:rPr>
                <w:rFonts w:ascii="Calibri" w:cs="Calibri" w:eastAsia="Calibri" w:hAnsi="Calibri"/>
                <w:b w:val="false"/>
                <w:bCs w:val="false"/>
                <w:sz w:val="20"/>
                <w:szCs w:val="20"/>
              </w:rPr>
              <w:t xml:space="preserve">Defensive linebreaks</w:t>
            </w:r>
          </w:p>
        </w:tc>
        <w:tc>
          <w:tcPr>
            <w:tcW w:type="dxa" w:w="1337"/>
            <w:tcMar>
              <w:top w:type="dxa" w:w="70"/>
              <w:left w:type="dxa" w:w="110"/>
              <w:bottom w:type="dxa" w:w="70"/>
              <w:right w:type="dxa" w:w="110"/>
            </w:tcMar>
          </w:tcPr>
          <w:p>
            <w:pPr>
              <w:spacing w:after="0" w:line="252"/>
              <w:jc w:val="right"/>
            </w:pPr>
            <w:r>
              <w:rPr>
                <w:rFonts w:ascii="Calibri" w:cs="Calibri" w:eastAsia="Calibri" w:hAnsi="Calibri"/>
                <w:b w:val="false"/>
                <w:bCs w:val="false"/>
                <w:sz w:val="20"/>
                <w:szCs w:val="20"/>
              </w:rPr>
              <w:t xml:space="preserve">55.9%</w:t>
            </w:r>
          </w:p>
        </w:tc>
        <w:tc>
          <w:tcPr>
            <w:tcW w:type="dxa" w:w="1605"/>
            <w:tcMar>
              <w:top w:type="dxa" w:w="70"/>
              <w:left w:type="dxa" w:w="110"/>
              <w:bottom w:type="dxa" w:w="70"/>
              <w:right w:type="dxa" w:w="110"/>
            </w:tcMar>
          </w:tcPr>
          <w:p>
            <w:pPr>
              <w:spacing w:after="0" w:line="252"/>
              <w:jc w:val="right"/>
            </w:pPr>
            <w:r>
              <w:rPr>
                <w:rFonts w:ascii="Calibri" w:cs="Calibri" w:eastAsia="Calibri" w:hAnsi="Calibri"/>
                <w:b w:val="false"/>
                <w:bCs w:val="false"/>
                <w:sz w:val="20"/>
                <w:szCs w:val="20"/>
              </w:rPr>
              <w:t xml:space="preserve">48.7%</w:t>
            </w:r>
          </w:p>
        </w:tc>
        <w:tc>
          <w:tcPr>
            <w:tcW w:type="dxa" w:w="1070"/>
            <w:tcMar>
              <w:top w:type="dxa" w:w="70"/>
              <w:left w:type="dxa" w:w="110"/>
              <w:bottom w:type="dxa" w:w="70"/>
              <w:right w:type="dxa" w:w="110"/>
            </w:tcMar>
          </w:tcPr>
          <w:p>
            <w:pPr>
              <w:spacing w:after="0" w:line="252"/>
              <w:jc w:val="right"/>
            </w:pPr>
            <w:r>
              <w:rPr>
                <w:rFonts w:ascii="Calibri" w:cs="Calibri" w:eastAsia="Calibri" w:hAnsi="Calibri"/>
                <w:b w:val="false"/>
                <w:bCs w:val="false"/>
                <w:sz w:val="20"/>
                <w:szCs w:val="20"/>
              </w:rPr>
              <w:t xml:space="preserve">.049</w:t>
            </w:r>
          </w:p>
        </w:tc>
        <w:tc>
          <w:tcPr>
            <w:tcW w:type="dxa" w:w="2139"/>
            <w:tcMar>
              <w:top w:type="dxa" w:w="70"/>
              <w:left w:type="dxa" w:w="110"/>
              <w:bottom w:type="dxa" w:w="70"/>
              <w:right w:type="dxa" w:w="110"/>
            </w:tcMar>
          </w:tcPr>
          <w:p>
            <w:pPr>
              <w:spacing w:after="0" w:line="252"/>
              <w:jc w:val="right"/>
            </w:pPr>
            <w:r>
              <w:rPr>
                <w:rFonts w:ascii="Calibri" w:cs="Calibri" w:eastAsia="Calibri" w:hAnsi="Calibri"/>
                <w:b w:val="false"/>
                <w:bCs w:val="false"/>
                <w:sz w:val="20"/>
                <w:szCs w:val="20"/>
              </w:rPr>
              <w:t xml:space="preserve">UEFA higher</w:t>
            </w:r>
          </w:p>
        </w:tc>
      </w:tr>
      <w:tr>
        <w:tc>
          <w:tcPr>
            <w:tcW w:type="dxa" w:w="3209"/>
            <w:tcMar>
              <w:top w:type="dxa" w:w="70"/>
              <w:left w:type="dxa" w:w="110"/>
              <w:bottom w:type="dxa" w:w="70"/>
              <w:right w:type="dxa" w:w="110"/>
            </w:tcMar>
          </w:tcPr>
          <w:p>
            <w:pPr>
              <w:spacing w:after="0" w:line="252"/>
            </w:pPr>
            <w:r>
              <w:rPr>
                <w:rFonts w:ascii="Calibri" w:cs="Calibri" w:eastAsia="Calibri" w:hAnsi="Calibri"/>
                <w:b w:val="false"/>
                <w:bCs w:val="false"/>
                <w:sz w:val="20"/>
                <w:szCs w:val="20"/>
              </w:rPr>
              <w:t xml:space="preserve">Switches of play</w:t>
            </w:r>
          </w:p>
        </w:tc>
        <w:tc>
          <w:tcPr>
            <w:tcW w:type="dxa" w:w="1337"/>
            <w:tcMar>
              <w:top w:type="dxa" w:w="70"/>
              <w:left w:type="dxa" w:w="110"/>
              <w:bottom w:type="dxa" w:w="70"/>
              <w:right w:type="dxa" w:w="110"/>
            </w:tcMar>
          </w:tcPr>
          <w:p>
            <w:pPr>
              <w:spacing w:after="0" w:line="252"/>
              <w:jc w:val="right"/>
            </w:pPr>
            <w:r>
              <w:rPr>
                <w:rFonts w:ascii="Calibri" w:cs="Calibri" w:eastAsia="Calibri" w:hAnsi="Calibri"/>
                <w:b w:val="false"/>
                <w:bCs w:val="false"/>
                <w:sz w:val="20"/>
                <w:szCs w:val="20"/>
              </w:rPr>
              <w:t xml:space="preserve">82.5%</w:t>
            </w:r>
          </w:p>
        </w:tc>
        <w:tc>
          <w:tcPr>
            <w:tcW w:type="dxa" w:w="1605"/>
            <w:tcMar>
              <w:top w:type="dxa" w:w="70"/>
              <w:left w:type="dxa" w:w="110"/>
              <w:bottom w:type="dxa" w:w="70"/>
              <w:right w:type="dxa" w:w="110"/>
            </w:tcMar>
          </w:tcPr>
          <w:p>
            <w:pPr>
              <w:spacing w:after="0" w:line="252"/>
              <w:jc w:val="right"/>
            </w:pPr>
            <w:r>
              <w:rPr>
                <w:rFonts w:ascii="Calibri" w:cs="Calibri" w:eastAsia="Calibri" w:hAnsi="Calibri"/>
                <w:b w:val="false"/>
                <w:bCs w:val="false"/>
                <w:sz w:val="20"/>
                <w:szCs w:val="20"/>
              </w:rPr>
              <w:t xml:space="preserve">93.9%</w:t>
            </w:r>
          </w:p>
        </w:tc>
        <w:tc>
          <w:tcPr>
            <w:tcW w:type="dxa" w:w="1070"/>
            <w:tcMar>
              <w:top w:type="dxa" w:w="70"/>
              <w:left w:type="dxa" w:w="110"/>
              <w:bottom w:type="dxa" w:w="70"/>
              <w:right w:type="dxa" w:w="110"/>
            </w:tcMar>
          </w:tcPr>
          <w:p>
            <w:pPr>
              <w:spacing w:after="0" w:line="252"/>
              <w:jc w:val="right"/>
            </w:pPr>
            <w:r>
              <w:rPr>
                <w:rFonts w:ascii="Calibri" w:cs="Calibri" w:eastAsia="Calibri" w:hAnsi="Calibri"/>
                <w:b w:val="false"/>
                <w:bCs w:val="false"/>
                <w:sz w:val="20"/>
                <w:szCs w:val="20"/>
              </w:rPr>
              <w:t xml:space="preserve">.006</w:t>
            </w:r>
          </w:p>
        </w:tc>
        <w:tc>
          <w:tcPr>
            <w:tcW w:type="dxa" w:w="2139"/>
            <w:tcMar>
              <w:top w:type="dxa" w:w="70"/>
              <w:left w:type="dxa" w:w="110"/>
              <w:bottom w:type="dxa" w:w="70"/>
              <w:right w:type="dxa" w:w="110"/>
            </w:tcMar>
          </w:tcPr>
          <w:p>
            <w:pPr>
              <w:spacing w:after="0" w:line="252"/>
              <w:jc w:val="right"/>
            </w:pPr>
            <w:r>
              <w:rPr>
                <w:rFonts w:ascii="Calibri" w:cs="Calibri" w:eastAsia="Calibri" w:hAnsi="Calibri"/>
                <w:b w:val="false"/>
                <w:bCs w:val="false"/>
                <w:sz w:val="20"/>
                <w:szCs w:val="20"/>
              </w:rPr>
              <w:t xml:space="preserve">CONMEBOL higher</w:t>
            </w:r>
          </w:p>
        </w:tc>
      </w:tr>
    </w:tbl>
    <w:p>
      <w:pPr>
        <w:spacing w:after="220" w:before="60"/>
      </w:pPr>
      <w:r>
        <w:rPr>
          <w:rFonts w:ascii="Calibri" w:cs="Calibri" w:eastAsia="Calibri" w:hAnsi="Calibri"/>
          <w:i/>
          <w:iCs/>
          <w:color w:val="52514E"/>
          <w:sz w:val="18"/>
          <w:szCs w:val="18"/>
        </w:rPr>
        <w:t xml:space="preserve">Method: each figure is the mean of individual players’ accuracy percentages for that pass type, compared with Welch’s two-sample t-test (Welch, 1947). A minimum-attempt floor applies for the same reason as in Step 3 — five attempts for crossing and linebreaks, three for switches — because switch volume is far lower. Full statistics: crossing t(58.58) = −0.48; linebreaks t(82.27) = 2.00; switches t(67.35) = −2.81.</w:t>
      </w:r>
    </w:p>
    <w:p>
      <w:pPr>
        <w:pStyle w:val="Heading3"/>
        <w:spacing w:after="100" w:before="180"/>
      </w:pPr>
      <w:r>
        <w:rPr>
          <w:rFonts w:ascii="Calibri" w:cs="Calibri" w:eastAsia="Calibri" w:hAnsi="Calibri"/>
          <w:b/>
          <w:bCs/>
          <w:color w:val="000000"/>
          <w:sz w:val="22"/>
          <w:szCs w:val="22"/>
        </w:rPr>
        <w:t xml:space="preserve">8.3  But they attempt the same mixture</w:t>
      </w:r>
    </w:p>
    <w:p>
      <w:pPr>
        <w:spacing w:after="120" w:line="276"/>
      </w:pPr>
      <w:r>
        <w:rPr>
          <w:rFonts w:ascii="Calibri" w:cs="Calibri" w:eastAsia="Calibri" w:hAnsi="Calibri"/>
          <w:sz w:val="22"/>
          <w:szCs w:val="22"/>
        </w:rPr>
        <w:t xml:space="preserve">The obvious follow-up is whether the two confederations choose different kinds of pass. Measured per hundred passes attempted, they do not:</w:t>
      </w:r>
    </w:p>
    <w:tbl>
      <w:tblPr>
        <w:tblW w:type="dxa" w:w="9360"/>
        <w:tblBorders>
          <w:top w:val="single" w:color="C3C2B7" w:sz="4"/>
          <w:left w:val="none"/>
          <w:bottom w:val="single" w:color="C3C2B7" w:sz="4"/>
          <w:right w:val="none"/>
          <w:insideH w:val="single" w:color="E1E0D9" w:sz="2"/>
          <w:insideV w:val="none"/>
        </w:tblBorders>
      </w:tblPr>
      <w:tblGrid>
        <w:gridCol w:w="4346"/>
        <w:gridCol w:w="1671"/>
        <w:gridCol w:w="2006"/>
        <w:gridCol w:w="1337"/>
      </w:tblGrid>
      <w:tr>
        <w:trPr>
          <w:tblHeader/>
        </w:trPr>
        <w:tc>
          <w:tcPr>
            <w:tcW w:type="dxa" w:w="4346"/>
            <w:shd w:fill="F2F7FB" w:color="auto" w:val="clear"/>
            <w:tcMar>
              <w:top w:type="dxa" w:w="70"/>
              <w:left w:type="dxa" w:w="110"/>
              <w:bottom w:type="dxa" w:w="70"/>
              <w:right w:type="dxa" w:w="110"/>
            </w:tcMar>
          </w:tcPr>
          <w:p>
            <w:pPr>
              <w:spacing w:after="0" w:line="252"/>
            </w:pPr>
            <w:r>
              <w:rPr>
                <w:rFonts w:ascii="Calibri" w:cs="Calibri" w:eastAsia="Calibri" w:hAnsi="Calibri"/>
                <w:b/>
                <w:bCs/>
                <w:sz w:val="20"/>
                <w:szCs w:val="20"/>
              </w:rPr>
              <w:t xml:space="preserve">Attempts per 100 passes</w:t>
            </w:r>
          </w:p>
        </w:tc>
        <w:tc>
          <w:tcPr>
            <w:tcW w:type="dxa" w:w="1671"/>
            <w:shd w:fill="F2F7FB" w:color="auto" w:val="clear"/>
            <w:tcMar>
              <w:top w:type="dxa" w:w="70"/>
              <w:left w:type="dxa" w:w="110"/>
              <w:bottom w:type="dxa" w:w="70"/>
              <w:right w:type="dxa" w:w="110"/>
            </w:tcMar>
          </w:tcPr>
          <w:p>
            <w:pPr>
              <w:spacing w:after="0" w:line="252"/>
              <w:jc w:val="right"/>
            </w:pPr>
            <w:r>
              <w:rPr>
                <w:rFonts w:ascii="Calibri" w:cs="Calibri" w:eastAsia="Calibri" w:hAnsi="Calibri"/>
                <w:b/>
                <w:bCs/>
                <w:sz w:val="20"/>
                <w:szCs w:val="20"/>
              </w:rPr>
              <w:t xml:space="preserve">UEFA</w:t>
            </w:r>
          </w:p>
        </w:tc>
        <w:tc>
          <w:tcPr>
            <w:tcW w:type="dxa" w:w="2006"/>
            <w:shd w:fill="F2F7FB" w:color="auto" w:val="clear"/>
            <w:tcMar>
              <w:top w:type="dxa" w:w="70"/>
              <w:left w:type="dxa" w:w="110"/>
              <w:bottom w:type="dxa" w:w="70"/>
              <w:right w:type="dxa" w:w="110"/>
            </w:tcMar>
          </w:tcPr>
          <w:p>
            <w:pPr>
              <w:spacing w:after="0" w:line="252"/>
              <w:jc w:val="right"/>
            </w:pPr>
            <w:r>
              <w:rPr>
                <w:rFonts w:ascii="Calibri" w:cs="Calibri" w:eastAsia="Calibri" w:hAnsi="Calibri"/>
                <w:b/>
                <w:bCs/>
                <w:sz w:val="20"/>
                <w:szCs w:val="20"/>
              </w:rPr>
              <w:t xml:space="preserve">CONMEBOL</w:t>
            </w:r>
          </w:p>
        </w:tc>
        <w:tc>
          <w:tcPr>
            <w:tcW w:type="dxa" w:w="1337"/>
            <w:shd w:fill="F2F7FB" w:color="auto" w:val="clear"/>
            <w:tcMar>
              <w:top w:type="dxa" w:w="70"/>
              <w:left w:type="dxa" w:w="110"/>
              <w:bottom w:type="dxa" w:w="70"/>
              <w:right w:type="dxa" w:w="110"/>
            </w:tcMar>
          </w:tcPr>
          <w:p>
            <w:pPr>
              <w:spacing w:after="0" w:line="252"/>
              <w:jc w:val="right"/>
            </w:pPr>
            <w:r>
              <w:rPr>
                <w:rFonts w:ascii="Calibri" w:cs="Calibri" w:eastAsia="Calibri" w:hAnsi="Calibri"/>
                <w:b/>
                <w:bCs/>
                <w:sz w:val="20"/>
                <w:szCs w:val="20"/>
              </w:rPr>
              <w:t xml:space="preserve">p</w:t>
            </w:r>
          </w:p>
        </w:tc>
      </w:tr>
      <w:tr>
        <w:tc>
          <w:tcPr>
            <w:tcW w:type="dxa" w:w="4346"/>
            <w:tcMar>
              <w:top w:type="dxa" w:w="70"/>
              <w:left w:type="dxa" w:w="110"/>
              <w:bottom w:type="dxa" w:w="70"/>
              <w:right w:type="dxa" w:w="110"/>
            </w:tcMar>
          </w:tcPr>
          <w:p>
            <w:pPr>
              <w:spacing w:after="0" w:line="252"/>
            </w:pPr>
            <w:r>
              <w:rPr>
                <w:rFonts w:ascii="Calibri" w:cs="Calibri" w:eastAsia="Calibri" w:hAnsi="Calibri"/>
                <w:b w:val="false"/>
                <w:bCs w:val="false"/>
                <w:sz w:val="20"/>
                <w:szCs w:val="20"/>
              </w:rPr>
              <w:t xml:space="preserve">Crosses</w:t>
            </w:r>
          </w:p>
        </w:tc>
        <w:tc>
          <w:tcPr>
            <w:tcW w:type="dxa" w:w="1671"/>
            <w:tcMar>
              <w:top w:type="dxa" w:w="70"/>
              <w:left w:type="dxa" w:w="110"/>
              <w:bottom w:type="dxa" w:w="70"/>
              <w:right w:type="dxa" w:w="110"/>
            </w:tcMar>
          </w:tcPr>
          <w:p>
            <w:pPr>
              <w:spacing w:after="0" w:line="252"/>
              <w:jc w:val="right"/>
            </w:pPr>
            <w:r>
              <w:rPr>
                <w:rFonts w:ascii="Calibri" w:cs="Calibri" w:eastAsia="Calibri" w:hAnsi="Calibri"/>
                <w:b w:val="false"/>
                <w:bCs w:val="false"/>
                <w:sz w:val="20"/>
                <w:szCs w:val="20"/>
              </w:rPr>
              <w:t xml:space="preserve">4.68</w:t>
            </w:r>
          </w:p>
        </w:tc>
        <w:tc>
          <w:tcPr>
            <w:tcW w:type="dxa" w:w="2006"/>
            <w:tcMar>
              <w:top w:type="dxa" w:w="70"/>
              <w:left w:type="dxa" w:w="110"/>
              <w:bottom w:type="dxa" w:w="70"/>
              <w:right w:type="dxa" w:w="110"/>
            </w:tcMar>
          </w:tcPr>
          <w:p>
            <w:pPr>
              <w:spacing w:after="0" w:line="252"/>
              <w:jc w:val="right"/>
            </w:pPr>
            <w:r>
              <w:rPr>
                <w:rFonts w:ascii="Calibri" w:cs="Calibri" w:eastAsia="Calibri" w:hAnsi="Calibri"/>
                <w:b w:val="false"/>
                <w:bCs w:val="false"/>
                <w:sz w:val="20"/>
                <w:szCs w:val="20"/>
              </w:rPr>
              <w:t xml:space="preserve">5.05</w:t>
            </w:r>
          </w:p>
        </w:tc>
        <w:tc>
          <w:tcPr>
            <w:tcW w:type="dxa" w:w="1337"/>
            <w:tcMar>
              <w:top w:type="dxa" w:w="70"/>
              <w:left w:type="dxa" w:w="110"/>
              <w:bottom w:type="dxa" w:w="70"/>
              <w:right w:type="dxa" w:w="110"/>
            </w:tcMar>
          </w:tcPr>
          <w:p>
            <w:pPr>
              <w:spacing w:after="0" w:line="252"/>
              <w:jc w:val="right"/>
            </w:pPr>
            <w:r>
              <w:rPr>
                <w:rFonts w:ascii="Calibri" w:cs="Calibri" w:eastAsia="Calibri" w:hAnsi="Calibri"/>
                <w:b w:val="false"/>
                <w:bCs w:val="false"/>
                <w:sz w:val="20"/>
                <w:szCs w:val="20"/>
              </w:rPr>
              <w:t xml:space="preserve">.652</w:t>
            </w:r>
          </w:p>
        </w:tc>
      </w:tr>
      <w:tr>
        <w:tc>
          <w:tcPr>
            <w:tcW w:type="dxa" w:w="4346"/>
            <w:tcMar>
              <w:top w:type="dxa" w:w="70"/>
              <w:left w:type="dxa" w:w="110"/>
              <w:bottom w:type="dxa" w:w="70"/>
              <w:right w:type="dxa" w:w="110"/>
            </w:tcMar>
          </w:tcPr>
          <w:p>
            <w:pPr>
              <w:spacing w:after="0" w:line="252"/>
            </w:pPr>
            <w:r>
              <w:rPr>
                <w:rFonts w:ascii="Calibri" w:cs="Calibri" w:eastAsia="Calibri" w:hAnsi="Calibri"/>
                <w:b w:val="false"/>
                <w:bCs w:val="false"/>
                <w:sz w:val="20"/>
                <w:szCs w:val="20"/>
              </w:rPr>
              <w:t xml:space="preserve">Defensive linebreaks</w:t>
            </w:r>
          </w:p>
        </w:tc>
        <w:tc>
          <w:tcPr>
            <w:tcW w:type="dxa" w:w="1671"/>
            <w:tcMar>
              <w:top w:type="dxa" w:w="70"/>
              <w:left w:type="dxa" w:w="110"/>
              <w:bottom w:type="dxa" w:w="70"/>
              <w:right w:type="dxa" w:w="110"/>
            </w:tcMar>
          </w:tcPr>
          <w:p>
            <w:pPr>
              <w:spacing w:after="0" w:line="252"/>
              <w:jc w:val="right"/>
            </w:pPr>
            <w:r>
              <w:rPr>
                <w:rFonts w:ascii="Calibri" w:cs="Calibri" w:eastAsia="Calibri" w:hAnsi="Calibri"/>
                <w:b w:val="false"/>
                <w:bCs w:val="false"/>
                <w:sz w:val="20"/>
                <w:szCs w:val="20"/>
              </w:rPr>
              <w:t xml:space="preserve">4.90</w:t>
            </w:r>
          </w:p>
        </w:tc>
        <w:tc>
          <w:tcPr>
            <w:tcW w:type="dxa" w:w="2006"/>
            <w:tcMar>
              <w:top w:type="dxa" w:w="70"/>
              <w:left w:type="dxa" w:w="110"/>
              <w:bottom w:type="dxa" w:w="70"/>
              <w:right w:type="dxa" w:w="110"/>
            </w:tcMar>
          </w:tcPr>
          <w:p>
            <w:pPr>
              <w:spacing w:after="0" w:line="252"/>
              <w:jc w:val="right"/>
            </w:pPr>
            <w:r>
              <w:rPr>
                <w:rFonts w:ascii="Calibri" w:cs="Calibri" w:eastAsia="Calibri" w:hAnsi="Calibri"/>
                <w:b w:val="false"/>
                <w:bCs w:val="false"/>
                <w:sz w:val="20"/>
                <w:szCs w:val="20"/>
              </w:rPr>
              <w:t xml:space="preserve">5.01</w:t>
            </w:r>
          </w:p>
        </w:tc>
        <w:tc>
          <w:tcPr>
            <w:tcW w:type="dxa" w:w="1337"/>
            <w:tcMar>
              <w:top w:type="dxa" w:w="70"/>
              <w:left w:type="dxa" w:w="110"/>
              <w:bottom w:type="dxa" w:w="70"/>
              <w:right w:type="dxa" w:w="110"/>
            </w:tcMar>
          </w:tcPr>
          <w:p>
            <w:pPr>
              <w:spacing w:after="0" w:line="252"/>
              <w:jc w:val="right"/>
            </w:pPr>
            <w:r>
              <w:rPr>
                <w:rFonts w:ascii="Calibri" w:cs="Calibri" w:eastAsia="Calibri" w:hAnsi="Calibri"/>
                <w:b w:val="false"/>
                <w:bCs w:val="false"/>
                <w:sz w:val="20"/>
                <w:szCs w:val="20"/>
              </w:rPr>
              <w:t xml:space="preserve">.838</w:t>
            </w:r>
          </w:p>
        </w:tc>
      </w:tr>
      <w:tr>
        <w:tc>
          <w:tcPr>
            <w:tcW w:type="dxa" w:w="4346"/>
            <w:tcMar>
              <w:top w:type="dxa" w:w="70"/>
              <w:left w:type="dxa" w:w="110"/>
              <w:bottom w:type="dxa" w:w="70"/>
              <w:right w:type="dxa" w:w="110"/>
            </w:tcMar>
          </w:tcPr>
          <w:p>
            <w:pPr>
              <w:spacing w:after="0" w:line="252"/>
            </w:pPr>
            <w:r>
              <w:rPr>
                <w:rFonts w:ascii="Calibri" w:cs="Calibri" w:eastAsia="Calibri" w:hAnsi="Calibri"/>
                <w:b w:val="false"/>
                <w:bCs w:val="false"/>
                <w:sz w:val="20"/>
                <w:szCs w:val="20"/>
              </w:rPr>
              <w:t xml:space="preserve">Switches of play</w:t>
            </w:r>
          </w:p>
        </w:tc>
        <w:tc>
          <w:tcPr>
            <w:tcW w:type="dxa" w:w="1671"/>
            <w:tcMar>
              <w:top w:type="dxa" w:w="70"/>
              <w:left w:type="dxa" w:w="110"/>
              <w:bottom w:type="dxa" w:w="70"/>
              <w:right w:type="dxa" w:w="110"/>
            </w:tcMar>
          </w:tcPr>
          <w:p>
            <w:pPr>
              <w:spacing w:after="0" w:line="252"/>
              <w:jc w:val="right"/>
            </w:pPr>
            <w:r>
              <w:rPr>
                <w:rFonts w:ascii="Calibri" w:cs="Calibri" w:eastAsia="Calibri" w:hAnsi="Calibri"/>
                <w:b w:val="false"/>
                <w:bCs w:val="false"/>
                <w:sz w:val="20"/>
                <w:szCs w:val="20"/>
              </w:rPr>
              <w:t xml:space="preserve">0.93</w:t>
            </w:r>
          </w:p>
        </w:tc>
        <w:tc>
          <w:tcPr>
            <w:tcW w:type="dxa" w:w="2006"/>
            <w:tcMar>
              <w:top w:type="dxa" w:w="70"/>
              <w:left w:type="dxa" w:w="110"/>
              <w:bottom w:type="dxa" w:w="70"/>
              <w:right w:type="dxa" w:w="110"/>
            </w:tcMar>
          </w:tcPr>
          <w:p>
            <w:pPr>
              <w:spacing w:after="0" w:line="252"/>
              <w:jc w:val="right"/>
            </w:pPr>
            <w:r>
              <w:rPr>
                <w:rFonts w:ascii="Calibri" w:cs="Calibri" w:eastAsia="Calibri" w:hAnsi="Calibri"/>
                <w:b w:val="false"/>
                <w:bCs w:val="false"/>
                <w:sz w:val="20"/>
                <w:szCs w:val="20"/>
              </w:rPr>
              <w:t xml:space="preserve">1.05</w:t>
            </w:r>
          </w:p>
        </w:tc>
        <w:tc>
          <w:tcPr>
            <w:tcW w:type="dxa" w:w="1337"/>
            <w:tcMar>
              <w:top w:type="dxa" w:w="70"/>
              <w:left w:type="dxa" w:w="110"/>
              <w:bottom w:type="dxa" w:w="70"/>
              <w:right w:type="dxa" w:w="110"/>
            </w:tcMar>
          </w:tcPr>
          <w:p>
            <w:pPr>
              <w:spacing w:after="0" w:line="252"/>
              <w:jc w:val="right"/>
            </w:pPr>
            <w:r>
              <w:rPr>
                <w:rFonts w:ascii="Calibri" w:cs="Calibri" w:eastAsia="Calibri" w:hAnsi="Calibri"/>
                <w:b w:val="false"/>
                <w:bCs w:val="false"/>
                <w:sz w:val="20"/>
                <w:szCs w:val="20"/>
              </w:rPr>
              <w:t xml:space="preserve">.516</w:t>
            </w:r>
          </w:p>
        </w:tc>
      </w:tr>
    </w:tbl>
    <w:p>
      <w:pPr>
        <w:spacing w:after="220" w:before="60"/>
      </w:pPr>
      <w:r>
        <w:rPr>
          <w:rFonts w:ascii="Calibri" w:cs="Calibri" w:eastAsia="Calibri" w:hAnsi="Calibri"/>
          <w:i/>
          <w:iCs/>
          <w:color w:val="52514E"/>
          <w:sz w:val="18"/>
          <w:szCs w:val="18"/>
        </w:rPr>
        <w:t xml:space="preserve">Method: attempts of each type divided by that player’s total attempted passes, × 100, then compared across confederations with Welch’s two-sample t-test on all 383 players.</w:t>
      </w:r>
    </w:p>
    <w:p>
      <w:pPr>
        <w:spacing w:after="120" w:line="276"/>
      </w:pPr>
      <w:r>
        <w:rPr>
          <w:rFonts w:ascii="Calibri" w:cs="Calibri" w:eastAsia="Calibri" w:hAnsi="Calibri"/>
          <w:sz w:val="22"/>
          <w:szCs w:val="22"/>
        </w:rPr>
        <w:t xml:space="preserve">This null result sharpens the interpretation rather than weakening it. Had the volumes differed, the finding would have been that the two groups play differently — that they choose different passes. Because the volumes are statistically indistinguishable and only the success rates differ, the aggregate comparison is genuinely like-for-like, and the cancellation arises purely from opposing competences. What differs is not what European and South American players choose to do with the ball, but which of those actions they complete.</w:t>
      </w:r>
    </w:p>
    <w:p>
      <w:pPr>
        <w:pStyle w:val="Heading3"/>
        <w:spacing w:after="100" w:before="180"/>
      </w:pPr>
      <w:r>
        <w:rPr>
          <w:rFonts w:ascii="Calibri" w:cs="Calibri" w:eastAsia="Calibri" w:hAnsi="Calibri"/>
          <w:b/>
          <w:bCs/>
          <w:color w:val="000000"/>
          <w:sz w:val="22"/>
          <w:szCs w:val="22"/>
        </w:rPr>
        <w:t xml:space="preserve">8.4  Position is not a confound</w:t>
      </w:r>
    </w:p>
    <w:p>
      <w:pPr>
        <w:spacing w:after="120" w:line="276"/>
      </w:pPr>
      <w:r>
        <w:rPr>
          <w:rFonts w:ascii="Calibri" w:cs="Calibri" w:eastAsia="Calibri" w:hAnsi="Calibri"/>
          <w:sz w:val="22"/>
          <w:szCs w:val="22"/>
        </w:rPr>
        <w:t xml:space="preserve">Pass completion varies enormously by position — defenders average 87.65 per cent, midfielders 86.76, forwards 80.58 and goalkeepers 72.47, giving F(3, 379) = 41.50, p &lt; .001, an effect far stronger than anything found between confederations. Position could therefore have driven the comparison. A chi-square test of independence between confederation and position returns χ² = 0.26, p = .968: the two groups’ positional compositions are statistically indistinguishable, so the null result is not a positional artefact. The check is reported precisely because it came back negative.</w:t>
      </w:r>
    </w:p>
    <w:p>
      <w:pPr>
        <w:pStyle w:val="Heading3"/>
        <w:spacing w:after="100" w:before="180"/>
      </w:pPr>
      <w:r>
        <w:rPr>
          <w:rFonts w:ascii="Calibri" w:cs="Calibri" w:eastAsia="Calibri" w:hAnsi="Calibri"/>
          <w:b/>
          <w:bCs/>
          <w:color w:val="000000"/>
          <w:sz w:val="22"/>
          <w:szCs w:val="22"/>
        </w:rPr>
        <w:t xml:space="preserve">Limitations of this section</w:t>
      </w:r>
    </w:p>
    <w:p>
      <w:pPr>
        <w:spacing w:after="120" w:line="276"/>
      </w:pPr>
      <w:r>
        <w:rPr>
          <w:rFonts w:ascii="Calibri" w:cs="Calibri" w:eastAsia="Calibri" w:hAnsi="Calibri"/>
          <w:sz w:val="22"/>
          <w:szCs w:val="22"/>
        </w:rPr>
        <w:t xml:space="preserve">The linebreak result sits on the α = .05 boundary and should be read as suggestive rather than established. Three tests were conducted; under a Bonferroni correction (Dunn, 1961) at α = .017, only the switches result survives. Switch-of-play volume is small at 563 attempts across seventy qualifying players, so that estimate is correspondingly noisy.</w:t>
      </w:r>
    </w:p>
    <w:p>
      <w:pPr>
        <w:pStyle w:val="Heading1"/>
        <w:spacing w:after="160" w:before="340"/>
      </w:pPr>
      <w:r>
        <w:rPr>
          <w:rFonts w:ascii="Calibri" w:cs="Calibri" w:eastAsia="Calibri" w:hAnsi="Calibri"/>
          <w:b/>
          <w:bCs/>
          <w:color w:val="1F4E5F"/>
          <w:sz w:val="30"/>
          <w:szCs w:val="30"/>
        </w:rPr>
        <w:t xml:space="preserve">Answering the theme</w:t>
      </w:r>
    </w:p>
    <w:p>
      <w:pPr>
        <w:spacing w:after="120" w:line="276"/>
      </w:pPr>
      <w:r>
        <w:rPr>
          <w:rFonts w:ascii="Calibri" w:cs="Calibri" w:eastAsia="Calibri" w:hAnsi="Calibri"/>
          <w:sz w:val="22"/>
          <w:szCs w:val="22"/>
        </w:rPr>
        <w:t xml:space="preserve">At player level Argentina and Spain are statistically indistinguishable on pass completion: t(39.64) = 0.18, p = .860. On the raw figures Spain were marginally the better passing side — 90.40 per cent against 89.53, more effective line-breaking at 65.4 against 56.9, and substantially greater volume. By this process measure the losing finalists controlled the ball better.</w:t>
      </w:r>
    </w:p>
    <w:p>
      <w:pPr>
        <w:spacing w:after="120" w:line="276"/>
      </w:pPr>
      <w:r>
        <w:rPr>
          <w:rFonts w:ascii="Calibri" w:cs="Calibri" w:eastAsia="Calibri" w:hAnsi="Calibri"/>
          <w:sz w:val="22"/>
          <w:szCs w:val="22"/>
        </w:rPr>
        <w:t xml:space="preserve">The variable on which the comparison reverses is crossing, and there the difference is significant.</w:t>
      </w:r>
    </w:p>
    <w:tbl>
      <w:tblPr>
        <w:tblW w:type="dxa" w:w="9360"/>
        <w:tblBorders>
          <w:top w:val="single" w:color="C3C2B7" w:sz="4"/>
          <w:left w:val="none"/>
          <w:bottom w:val="single" w:color="C3C2B7" w:sz="4"/>
          <w:right w:val="none"/>
          <w:insideH w:val="single" w:color="E1E0D9" w:sz="2"/>
          <w:insideV w:val="none"/>
        </w:tblBorders>
      </w:tblPr>
      <w:tblGrid>
        <w:gridCol w:w="3228"/>
        <w:gridCol w:w="2582"/>
        <w:gridCol w:w="1937"/>
        <w:gridCol w:w="1614"/>
      </w:tblGrid>
      <w:tr>
        <w:trPr>
          <w:tblHeader/>
        </w:trPr>
        <w:tc>
          <w:tcPr>
            <w:tcW w:type="dxa" w:w="3228"/>
            <w:shd w:fill="F2F7FB" w:color="auto" w:val="clear"/>
            <w:tcMar>
              <w:top w:type="dxa" w:w="70"/>
              <w:left w:type="dxa" w:w="110"/>
              <w:bottom w:type="dxa" w:w="70"/>
              <w:right w:type="dxa" w:w="110"/>
            </w:tcMar>
          </w:tcPr>
          <w:p>
            <w:pPr>
              <w:spacing w:after="0" w:line="252"/>
            </w:pPr>
            <w:r>
              <w:rPr>
                <w:rFonts w:ascii="Calibri" w:cs="Calibri" w:eastAsia="Calibri" w:hAnsi="Calibri"/>
                <w:b/>
                <w:bCs/>
                <w:sz w:val="20"/>
                <w:szCs w:val="20"/>
              </w:rPr>
              <w:t xml:space="preserve"/>
            </w:r>
          </w:p>
        </w:tc>
        <w:tc>
          <w:tcPr>
            <w:tcW w:type="dxa" w:w="2582"/>
            <w:shd w:fill="F2F7FB" w:color="auto" w:val="clear"/>
            <w:tcMar>
              <w:top w:type="dxa" w:w="70"/>
              <w:left w:type="dxa" w:w="110"/>
              <w:bottom w:type="dxa" w:w="70"/>
              <w:right w:type="dxa" w:w="110"/>
            </w:tcMar>
          </w:tcPr>
          <w:p>
            <w:pPr>
              <w:spacing w:after="0" w:line="252"/>
              <w:jc w:val="right"/>
            </w:pPr>
            <w:r>
              <w:rPr>
                <w:rFonts w:ascii="Calibri" w:cs="Calibri" w:eastAsia="Calibri" w:hAnsi="Calibri"/>
                <w:b/>
                <w:bCs/>
                <w:sz w:val="20"/>
                <w:szCs w:val="20"/>
              </w:rPr>
              <w:t xml:space="preserve">Crosses attempted</w:t>
            </w:r>
          </w:p>
        </w:tc>
        <w:tc>
          <w:tcPr>
            <w:tcW w:type="dxa" w:w="1937"/>
            <w:shd w:fill="F2F7FB" w:color="auto" w:val="clear"/>
            <w:tcMar>
              <w:top w:type="dxa" w:w="70"/>
              <w:left w:type="dxa" w:w="110"/>
              <w:bottom w:type="dxa" w:w="70"/>
              <w:right w:type="dxa" w:w="110"/>
            </w:tcMar>
          </w:tcPr>
          <w:p>
            <w:pPr>
              <w:spacing w:after="0" w:line="252"/>
              <w:jc w:val="right"/>
            </w:pPr>
            <w:r>
              <w:rPr>
                <w:rFonts w:ascii="Calibri" w:cs="Calibri" w:eastAsia="Calibri" w:hAnsi="Calibri"/>
                <w:b/>
                <w:bCs/>
                <w:sz w:val="20"/>
                <w:szCs w:val="20"/>
              </w:rPr>
              <w:t xml:space="preserve">Completed</w:t>
            </w:r>
          </w:p>
        </w:tc>
        <w:tc>
          <w:tcPr>
            <w:tcW w:type="dxa" w:w="1614"/>
            <w:shd w:fill="F2F7FB" w:color="auto" w:val="clear"/>
            <w:tcMar>
              <w:top w:type="dxa" w:w="70"/>
              <w:left w:type="dxa" w:w="110"/>
              <w:bottom w:type="dxa" w:w="70"/>
              <w:right w:type="dxa" w:w="110"/>
            </w:tcMar>
          </w:tcPr>
          <w:p>
            <w:pPr>
              <w:spacing w:after="0" w:line="252"/>
              <w:jc w:val="right"/>
            </w:pPr>
            <w:r>
              <w:rPr>
                <w:rFonts w:ascii="Calibri" w:cs="Calibri" w:eastAsia="Calibri" w:hAnsi="Calibri"/>
                <w:b/>
                <w:bCs/>
                <w:sz w:val="20"/>
                <w:szCs w:val="20"/>
              </w:rPr>
              <w:t xml:space="preserve">Rate</w:t>
            </w:r>
          </w:p>
        </w:tc>
      </w:tr>
      <w:tr>
        <w:tc>
          <w:tcPr>
            <w:tcW w:type="dxa" w:w="3228"/>
            <w:tcMar>
              <w:top w:type="dxa" w:w="70"/>
              <w:left w:type="dxa" w:w="110"/>
              <w:bottom w:type="dxa" w:w="70"/>
              <w:right w:type="dxa" w:w="110"/>
            </w:tcMar>
          </w:tcPr>
          <w:p>
            <w:pPr>
              <w:spacing w:after="0" w:line="252"/>
            </w:pPr>
            <w:r>
              <w:rPr>
                <w:rFonts w:ascii="Calibri" w:cs="Calibri" w:eastAsia="Calibri" w:hAnsi="Calibri"/>
                <w:b w:val="false"/>
                <w:bCs w:val="false"/>
                <w:sz w:val="20"/>
                <w:szCs w:val="20"/>
              </w:rPr>
              <w:t xml:space="preserve">Argentina</w:t>
            </w:r>
          </w:p>
        </w:tc>
        <w:tc>
          <w:tcPr>
            <w:tcW w:type="dxa" w:w="2582"/>
            <w:tcMar>
              <w:top w:type="dxa" w:w="70"/>
              <w:left w:type="dxa" w:w="110"/>
              <w:bottom w:type="dxa" w:w="70"/>
              <w:right w:type="dxa" w:w="110"/>
            </w:tcMar>
          </w:tcPr>
          <w:p>
            <w:pPr>
              <w:spacing w:after="0" w:line="252"/>
              <w:jc w:val="right"/>
            </w:pPr>
            <w:r>
              <w:rPr>
                <w:rFonts w:ascii="Calibri" w:cs="Calibri" w:eastAsia="Calibri" w:hAnsi="Calibri"/>
                <w:b w:val="false"/>
                <w:bCs w:val="false"/>
                <w:sz w:val="20"/>
                <w:szCs w:val="20"/>
              </w:rPr>
              <w:t xml:space="preserve">111</w:t>
            </w:r>
          </w:p>
        </w:tc>
        <w:tc>
          <w:tcPr>
            <w:tcW w:type="dxa" w:w="1937"/>
            <w:tcMar>
              <w:top w:type="dxa" w:w="70"/>
              <w:left w:type="dxa" w:w="110"/>
              <w:bottom w:type="dxa" w:w="70"/>
              <w:right w:type="dxa" w:w="110"/>
            </w:tcMar>
          </w:tcPr>
          <w:p>
            <w:pPr>
              <w:spacing w:after="0" w:line="252"/>
              <w:jc w:val="right"/>
            </w:pPr>
            <w:r>
              <w:rPr>
                <w:rFonts w:ascii="Calibri" w:cs="Calibri" w:eastAsia="Calibri" w:hAnsi="Calibri"/>
                <w:b w:val="false"/>
                <w:bCs w:val="false"/>
                <w:sz w:val="20"/>
                <w:szCs w:val="20"/>
              </w:rPr>
              <w:t xml:space="preserve">≈35</w:t>
            </w:r>
          </w:p>
        </w:tc>
        <w:tc>
          <w:tcPr>
            <w:tcW w:type="dxa" w:w="1614"/>
            <w:tcMar>
              <w:top w:type="dxa" w:w="70"/>
              <w:left w:type="dxa" w:w="110"/>
              <w:bottom w:type="dxa" w:w="70"/>
              <w:right w:type="dxa" w:w="110"/>
            </w:tcMar>
          </w:tcPr>
          <w:p>
            <w:pPr>
              <w:spacing w:after="0" w:line="252"/>
              <w:jc w:val="right"/>
            </w:pPr>
            <w:r>
              <w:rPr>
                <w:rFonts w:ascii="Calibri" w:cs="Calibri" w:eastAsia="Calibri" w:hAnsi="Calibri"/>
                <w:b w:val="false"/>
                <w:bCs w:val="false"/>
                <w:sz w:val="20"/>
                <w:szCs w:val="20"/>
              </w:rPr>
              <w:t xml:space="preserve">31.5%</w:t>
            </w:r>
          </w:p>
        </w:tc>
      </w:tr>
      <w:tr>
        <w:tc>
          <w:tcPr>
            <w:tcW w:type="dxa" w:w="3228"/>
            <w:tcMar>
              <w:top w:type="dxa" w:w="70"/>
              <w:left w:type="dxa" w:w="110"/>
              <w:bottom w:type="dxa" w:w="70"/>
              <w:right w:type="dxa" w:w="110"/>
            </w:tcMar>
          </w:tcPr>
          <w:p>
            <w:pPr>
              <w:spacing w:after="0" w:line="252"/>
            </w:pPr>
            <w:r>
              <w:rPr>
                <w:rFonts w:ascii="Calibri" w:cs="Calibri" w:eastAsia="Calibri" w:hAnsi="Calibri"/>
                <w:b w:val="false"/>
                <w:bCs w:val="false"/>
                <w:sz w:val="20"/>
                <w:szCs w:val="20"/>
              </w:rPr>
              <w:t xml:space="preserve">Spain</w:t>
            </w:r>
          </w:p>
        </w:tc>
        <w:tc>
          <w:tcPr>
            <w:tcW w:type="dxa" w:w="2582"/>
            <w:tcMar>
              <w:top w:type="dxa" w:w="70"/>
              <w:left w:type="dxa" w:w="110"/>
              <w:bottom w:type="dxa" w:w="70"/>
              <w:right w:type="dxa" w:w="110"/>
            </w:tcMar>
          </w:tcPr>
          <w:p>
            <w:pPr>
              <w:spacing w:after="0" w:line="252"/>
              <w:jc w:val="right"/>
            </w:pPr>
            <w:r>
              <w:rPr>
                <w:rFonts w:ascii="Calibri" w:cs="Calibri" w:eastAsia="Calibri" w:hAnsi="Calibri"/>
                <w:b w:val="false"/>
                <w:bCs w:val="false"/>
                <w:sz w:val="20"/>
                <w:szCs w:val="20"/>
              </w:rPr>
              <w:t xml:space="preserve">178</w:t>
            </w:r>
          </w:p>
        </w:tc>
        <w:tc>
          <w:tcPr>
            <w:tcW w:type="dxa" w:w="1937"/>
            <w:tcMar>
              <w:top w:type="dxa" w:w="70"/>
              <w:left w:type="dxa" w:w="110"/>
              <w:bottom w:type="dxa" w:w="70"/>
              <w:right w:type="dxa" w:w="110"/>
            </w:tcMar>
          </w:tcPr>
          <w:p>
            <w:pPr>
              <w:spacing w:after="0" w:line="252"/>
              <w:jc w:val="right"/>
            </w:pPr>
            <w:r>
              <w:rPr>
                <w:rFonts w:ascii="Calibri" w:cs="Calibri" w:eastAsia="Calibri" w:hAnsi="Calibri"/>
                <w:b w:val="false"/>
                <w:bCs w:val="false"/>
                <w:sz w:val="20"/>
                <w:szCs w:val="20"/>
              </w:rPr>
              <w:t xml:space="preserve">≈36</w:t>
            </w:r>
          </w:p>
        </w:tc>
        <w:tc>
          <w:tcPr>
            <w:tcW w:type="dxa" w:w="1614"/>
            <w:tcMar>
              <w:top w:type="dxa" w:w="70"/>
              <w:left w:type="dxa" w:w="110"/>
              <w:bottom w:type="dxa" w:w="70"/>
              <w:right w:type="dxa" w:w="110"/>
            </w:tcMar>
          </w:tcPr>
          <w:p>
            <w:pPr>
              <w:spacing w:after="0" w:line="252"/>
              <w:jc w:val="right"/>
            </w:pPr>
            <w:r>
              <w:rPr>
                <w:rFonts w:ascii="Calibri" w:cs="Calibri" w:eastAsia="Calibri" w:hAnsi="Calibri"/>
                <w:b w:val="false"/>
                <w:bCs w:val="false"/>
                <w:sz w:val="20"/>
                <w:szCs w:val="20"/>
              </w:rPr>
              <w:t xml:space="preserve">20.2%</w:t>
            </w:r>
          </w:p>
        </w:tc>
      </w:tr>
    </w:tbl>
    <w:p>
      <w:pPr>
        <w:spacing w:after="220" w:before="60"/>
      </w:pPr>
      <w:r>
        <w:rPr>
          <w:rFonts w:ascii="Calibri" w:cs="Calibri" w:eastAsia="Calibri" w:hAnsi="Calibri"/>
          <w:i/>
          <w:iCs/>
          <w:color w:val="52514E"/>
          <w:sz w:val="18"/>
          <w:szCs w:val="18"/>
        </w:rPr>
        <w:t xml:space="preserve">Two-proportion z-test: z = 2.17, p = .030; difference 11.3 points, 95% CI [0.8, 21.8]. Argentina attempted 38 per cent fewer crosses than Spain yet completed almost exactly the same absolute number — and crossed less than any other team in the population, at 2.12 per hundred passes.</w:t>
      </w:r>
    </w:p>
    <w:p>
      <w:pPr>
        <w:spacing w:after="120" w:line="276"/>
      </w:pPr>
      <w:r>
        <w:rPr>
          <w:rFonts w:ascii="Calibri" w:cs="Calibri" w:eastAsia="Calibri" w:hAnsi="Calibri"/>
          <w:sz w:val="22"/>
          <w:szCs w:val="22"/>
        </w:rPr>
        <w:t xml:space="preserve">A cross is a deliberate transfer of risk: ordinary passes complete at 87.5 per cent and crosses at 23.4, so choosing to cross means accepting roughly sixty-four points less chance of retaining the ball in exchange for placing it in a dangerous area. Crossing efficiency therefore measures a willingness to trade certainty for threat that aggregate pass accuracy structurally cannot see.</w:t>
      </w:r>
    </w:p>
    <w:p>
      <w:pPr>
        <w:spacing w:after="120" w:line="276"/>
      </w:pPr>
      <w:r>
        <w:rPr>
          <w:rFonts w:ascii="Calibri" w:cs="Calibri" w:eastAsia="Calibri" w:hAnsi="Calibri"/>
          <w:sz w:val="22"/>
          <w:szCs w:val="22"/>
        </w:rPr>
        <w:t xml:space="preserve">So the answer to the theme is more interesting than a flat negative. Argentina were not the better passing side, and the trophy did not come from out-passing Spain. Spain dominated possession and repeatedly attempted the final delivery, mostly unsuccessfully; Argentina entered that phase far less often and converted it markedly better. What separated the champions was efficiency in the final third rather than control of the ball — which is also a reasonable description of how football is often won, and a demonstration of why process measures and outcomes are worth examining separately.</w:t>
      </w:r>
    </w:p>
    <w:p>
      <w:pPr>
        <w:spacing w:after="120" w:line="276"/>
      </w:pPr>
      <w:r>
        <w:rPr>
          <w:rFonts w:ascii="Calibri" w:cs="Calibri" w:eastAsia="Calibri" w:hAnsi="Calibri"/>
          <w:sz w:val="22"/>
          <w:szCs w:val="22"/>
        </w:rPr>
        <w:t xml:space="preserve">Two caveats belong with this conclusion. The confidence interval on the crossing difference, [0.8, 21.8], barely excludes zero, so the effect is significant but imprecisely estimated. And “cross completed” in FIFA’s definition means reaching a teammate, not creating a chance; without shot or expected-goal data the link from crossing to scoring cannot be tested here.</w:t>
      </w:r>
    </w:p>
    <w:p>
      <w:pPr>
        <w:pStyle w:val="Heading1"/>
        <w:spacing w:after="160" w:before="340"/>
      </w:pPr>
      <w:r>
        <w:rPr>
          <w:rFonts w:ascii="Calibri" w:cs="Calibri" w:eastAsia="Calibri" w:hAnsi="Calibri"/>
          <w:b/>
          <w:bCs/>
          <w:color w:val="1F4E5F"/>
          <w:sz w:val="30"/>
          <w:szCs w:val="30"/>
        </w:rPr>
        <w:t xml:space="preserve">Notes on sources and citation style</w:t>
      </w:r>
    </w:p>
    <w:p>
      <w:pPr>
        <w:spacing w:after="120" w:line="276"/>
      </w:pPr>
      <w:r>
        <w:rPr>
          <w:rFonts w:ascii="Calibri" w:cs="Calibri" w:eastAsia="Calibri" w:hAnsi="Calibri"/>
          <w:sz w:val="22"/>
          <w:szCs w:val="22"/>
        </w:rPr>
        <w:t xml:space="preserve">Citations in this report follow APA 7th edition, which uses author–date citations in the text with a matching reference list, not footnotes. Footnotes are reserved in APA for content notes; using them for citations would be a departure from the standard rather than an application of it. Where a statistical procedure is named in the text, the citation identifies the source of the procedure; where a figure is quoted, its origin is the dataset described in Step 1.</w:t>
      </w:r>
    </w:p>
    <w:p>
      <w:pPr>
        <w:spacing w:after="120" w:line="276"/>
      </w:pPr>
      <w:r>
        <w:rPr>
          <w:rFonts w:ascii="Calibri" w:cs="Calibri" w:eastAsia="Calibri" w:hAnsi="Calibri"/>
          <w:sz w:val="22"/>
          <w:szCs w:val="22"/>
        </w:rPr>
        <w:t xml:space="preserve">Two entries share the author FIFA and are therefore distinguished as 2026a and 2026b, as APA requires for same-author, same-year works.</w:t>
      </w:r>
    </w:p>
    <w:p>
      <w:pPr>
        <w:pStyle w:val="Heading2"/>
        <w:spacing w:after="120" w:before="240"/>
      </w:pPr>
      <w:r>
        <w:rPr>
          <w:rFonts w:ascii="Calibri" w:cs="Calibri" w:eastAsia="Calibri" w:hAnsi="Calibri"/>
          <w:b/>
          <w:bCs/>
          <w:color w:val="1F4E5F"/>
          <w:sz w:val="24"/>
          <w:szCs w:val="24"/>
        </w:rPr>
        <w:t xml:space="preserve">Software</w:t>
      </w:r>
    </w:p>
    <w:p>
      <w:pPr>
        <w:spacing w:after="120" w:line="276"/>
      </w:pPr>
      <w:r>
        <w:rPr>
          <w:rFonts w:ascii="Calibri" w:cs="Calibri" w:eastAsia="Calibri" w:hAnsi="Calibri"/>
          <w:sz w:val="22"/>
          <w:szCs w:val="22"/>
        </w:rPr>
        <w:t xml:space="preserve">The analysis was carried out in Python. Data handling used pandas (McKinney, 2010); all statistical tests used SciPy (Virtanen et al., 2020); the power analysis and minimum detectable effects used statsmodels (Seabold &amp; Perktold, 2010); and both figures were produced with Matplotlib (Hunter, 2007). Versions are not pinned because every result reported here depends only on standard, stable functions in those libraries.</w:t>
      </w:r>
    </w:p>
    <w:p>
      <w:pPr>
        <w:pStyle w:val="Heading2"/>
        <w:spacing w:after="120" w:before="240"/>
      </w:pPr>
      <w:r>
        <w:rPr>
          <w:rFonts w:ascii="Calibri" w:cs="Calibri" w:eastAsia="Calibri" w:hAnsi="Calibri"/>
          <w:b/>
          <w:bCs/>
          <w:color w:val="1F4E5F"/>
          <w:sz w:val="24"/>
          <w:szCs w:val="24"/>
        </w:rPr>
        <w:t xml:space="preserve">Acknowledgment of AI assistance</w:t>
      </w:r>
    </w:p>
    <w:p>
      <w:pPr>
        <w:spacing w:after="120" w:line="276"/>
      </w:pPr>
      <w:r>
        <w:rPr>
          <w:rFonts w:ascii="Calibri" w:cs="Calibri" w:eastAsia="Calibri" w:hAnsi="Calibri"/>
          <w:sz w:val="22"/>
          <w:szCs w:val="22"/>
        </w:rPr>
        <w:t xml:space="preserve">Claude (Anthropic) was used as an analysis assistant during this task: to help locate the paginated data feed behind the FIFA statistics page, to draft and review the Python analysis script, and to check the interpretation of results. All design decisions — the population boundary, the twenty-pass exclusion rule, the reading of “American”, the choice of Welch’s test and the scope of the robustness checks — were made by the author, and every statistic reported here was verified by re-running the submitted script against the archived dataset.</w:t>
      </w:r>
    </w:p>
    <w:p>
      <w:pPr>
        <w:pStyle w:val="Heading1"/>
        <w:spacing w:after="160" w:before="340"/>
      </w:pPr>
      <w:r>
        <w:rPr>
          <w:rFonts w:ascii="Calibri" w:cs="Calibri" w:eastAsia="Calibri" w:hAnsi="Calibri"/>
          <w:b/>
          <w:bCs/>
          <w:color w:val="1F4E5F"/>
          <w:sz w:val="30"/>
          <w:szCs w:val="30"/>
        </w:rPr>
        <w:t xml:space="preserve">References</w:t>
      </w:r>
    </w:p>
    <w:p>
      <w:pPr>
        <w:spacing w:after="140" w:line="276"/>
        <w:ind w:left="720" w:hanging="720"/>
      </w:pPr>
      <w:r>
        <w:rPr>
          <w:rFonts w:ascii="Calibri" w:cs="Calibri" w:eastAsia="Calibri" w:hAnsi="Calibri"/>
          <w:sz w:val="22"/>
          <w:szCs w:val="22"/>
        </w:rPr>
        <w:t xml:space="preserve">Cohen, J. (1988). </w:t>
      </w:r>
      <w:r>
        <w:rPr>
          <w:rFonts w:ascii="Calibri" w:cs="Calibri" w:eastAsia="Calibri" w:hAnsi="Calibri"/>
          <w:i/>
          <w:iCs/>
          <w:sz w:val="22"/>
          <w:szCs w:val="22"/>
        </w:rPr>
        <w:t xml:space="preserve">Statistical power analysis for the behavioral sciences</w:t>
      </w:r>
      <w:r>
        <w:rPr>
          <w:rFonts w:ascii="Calibri" w:cs="Calibri" w:eastAsia="Calibri" w:hAnsi="Calibri"/>
          <w:sz w:val="22"/>
          <w:szCs w:val="22"/>
        </w:rPr>
        <w:t xml:space="preserve"> (2nd ed.). Lawrence Erlbaum Associates.</w:t>
      </w:r>
    </w:p>
    <w:p>
      <w:pPr>
        <w:spacing w:after="140" w:line="276"/>
        <w:ind w:left="720" w:hanging="720"/>
      </w:pPr>
      <w:r>
        <w:rPr>
          <w:rFonts w:ascii="Calibri" w:cs="Calibri" w:eastAsia="Calibri" w:hAnsi="Calibri"/>
          <w:sz w:val="22"/>
          <w:szCs w:val="22"/>
        </w:rPr>
        <w:t xml:space="preserve">Dunn, O. J. (1961). Multiple comparisons among means. </w:t>
      </w:r>
      <w:r>
        <w:rPr>
          <w:rFonts w:ascii="Calibri" w:cs="Calibri" w:eastAsia="Calibri" w:hAnsi="Calibri"/>
          <w:i/>
          <w:iCs/>
          <w:sz w:val="22"/>
          <w:szCs w:val="22"/>
        </w:rPr>
        <w:t xml:space="preserve">Journal of the American Statistical Association, 56</w:t>
      </w:r>
      <w:r>
        <w:rPr>
          <w:rFonts w:ascii="Calibri" w:cs="Calibri" w:eastAsia="Calibri" w:hAnsi="Calibri"/>
          <w:sz w:val="22"/>
          <w:szCs w:val="22"/>
        </w:rPr>
        <w:t xml:space="preserve">(293), 52–64.</w:t>
      </w:r>
    </w:p>
    <w:p>
      <w:pPr>
        <w:spacing w:after="140" w:line="276"/>
        <w:ind w:left="720" w:hanging="720"/>
      </w:pPr>
      <w:r>
        <w:rPr>
          <w:rFonts w:ascii="Calibri" w:cs="Calibri" w:eastAsia="Calibri" w:hAnsi="Calibri"/>
          <w:sz w:val="22"/>
          <w:szCs w:val="22"/>
        </w:rPr>
        <w:t xml:space="preserve">FIFA. (2026a). </w:t>
      </w:r>
      <w:r>
        <w:rPr>
          <w:rFonts w:ascii="Calibri" w:cs="Calibri" w:eastAsia="Calibri" w:hAnsi="Calibri"/>
          <w:i/>
          <w:iCs/>
          <w:sz w:val="22"/>
          <w:szCs w:val="22"/>
        </w:rPr>
        <w:t xml:space="preserve">FIFA World Cup 26 player statistics: Distribution — passes</w:t>
      </w:r>
      <w:r>
        <w:rPr>
          <w:rFonts w:ascii="Calibri" w:cs="Calibri" w:eastAsia="Calibri" w:hAnsi="Calibri"/>
          <w:sz w:val="22"/>
          <w:szCs w:val="22"/>
        </w:rPr>
        <w:t xml:space="preserve"> [Data set]. https://www.fifa.com/en/tournaments/mens/worldcup/canadamexicousa2026/statistics/player-statistics?group=gcp_distribution&amp;stat=passes</w:t>
      </w:r>
    </w:p>
    <w:p>
      <w:pPr>
        <w:spacing w:after="140" w:line="276"/>
        <w:ind w:left="720" w:hanging="720"/>
      </w:pPr>
      <w:r>
        <w:rPr>
          <w:rFonts w:ascii="Calibri" w:cs="Calibri" w:eastAsia="Calibri" w:hAnsi="Calibri"/>
          <w:sz w:val="22"/>
          <w:szCs w:val="22"/>
        </w:rPr>
        <w:t xml:space="preserve">FIFA. (2026b). </w:t>
      </w:r>
      <w:r>
        <w:rPr>
          <w:rFonts w:ascii="Calibri" w:cs="Calibri" w:eastAsia="Calibri" w:hAnsi="Calibri"/>
          <w:i/>
          <w:iCs/>
          <w:sz w:val="22"/>
          <w:szCs w:val="22"/>
        </w:rPr>
        <w:t xml:space="preserve">FIFA World Cup 26: Qualified teams</w:t>
      </w:r>
      <w:r>
        <w:rPr>
          <w:rFonts w:ascii="Calibri" w:cs="Calibri" w:eastAsia="Calibri" w:hAnsi="Calibri"/>
          <w:sz w:val="22"/>
          <w:szCs w:val="22"/>
        </w:rPr>
        <w:t xml:space="preserve">. https://www.fifa.com/en/tournaments/mens/worldcup/canadamexicousa2026</w:t>
      </w:r>
    </w:p>
    <w:p>
      <w:pPr>
        <w:spacing w:after="140" w:line="276"/>
        <w:ind w:left="720" w:hanging="720"/>
      </w:pPr>
      <w:r>
        <w:rPr>
          <w:rFonts w:ascii="Calibri" w:cs="Calibri" w:eastAsia="Calibri" w:hAnsi="Calibri"/>
          <w:sz w:val="22"/>
          <w:szCs w:val="22"/>
        </w:rPr>
        <w:t xml:space="preserve">Hunter, J. D. (2007). Matplotlib: A 2D graphics environment. </w:t>
      </w:r>
      <w:r>
        <w:rPr>
          <w:rFonts w:ascii="Calibri" w:cs="Calibri" w:eastAsia="Calibri" w:hAnsi="Calibri"/>
          <w:i/>
          <w:iCs/>
          <w:sz w:val="22"/>
          <w:szCs w:val="22"/>
        </w:rPr>
        <w:t xml:space="preserve">Computing in Science &amp; Engineering, 9</w:t>
      </w:r>
      <w:r>
        <w:rPr>
          <w:rFonts w:ascii="Calibri" w:cs="Calibri" w:eastAsia="Calibri" w:hAnsi="Calibri"/>
          <w:sz w:val="22"/>
          <w:szCs w:val="22"/>
        </w:rPr>
        <w:t xml:space="preserve">(3), 90–95.</w:t>
      </w:r>
    </w:p>
    <w:p>
      <w:pPr>
        <w:spacing w:after="140" w:line="276"/>
        <w:ind w:left="720" w:hanging="720"/>
      </w:pPr>
      <w:r>
        <w:rPr>
          <w:rFonts w:ascii="Calibri" w:cs="Calibri" w:eastAsia="Calibri" w:hAnsi="Calibri"/>
          <w:sz w:val="22"/>
          <w:szCs w:val="22"/>
        </w:rPr>
        <w:t xml:space="preserve">Levene, H. (1960). Robust tests for equality of variances. In I. Olkin (Ed.), </w:t>
      </w:r>
      <w:r>
        <w:rPr>
          <w:rFonts w:ascii="Calibri" w:cs="Calibri" w:eastAsia="Calibri" w:hAnsi="Calibri"/>
          <w:i/>
          <w:iCs/>
          <w:sz w:val="22"/>
          <w:szCs w:val="22"/>
        </w:rPr>
        <w:t xml:space="preserve">Contributions to probability and statistics: Essays in honor of Harold Hotelling</w:t>
      </w:r>
      <w:r>
        <w:rPr>
          <w:rFonts w:ascii="Calibri" w:cs="Calibri" w:eastAsia="Calibri" w:hAnsi="Calibri"/>
          <w:sz w:val="22"/>
          <w:szCs w:val="22"/>
        </w:rPr>
        <w:t xml:space="preserve"> (pp. 278–292). Stanford University Press.</w:t>
      </w:r>
    </w:p>
    <w:p>
      <w:pPr>
        <w:spacing w:after="140" w:line="276"/>
        <w:ind w:left="720" w:hanging="720"/>
      </w:pPr>
      <w:r>
        <w:rPr>
          <w:rFonts w:ascii="Calibri" w:cs="Calibri" w:eastAsia="Calibri" w:hAnsi="Calibri"/>
          <w:sz w:val="22"/>
          <w:szCs w:val="22"/>
        </w:rPr>
        <w:t xml:space="preserve">Mann, H. B., &amp; Whitney, D. R. (1947). On a test of whether one of two random variables is stochastically larger than the other. </w:t>
      </w:r>
      <w:r>
        <w:rPr>
          <w:rFonts w:ascii="Calibri" w:cs="Calibri" w:eastAsia="Calibri" w:hAnsi="Calibri"/>
          <w:i/>
          <w:iCs/>
          <w:sz w:val="22"/>
          <w:szCs w:val="22"/>
        </w:rPr>
        <w:t xml:space="preserve">The Annals of Mathematical Statistics, 18</w:t>
      </w:r>
      <w:r>
        <w:rPr>
          <w:rFonts w:ascii="Calibri" w:cs="Calibri" w:eastAsia="Calibri" w:hAnsi="Calibri"/>
          <w:sz w:val="22"/>
          <w:szCs w:val="22"/>
        </w:rPr>
        <w:t xml:space="preserve">(1), 50–60.</w:t>
      </w:r>
    </w:p>
    <w:p>
      <w:pPr>
        <w:spacing w:after="140" w:line="276"/>
        <w:ind w:left="720" w:hanging="720"/>
      </w:pPr>
      <w:r>
        <w:rPr>
          <w:rFonts w:ascii="Calibri" w:cs="Calibri" w:eastAsia="Calibri" w:hAnsi="Calibri"/>
          <w:sz w:val="22"/>
          <w:szCs w:val="22"/>
        </w:rPr>
        <w:t xml:space="preserve">McKinney, W. (2010). Data structures for statistical computing in Python. In </w:t>
      </w:r>
      <w:r>
        <w:rPr>
          <w:rFonts w:ascii="Calibri" w:cs="Calibri" w:eastAsia="Calibri" w:hAnsi="Calibri"/>
          <w:i/>
          <w:iCs/>
          <w:sz w:val="22"/>
          <w:szCs w:val="22"/>
        </w:rPr>
        <w:t xml:space="preserve">Proceedings of the 9th Python in Science Conference</w:t>
      </w:r>
      <w:r>
        <w:rPr>
          <w:rFonts w:ascii="Calibri" w:cs="Calibri" w:eastAsia="Calibri" w:hAnsi="Calibri"/>
          <w:sz w:val="22"/>
          <w:szCs w:val="22"/>
        </w:rPr>
        <w:t xml:space="preserve"> (pp. 56–61).</w:t>
      </w:r>
    </w:p>
    <w:p>
      <w:pPr>
        <w:spacing w:after="140" w:line="276"/>
        <w:ind w:left="720" w:hanging="720"/>
      </w:pPr>
      <w:r>
        <w:rPr>
          <w:rFonts w:ascii="Calibri" w:cs="Calibri" w:eastAsia="Calibri" w:hAnsi="Calibri"/>
          <w:sz w:val="22"/>
          <w:szCs w:val="22"/>
        </w:rPr>
        <w:t xml:space="preserve">Ruxton, G. D. (2006). The unequal variance t-test is an underused alternative to Student’s t-test and the Mann–Whitney U test. </w:t>
      </w:r>
      <w:r>
        <w:rPr>
          <w:rFonts w:ascii="Calibri" w:cs="Calibri" w:eastAsia="Calibri" w:hAnsi="Calibri"/>
          <w:i/>
          <w:iCs/>
          <w:sz w:val="22"/>
          <w:szCs w:val="22"/>
        </w:rPr>
        <w:t xml:space="preserve">Behavioral Ecology, 17</w:t>
      </w:r>
      <w:r>
        <w:rPr>
          <w:rFonts w:ascii="Calibri" w:cs="Calibri" w:eastAsia="Calibri" w:hAnsi="Calibri"/>
          <w:sz w:val="22"/>
          <w:szCs w:val="22"/>
        </w:rPr>
        <w:t xml:space="preserve">(4), 688–690.</w:t>
      </w:r>
    </w:p>
    <w:p>
      <w:pPr>
        <w:spacing w:after="140" w:line="276"/>
        <w:ind w:left="720" w:hanging="720"/>
      </w:pPr>
      <w:r>
        <w:rPr>
          <w:rFonts w:ascii="Calibri" w:cs="Calibri" w:eastAsia="Calibri" w:hAnsi="Calibri"/>
          <w:sz w:val="22"/>
          <w:szCs w:val="22"/>
        </w:rPr>
        <w:t xml:space="preserve">Seabold, S., &amp; Perktold, J. (2010). Statsmodels: Econometric and statistical modeling with Python. In </w:t>
      </w:r>
      <w:r>
        <w:rPr>
          <w:rFonts w:ascii="Calibri" w:cs="Calibri" w:eastAsia="Calibri" w:hAnsi="Calibri"/>
          <w:i/>
          <w:iCs/>
          <w:sz w:val="22"/>
          <w:szCs w:val="22"/>
        </w:rPr>
        <w:t xml:space="preserve">Proceedings of the 9th Python in Science Conference</w:t>
      </w:r>
      <w:r>
        <w:rPr>
          <w:rFonts w:ascii="Calibri" w:cs="Calibri" w:eastAsia="Calibri" w:hAnsi="Calibri"/>
          <w:sz w:val="22"/>
          <w:szCs w:val="22"/>
        </w:rPr>
        <w:t xml:space="preserve"> (pp. 92–96).</w:t>
      </w:r>
    </w:p>
    <w:p>
      <w:pPr>
        <w:spacing w:after="140" w:line="276"/>
        <w:ind w:left="720" w:hanging="720"/>
      </w:pPr>
      <w:r>
        <w:rPr>
          <w:rFonts w:ascii="Calibri" w:cs="Calibri" w:eastAsia="Calibri" w:hAnsi="Calibri"/>
          <w:sz w:val="22"/>
          <w:szCs w:val="22"/>
        </w:rPr>
        <w:t xml:space="preserve">Shapiro, S. S., &amp; Wilk, M. B. (1965). An analysis of variance test for normality (complete samples). </w:t>
      </w:r>
      <w:r>
        <w:rPr>
          <w:rFonts w:ascii="Calibri" w:cs="Calibri" w:eastAsia="Calibri" w:hAnsi="Calibri"/>
          <w:i/>
          <w:iCs/>
          <w:sz w:val="22"/>
          <w:szCs w:val="22"/>
        </w:rPr>
        <w:t xml:space="preserve">Biometrika, 52</w:t>
      </w:r>
      <w:r>
        <w:rPr>
          <w:rFonts w:ascii="Calibri" w:cs="Calibri" w:eastAsia="Calibri" w:hAnsi="Calibri"/>
          <w:sz w:val="22"/>
          <w:szCs w:val="22"/>
        </w:rPr>
        <w:t xml:space="preserve">(3–4), 591–611.</w:t>
      </w:r>
    </w:p>
    <w:p>
      <w:pPr>
        <w:spacing w:after="140" w:line="276"/>
        <w:ind w:left="720" w:hanging="720"/>
      </w:pPr>
      <w:r>
        <w:rPr>
          <w:rFonts w:ascii="Calibri" w:cs="Calibri" w:eastAsia="Calibri" w:hAnsi="Calibri"/>
          <w:sz w:val="22"/>
          <w:szCs w:val="22"/>
        </w:rPr>
        <w:t xml:space="preserve">Simonsohn, U., Simmons, J. P., &amp; Nelson, L. D. (2020). Specification curve analysis. </w:t>
      </w:r>
      <w:r>
        <w:rPr>
          <w:rFonts w:ascii="Calibri" w:cs="Calibri" w:eastAsia="Calibri" w:hAnsi="Calibri"/>
          <w:i/>
          <w:iCs/>
          <w:sz w:val="22"/>
          <w:szCs w:val="22"/>
        </w:rPr>
        <w:t xml:space="preserve">Nature Human Behaviour, 4</w:t>
      </w:r>
      <w:r>
        <w:rPr>
          <w:rFonts w:ascii="Calibri" w:cs="Calibri" w:eastAsia="Calibri" w:hAnsi="Calibri"/>
          <w:sz w:val="22"/>
          <w:szCs w:val="22"/>
        </w:rPr>
        <w:t xml:space="preserve">(11), 1208–1214.</w:t>
      </w:r>
    </w:p>
    <w:p>
      <w:pPr>
        <w:spacing w:after="140" w:line="276"/>
        <w:ind w:left="720" w:hanging="720"/>
      </w:pPr>
      <w:r>
        <w:rPr>
          <w:rFonts w:ascii="Calibri" w:cs="Calibri" w:eastAsia="Calibri" w:hAnsi="Calibri"/>
          <w:sz w:val="22"/>
          <w:szCs w:val="22"/>
        </w:rPr>
        <w:t xml:space="preserve">Sports Reference. (2026). </w:t>
      </w:r>
      <w:r>
        <w:rPr>
          <w:rFonts w:ascii="Calibri" w:cs="Calibri" w:eastAsia="Calibri" w:hAnsi="Calibri"/>
          <w:i/>
          <w:iCs/>
          <w:sz w:val="22"/>
          <w:szCs w:val="22"/>
        </w:rPr>
        <w:t xml:space="preserve">FBref football statistics and history</w:t>
      </w:r>
      <w:r>
        <w:rPr>
          <w:rFonts w:ascii="Calibri" w:cs="Calibri" w:eastAsia="Calibri" w:hAnsi="Calibri"/>
          <w:sz w:val="22"/>
          <w:szCs w:val="22"/>
        </w:rPr>
        <w:t xml:space="preserve">. https://fbref.com/en/</w:t>
      </w:r>
    </w:p>
    <w:p>
      <w:pPr>
        <w:spacing w:after="140" w:line="276"/>
        <w:ind w:left="720" w:hanging="720"/>
      </w:pPr>
      <w:r>
        <w:rPr>
          <w:rFonts w:ascii="Calibri" w:cs="Calibri" w:eastAsia="Calibri" w:hAnsi="Calibri"/>
          <w:sz w:val="22"/>
          <w:szCs w:val="22"/>
        </w:rPr>
        <w:t xml:space="preserve">Virtanen, P., Gommers, R., Oliphant, T. E., Haberland, M., Reddy, T., Cournapeau, D., Burovski, E., Peterson, P., Weckesser, W., Bright, J., van der Walt, S. J., Brett, M., Wilson, J., Millman, K. J., Mayorov, N., Nelson, A. R. J., Jones, E., Kern, R., Larson, E., … Vázquez-Baeza, Y. (2020). SciPy 1.0: Fundamental algorithms for scientific computing in Python. </w:t>
      </w:r>
      <w:r>
        <w:rPr>
          <w:rFonts w:ascii="Calibri" w:cs="Calibri" w:eastAsia="Calibri" w:hAnsi="Calibri"/>
          <w:i/>
          <w:iCs/>
          <w:sz w:val="22"/>
          <w:szCs w:val="22"/>
        </w:rPr>
        <w:t xml:space="preserve">Nature Methods, 17</w:t>
      </w:r>
      <w:r>
        <w:rPr>
          <w:rFonts w:ascii="Calibri" w:cs="Calibri" w:eastAsia="Calibri" w:hAnsi="Calibri"/>
          <w:sz w:val="22"/>
          <w:szCs w:val="22"/>
        </w:rPr>
        <w:t xml:space="preserve">(3), 261–272.</w:t>
      </w:r>
    </w:p>
    <w:p>
      <w:pPr>
        <w:spacing w:after="140" w:line="276"/>
        <w:ind w:left="720" w:hanging="720"/>
      </w:pPr>
      <w:r>
        <w:rPr>
          <w:rFonts w:ascii="Calibri" w:cs="Calibri" w:eastAsia="Calibri" w:hAnsi="Calibri"/>
          <w:sz w:val="22"/>
          <w:szCs w:val="22"/>
        </w:rPr>
        <w:t xml:space="preserve">Welch, B. L. (1947). The generalization of “Student’s” problem when several different population variances are involved. </w:t>
      </w:r>
      <w:r>
        <w:rPr>
          <w:rFonts w:ascii="Calibri" w:cs="Calibri" w:eastAsia="Calibri" w:hAnsi="Calibri"/>
          <w:i/>
          <w:iCs/>
          <w:sz w:val="22"/>
          <w:szCs w:val="22"/>
        </w:rPr>
        <w:t xml:space="preserve">Biometrika, 34</w:t>
      </w:r>
      <w:r>
        <w:rPr>
          <w:rFonts w:ascii="Calibri" w:cs="Calibri" w:eastAsia="Calibri" w:hAnsi="Calibri"/>
          <w:sz w:val="22"/>
          <w:szCs w:val="22"/>
        </w:rPr>
        <w:t xml:space="preserve">(1–2), 28–35.</w:t>
      </w:r>
    </w:p>
    <w:sectPr>
      <w:footerReference w:type="default" r:id="rId7"/>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2514E"/>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Task 4 — Pass Completion Rate: process and reasoning</dc:title>
  <dc:creator>Thi Ngoc Nhi Le (S408842) — HIT-140 Group 21</dc:creator>
  <cp:lastModifiedBy>Un-named</cp:lastModifiedBy>
  <cp:revision>1</cp:revision>
  <dcterms:created xsi:type="dcterms:W3CDTF">2026-09-09T01:48:42.216Z</dcterms:created>
  <dcterms:modified xsi:type="dcterms:W3CDTF">2026-09-09T01:48:42.217Z</dcterms:modified>
</cp:coreProperties>
</file>

<file path=docProps/custom.xml><?xml version="1.0" encoding="utf-8"?>
<Properties xmlns="http://schemas.openxmlformats.org/officeDocument/2006/custom-properties" xmlns:vt="http://schemas.openxmlformats.org/officeDocument/2006/docPropsVTypes"/>
</file>