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4caf50" w:val="clear"/>
        </w:rPr>
      </w:pPr>
      <w:hyperlink r:id="rId8">
        <w:r w:rsidDel="00000000" w:rsidR="00000000" w:rsidRPr="00000000">
          <w:rPr>
            <w:color w:val="ffffff"/>
            <w:shd w:fill="4caf50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4caf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Vybírací otázky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firstLine="0"/>
        <w:rPr/>
      </w:pPr>
      <w:r w:rsidDel="00000000" w:rsidR="00000000" w:rsidRPr="00000000">
        <w:rPr>
          <w:rtl w:val="0"/>
        </w:rPr>
        <w:t xml:space="preserve">Pouze jedna je správná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Další</w:t>
      </w:r>
    </w:p>
    <w:sectPr>
      <w:pgSz w:h="15840" w:w="17280" w:orient="landscape"/>
      <w:pgMar w:bottom="75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