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60.png" ContentType="image/png"/>
  <Override PartName="/word/media/rId56.png" ContentType="image/png"/>
  <Override PartName="/word/media/rId91.png" ContentType="image/png"/>
  <Override PartName="/word/media/rId96.png" ContentType="image/png"/>
  <Override PartName="/word/media/rId115.png" ContentType="image/png"/>
  <Override PartName="/word/media/rId83.png" ContentType="image/png"/>
  <Override PartName="/word/media/rId104.png" ContentType="image/png"/>
  <Override PartName="/word/media/rId122.png" ContentType="image/png"/>
  <Override PartName="/word/media/rId171.png" ContentType="image/png"/>
  <Override PartName="/word/media/rId167.png" ContentType="image/png"/>
  <Override PartName="/word/media/rId142.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Kiến trúc tổng quát backbone – neck – head của YOLO11 (theo [13], [9])</w:t>
            </w:r>
          </w:p>
        </w:tc>
        <w:tc>
          <w:tcPr/>
          <w:p>
            <w:pPr>
              <w:pStyle w:val="Compact"/>
              <w:jc w:val="center"/>
            </w:pPr>
            <w:r>
              <w:t xml:space="preserve">—</w:t>
            </w:r>
          </w:p>
        </w:tc>
      </w:tr>
      <w:tr>
        <w:tc>
          <w:tcPr/>
          <w:p>
            <w:pPr>
              <w:pStyle w:val="Compact"/>
            </w:pPr>
            <w:r>
              <w:t xml:space="preserve">Hình 2.2</w:t>
            </w:r>
          </w:p>
        </w:tc>
        <w:tc>
          <w:tcPr/>
          <w:p>
            <w:pPr>
              <w:pStyle w:val="Compact"/>
            </w:pPr>
            <w:r>
              <w:t xml:space="preserve">** Kiến trúc CRNN và cách CTC gộp chuỗi thô. Điểm mấu chốt nằm ở</w:t>
            </w:r>
          </w:p>
        </w:tc>
        <w:tc>
          <w:tcPr/>
          <w:p>
            <w:pPr>
              <w:pStyle w:val="Compact"/>
              <w:jc w:val="center"/>
            </w:pPr>
            <w:r>
              <w:t xml:space="preserve">—</w:t>
            </w:r>
          </w:p>
        </w:tc>
      </w:tr>
      <w:tr>
        <w:tc>
          <w:tcPr/>
          <w:p>
            <w:pPr>
              <w:pStyle w:val="Compact"/>
            </w:pPr>
            <w:r>
              <w:t xml:space="preserve">Hình 2.3</w:t>
            </w:r>
          </w:p>
        </w:tc>
        <w:tc>
          <w:tcPr/>
          <w:p>
            <w:pPr>
              <w:pStyle w:val="Compact"/>
            </w:pPr>
            <w:r>
              <w:t xml:space="preserve">** Cơ chế sụp đổ của CTC trên ảnh văn bản hai dòng</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 hai tác nhân và bốn use case. Ba use case tô đậm là</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đường ống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kiểm định</w:t>
            </w:r>
          </w:p>
        </w:tc>
        <w:tc>
          <w:tcPr/>
          <w:p>
            <w:pPr>
              <w:pStyle w:val="Compact"/>
              <w:jc w:val="center"/>
            </w:pPr>
            <w:r>
              <w:t xml:space="preserve">—</w:t>
            </w:r>
          </w:p>
        </w:tc>
      </w:tr>
      <w:tr>
        <w:tc>
          <w:tcPr/>
          <w:p>
            <w:pPr>
              <w:pStyle w:val="Compact"/>
            </w:pPr>
            <w:r>
              <w:t xml:space="preserve">Hình 4.6</w:t>
            </w:r>
          </w:p>
        </w:tc>
        <w:tc>
          <w:tcPr/>
          <w:p>
            <w:pPr>
              <w:pStyle w:val="Compact"/>
            </w:pPr>
            <w:r>
              <w:t xml:space="preserve">** Ba lớp trừu tượng và cài đặt tương ứng. Đường ống chỉ giữ tham chiếu</w:t>
            </w:r>
          </w:p>
        </w:tc>
        <w:tc>
          <w:tcPr/>
          <w:p>
            <w:pPr>
              <w:pStyle w:val="Compact"/>
              <w:jc w:val="center"/>
            </w:pPr>
            <w:r>
              <w:t xml:space="preserve">—</w:t>
            </w:r>
          </w:p>
        </w:tc>
      </w:tr>
      <w:tr>
        <w:tc>
          <w:tcPr/>
          <w:p>
            <w:pPr>
              <w:pStyle w:val="Compact"/>
            </w:pPr>
            <w:r>
              <w:t xml:space="preserve">Hình 4.7</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r>
        <w:tc>
          <w:tcPr/>
          <w:p>
            <w:pPr>
              <w:pStyle w:val="Compact"/>
            </w:pPr>
            <w:r>
              <w:t xml:space="preserve">Hình 5.2</w:t>
            </w:r>
          </w:p>
        </w:tc>
        <w:tc>
          <w:tcPr/>
          <w:p>
            <w:pPr>
              <w:pStyle w:val="Compact"/>
            </w:pPr>
            <w:r>
              <w:t xml:space="preserve">Sáu lần đo NFR-P2. Trung vị của lượt đo cũ nằm ngang với các lần đo trên máy rảnh, nhưng đuôi p95 cao gấp sáu lần; ép tải tới 12 lõi cũng chỉ đẩy tỉ lệ p95/p50 lên 1,24× trong khi lượt đo cũ là 6,93×</w:t>
            </w:r>
          </w:p>
        </w:tc>
        <w:tc>
          <w:tcPr/>
          <w:p>
            <w:pPr>
              <w:pStyle w:val="Compact"/>
              <w:jc w:val="center"/>
            </w:pPr>
            <w:r>
              <w:t xml:space="preserve">—</w:t>
            </w:r>
          </w:p>
        </w:tc>
      </w:tr>
      <w:tr>
        <w:tc>
          <w:tcPr/>
          <w:p>
            <w:pPr>
              <w:pStyle w:val="Compact"/>
            </w:pPr>
            <w:r>
              <w:t xml:space="preserve">Hình 5.3</w:t>
            </w:r>
          </w:p>
        </w:tc>
        <w:tc>
          <w:tcPr/>
          <w:p>
            <w:pPr>
              <w:pStyle w:val="Compact"/>
            </w:pPr>
            <w:r>
              <w:t xml:space="preserve">Một ca khử trùng lặp thật, cắt trực tiếp từ video demo. Cùng một chiếc xe máy được đọc thành năm chuỗi khác nhau ở năm khung hình khác nhau; bốn bản viền đỏ bị gom vào bản viền xanh. Điều đáng chú ý là năm vùng cắt gần như không phân biệt được bằng mắt — khác biệt không đến từ loá sáng hay che khuất mà từ tính không tất định của khối nhận dạng giữa các khung gần giống nhau. Bản 51H14573 thắng nhờ 11 khung** bỏ phiếu, trong khi bốn bản còn lại mỗi bản chỉ có một khung; nếu xét riêng độ tin cậy thì 51H4573 (0,994) đã suýt vượt qua</w:t>
            </w:r>
          </w:p>
        </w:tc>
        <w:tc>
          <w:tcPr/>
          <w:p>
            <w:pPr>
              <w:pStyle w:val="Compact"/>
              <w:jc w:val="center"/>
            </w:pPr>
            <w:r>
              <w:t xml:space="preserve">—</w:t>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2.3</w:t>
            </w:r>
          </w:p>
        </w:tc>
        <w:tc>
          <w:tcPr/>
          <w:p>
            <w:pPr>
              <w:pStyle w:val="Compact"/>
            </w:pPr>
            <w:r>
              <w:t xml:space="preserve">Sáu khoảng trống nghiên cứu và cách nhóm thực hiện lấp</w:t>
            </w:r>
          </w:p>
        </w:tc>
        <w:tc>
          <w:tcPr/>
          <w:p>
            <w:pPr>
              <w:pStyle w:val="Compact"/>
              <w:jc w:val="center"/>
            </w:pPr>
            <w:r>
              <w:t xml:space="preserve">—</w:t>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t xml:space="preserve">—</w:t>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t xml:space="preserve">—</w:t>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5.2</w:t>
            </w:r>
          </w:p>
        </w:tc>
        <w:tc>
          <w:tcPr/>
          <w:p>
            <w:pPr>
              <w:pStyle w:val="Compact"/>
            </w:pPr>
            <w:r>
              <w:t xml:space="preserve">Ba phiên bản bộ dữ liệu và số cặp ảnh gần trùng xuyên tập con theo ngưỡng Hamming</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NFR-A7 ở mức ảnh toàn cảnh — ước lượng phân tầng trên 1.606 khung biển</w:t>
            </w:r>
          </w:p>
        </w:tc>
        <w:tc>
          <w:tcPr/>
          <w:p>
            <w:pPr>
              <w:pStyle w:val="Compact"/>
              <w:jc w:val="center"/>
            </w:pPr>
            <w:r>
              <w:t xml:space="preserve">—</w:t>
            </w:r>
          </w:p>
        </w:tc>
      </w:tr>
      <w:tr>
        <w:tc>
          <w:tcPr/>
          <w:p>
            <w:pPr>
              <w:pStyle w:val="Compact"/>
            </w:pPr>
            <w:r>
              <w:t xml:space="preserve">Bảng 5.7</w:t>
            </w:r>
          </w:p>
        </w:tc>
        <w:tc>
          <w:tcPr/>
          <w:p>
            <w:pPr>
              <w:pStyle w:val="Compact"/>
            </w:pPr>
            <w:r>
              <w:t xml:space="preserve">Chi phí và lợi ích của từng bậc trong thang thử lại</w:t>
            </w:r>
          </w:p>
        </w:tc>
        <w:tc>
          <w:tcPr/>
          <w:p>
            <w:pPr>
              <w:pStyle w:val="Compact"/>
              <w:jc w:val="center"/>
            </w:pPr>
            <w:r>
              <w:t xml:space="preserve">—</w:t>
            </w:r>
          </w:p>
        </w:tc>
      </w:tr>
      <w:tr>
        <w:tc>
          <w:tcPr/>
          <w:p>
            <w:pPr>
              <w:pStyle w:val="Compact"/>
            </w:pPr>
            <w:r>
              <w:t xml:space="preserve">Bảng 5.8</w:t>
            </w:r>
          </w:p>
        </w:tc>
        <w:tc>
          <w:tcPr/>
          <w:p>
            <w:pPr>
              <w:pStyle w:val="Compact"/>
            </w:pPr>
            <w:r>
              <w:t xml:space="preserve">Độ trễ đầu cuối một ảnh, đối chiếu NFR-P1</w:t>
            </w:r>
          </w:p>
        </w:tc>
        <w:tc>
          <w:tcPr/>
          <w:p>
            <w:pPr>
              <w:pStyle w:val="Compact"/>
              <w:jc w:val="center"/>
            </w:pPr>
            <w:r>
              <w:t xml:space="preserve">—</w:t>
            </w:r>
          </w:p>
        </w:tc>
      </w:tr>
      <w:tr>
        <w:tc>
          <w:tcPr/>
          <w:p>
            <w:pPr>
              <w:pStyle w:val="Compact"/>
            </w:pPr>
            <w:r>
              <w:t xml:space="preserve">Bảng 5.9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5.10</w:t>
            </w:r>
          </w:p>
        </w:tc>
        <w:tc>
          <w:tcPr/>
          <w:p>
            <w:pPr>
              <w:pStyle w:val="Compact"/>
            </w:pPr>
            <w:r>
              <w:t xml:space="preserve">Các chỉ tiêu hiệu năng ngoài đường xử lý ảnh</w:t>
            </w:r>
          </w:p>
        </w:tc>
        <w:tc>
          <w:tcPr/>
          <w:p>
            <w:pPr>
              <w:pStyle w:val="Compact"/>
              <w:jc w:val="center"/>
            </w:pPr>
            <w:r>
              <w:t xml:space="preserve">—</w:t>
            </w:r>
          </w:p>
        </w:tc>
      </w:tr>
      <w:tr>
        <w:tc>
          <w:tcPr/>
          <w:p>
            <w:pPr>
              <w:pStyle w:val="Compact"/>
            </w:pPr>
            <w:r>
              <w:t xml:space="preserve">Bảng 5.11</w:t>
            </w:r>
          </w:p>
        </w:tc>
        <w:tc>
          <w:tcPr/>
          <w:p>
            <w:pPr>
              <w:pStyle w:val="Compact"/>
            </w:pPr>
            <w:r>
              <w:t xml:space="preserve">Đối chiếu chỉ tiêu phi chức năng, gom theo nhóm</w:t>
            </w:r>
          </w:p>
        </w:tc>
        <w:tc>
          <w:tcPr/>
          <w:p>
            <w:pPr>
              <w:pStyle w:val="Compact"/>
              <w:jc w:val="center"/>
            </w:pPr>
            <w:r>
              <w:t xml:space="preserve">—</w:t>
            </w:r>
          </w:p>
        </w:tc>
      </w:tr>
      <w:tr>
        <w:tc>
          <w:tcPr/>
          <w:p>
            <w:pPr>
              <w:pStyle w:val="Compact"/>
            </w:pPr>
            <w:r>
              <w:t xml:space="preserve">Bảng 5.12</w:t>
            </w:r>
          </w:p>
        </w:tc>
        <w:tc>
          <w:tcPr/>
          <w:p>
            <w:pPr>
              <w:pStyle w:val="Compact"/>
            </w:pPr>
            <w:r>
              <w:t xml:space="preserve">Tần suất từng loại lỗi trên 2.801 biển có nhãn chuỗi, cấu hình giao hàng</w:t>
            </w:r>
          </w:p>
        </w:tc>
        <w:tc>
          <w:tcPr/>
          <w:p>
            <w:pPr>
              <w:pStyle w:val="Compact"/>
              <w:jc w:val="center"/>
            </w:pPr>
            <w:r>
              <w:t xml:space="preserve">—</w:t>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t xml:space="preserve">—</w:t>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t xml:space="preserve">—</w:t>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t xml:space="preserve">—</w:t>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1"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 Ba đặc thù sau</w:t>
      </w:r>
      <w:r>
        <w:t xml:space="preserve"> </w:t>
      </w:r>
      <w:r>
        <w:rPr>
          <w:b/>
          <w:bCs/>
        </w:rPr>
        <w:t xml:space="preserve">không học được từ dữ liệu nước ngoài</w:t>
      </w:r>
      <w:r>
        <w:t xml:space="preserve">:</w:t>
      </w:r>
      <w:r>
        <w:t xml:space="preserve"> </w:t>
      </w:r>
      <w:r>
        <w:rPr>
          <w:b/>
          <w:bCs/>
        </w:rPr>
        <w:t xml:space="preserve">(i)</w:t>
      </w:r>
      <w:r>
        <w:t xml:space="preserve"> </w:t>
      </w:r>
      <w:r>
        <w:t xml:space="preserve">tập ký tự sê-ri</w:t>
      </w:r>
      <w:r>
        <w:t xml:space="preserve"> </w:t>
      </w:r>
      <w:r>
        <w:rPr>
          <w:b/>
          <w:bCs/>
        </w:rPr>
        <w:t xml:space="preserve">phụ thuộc vị trí</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nên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t xml:space="preserve">;</w:t>
      </w:r>
      <w:r>
        <w:t xml:space="preserve"> </w:t>
      </w:r>
      <w:r>
        <w:rPr>
          <w:b/>
          <w:bCs/>
        </w:rPr>
        <w:t xml:space="preserve">(ii)</w:t>
      </w:r>
      <w:r>
        <w:t xml:space="preserve"> </w:t>
      </w:r>
      <w:r>
        <w:t xml:space="preserve">mã địa phương chỉ có</w:t>
      </w:r>
      <w:r>
        <w:t xml:space="preserve"> </w:t>
      </w:r>
      <w:r>
        <w:rPr>
          <w:b/>
          <w:bCs/>
        </w:rPr>
        <w:t xml:space="preserve">81 giá trị</w:t>
      </w:r>
      <w:r>
        <w:t xml:space="preserve"> </w:t>
      </w:r>
      <w:r>
        <w:t xml:space="preserve">trong dải 11–99, tám mã chưa gán, nên</w:t>
      </w:r>
      <w:r>
        <w:t xml:space="preserve"> </w:t>
      </w:r>
      <w:r>
        <w:rPr>
          <w:rStyle w:val="VerbatimChar"/>
        </w:rPr>
        <w:t xml:space="preserve">\d{2}</w:t>
      </w:r>
      <w:r>
        <w:t xml:space="preserve"> </w:t>
      </w:r>
      <w:r>
        <w:t xml:space="preserve">cho qua tám chuỗi không tồn tại;</w:t>
      </w:r>
      <w:r>
        <w:t xml:space="preserve"> </w:t>
      </w:r>
      <w:r>
        <w:rPr>
          <w:b/>
          <w:bCs/>
        </w:rPr>
        <w:t xml:space="preserve">(iii)</w:t>
      </w:r>
      <w:r>
        <w:t xml:space="preserve"> </w:t>
      </w:r>
      <w:r>
        <w:t xml:space="preserve">tỉ lệ khung hình</w:t>
      </w:r>
      <w:r>
        <w:t xml:space="preserve"> </w:t>
      </w:r>
      <w:r>
        <w:rPr>
          <w:b/>
          <w:bCs/>
        </w:rPr>
        <w:t xml:space="preserve">phân tách rõ hai bố cục</w:t>
      </w:r>
      <w:r>
        <w:t xml:space="preserve"> </w:t>
      </w:r>
      <w:r>
        <w:t xml:space="preserve">[6] — 4,727 (một dòng) so với 2,000 và 1,357 (hai dòng), không biển nào rơi vào khoảng mở (2,000 ; 4,727), và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2"/>
    <w:bookmarkEnd w:id="23"/>
    <w:bookmarkStart w:id="27"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5"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5"/>
    <w:bookmarkStart w:id="26"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6"/>
    <w:bookmarkEnd w:id="27"/>
    <w:bookmarkStart w:id="35" w:name="X6bee59a95cc07d62ba659aeba3f26651b99554f"/>
    <w:p>
      <w:pPr>
        <w:pStyle w:val="Heading2"/>
      </w:pPr>
      <w:r>
        <w:t xml:space="preserve">1.3. Đối tượng và phạm vi nghiên cứu</w:t>
      </w:r>
    </w:p>
    <w:bookmarkStart w:id="28"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8"/>
    <w:bookmarkStart w:id="29"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9"/>
    <w:bookmarkStart w:id="30"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0"/>
    <w:bookmarkStart w:id="34"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2" name="Picture"/>
            <a:graphic>
              <a:graphicData uri="http://schemas.openxmlformats.org/drawingml/2006/picture">
                <pic:pic>
                  <pic:nvPicPr>
                    <pic:cNvPr descr="figures/fig-ch1-01.png" id="33" name="Picture"/>
                    <pic:cNvPicPr>
                      <a:picLocks noChangeArrowheads="1" noChangeAspect="1"/>
                    </pic:cNvPicPr>
                  </pic:nvPicPr>
                  <pic:blipFill>
                    <a:blip r:embed="rId31"/>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4"/>
    <w:bookmarkEnd w:id="35"/>
    <w:bookmarkStart w:id="37"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6"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6"/>
    <w:bookmarkEnd w:id="37"/>
    <w:bookmarkStart w:id="40" w:name="X995047f04ff093c83575386314fe17e37a71012"/>
    <w:p>
      <w:pPr>
        <w:pStyle w:val="Heading2"/>
      </w:pPr>
      <w:r>
        <w:t xml:space="preserve">1.5. Đóng góp của đề tài</w:t>
      </w:r>
    </w:p>
    <w:bookmarkStart w:id="38"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Khảo sát không tìm thấy benchmark công khai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Một kết quả</w:t>
      </w:r>
      <w:r>
        <w:t xml:space="preserve"> </w:t>
      </w:r>
      <w:r>
        <w:rPr>
          <w:b/>
          <w:bCs/>
        </w:rPr>
        <w:t xml:space="preserve">khác dự đoán ban đầu</w:t>
      </w:r>
      <w:r>
        <w:t xml:space="preserve">: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38"/>
    <w:bookmarkStart w:id="39"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39"/>
    <w:bookmarkEnd w:id="40"/>
    <w:bookmarkEnd w:id="41"/>
    <w:bookmarkStart w:id="71"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2"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2"/>
    <w:bookmarkStart w:id="47"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3"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3"/>
    <w:bookmarkStart w:id="44"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4"/>
    <w:bookmarkStart w:id="45"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5"/>
    <w:bookmarkStart w:id="46"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6"/>
    <w:bookmarkEnd w:id="47"/>
    <w:bookmarkStart w:id="54" w:name="Xb0509c4b89cd1a55c49548d43dfa3a371309dfc"/>
    <w:p>
      <w:pPr>
        <w:pStyle w:val="Heading2"/>
      </w:pPr>
      <w:r>
        <w:t xml:space="preserve">2.3. Cơ sở lý thuyết về phát hiện đối tượng</w:t>
      </w:r>
    </w:p>
    <w:bookmarkStart w:id="51"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49" name="Picture"/>
            <a:graphic>
              <a:graphicData uri="http://schemas.openxmlformats.org/drawingml/2006/picture">
                <pic:pic>
                  <pic:nvPicPr>
                    <pic:cNvPr descr="figures/fig-ch2-05.png" id="50" name="Picture"/>
                    <pic:cNvPicPr>
                      <a:picLocks noChangeArrowheads="1" noChangeAspect="1"/>
                    </pic:cNvPicPr>
                  </pic:nvPicPr>
                  <pic:blipFill>
                    <a:blip r:embed="rId4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1"/>
    <w:bookmarkStart w:id="52"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2"/>
    <w:bookmarkStart w:id="53"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7">
        <w:r>
          <w:rPr>
            <w:rStyle w:val="Hyperlink"/>
            <w:b/>
            <w:bCs/>
          </w:rPr>
          <w:t xml:space="preserve">mAP@0.5</w:t>
        </w:r>
      </w:hyperlink>
      <w:r>
        <w:rPr>
          <w:b/>
          <w:bCs/>
        </w:rPr>
        <w:t xml:space="preserve"> </w:t>
      </w:r>
      <w:r>
        <w:rPr>
          <w:b/>
          <w:bCs/>
        </w:rPr>
        <w:t xml:space="preserve">và</w:t>
      </w:r>
      <w:r>
        <w:rPr>
          <w:b/>
          <w:bCs/>
        </w:rPr>
        <w:t xml:space="preserve"> </w:t>
      </w:r>
      <w:hyperlink r:id="rId17">
        <w:r>
          <w:rPr>
            <w:rStyle w:val="Hyperlink"/>
            <w:b/>
            <w:bCs/>
          </w:rPr>
          <w:t xml:space="preserve">mAP@0.5</w:t>
        </w:r>
      </w:hyperlink>
      <w:r>
        <w:rPr>
          <w:b/>
          <w:bCs/>
        </w:rPr>
        <w:t xml:space="preserve">:0.95.</w:t>
      </w:r>
      <w:r>
        <w:t xml:space="preserve"> </w:t>
      </w:r>
      <w:hyperlink r:id="rId17">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7">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7">
        <w:r>
          <w:rPr>
            <w:rStyle w:val="Hyperlink"/>
          </w:rPr>
          <w:t xml:space="preserve">mAP@0.5</w:t>
        </w:r>
      </w:hyperlink>
      <w:r>
        <w:t xml:space="preserve"> </w:t>
      </w:r>
      <w:r>
        <w:t xml:space="preserve">của một nghiên cứu ALPR với</w:t>
      </w:r>
      <w:r>
        <w:t xml:space="preserve"> </w:t>
      </w:r>
      <w:hyperlink r:id="rId17">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3"/>
    <w:bookmarkEnd w:id="54"/>
    <w:bookmarkStart w:id="65" w:name="X3b57c2622543092b9dcba0f4855aa826ad23e44"/>
    <w:p>
      <w:pPr>
        <w:pStyle w:val="Heading2"/>
      </w:pPr>
      <w:r>
        <w:t xml:space="preserve">2.4. Cơ sở lý thuyết về nhận dạng ký tự</w:t>
      </w:r>
    </w:p>
    <w:bookmarkStart w:id="55"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5"/>
    <w:bookmarkStart w:id="59"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57" name="Picture"/>
            <a:graphic>
              <a:graphicData uri="http://schemas.openxmlformats.org/drawingml/2006/picture">
                <pic:pic>
                  <pic:nvPicPr>
                    <pic:cNvPr descr="figures/fig-ch2-crnn-ctc.png" id="58" name="Picture"/>
                    <pic:cNvPicPr>
                      <a:picLocks noChangeArrowheads="1" noChangeAspect="1"/>
                    </pic:cNvPicPr>
                  </pic:nvPicPr>
                  <pic:blipFill>
                    <a:blip r:embed="rId56"/>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9"/>
    <w:bookmarkStart w:id="63"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1" name="Picture"/>
            <a:graphic>
              <a:graphicData uri="http://schemas.openxmlformats.org/drawingml/2006/picture">
                <pic:pic>
                  <pic:nvPicPr>
                    <pic:cNvPr descr="figures/fig-ch2-07.png" id="62" name="Picture"/>
                    <pic:cNvPicPr>
                      <a:picLocks noChangeArrowheads="1" noChangeAspect="1"/>
                    </pic:cNvPicPr>
                  </pic:nvPicPr>
                  <pic:blipFill>
                    <a:blip r:embed="rId60"/>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63"/>
    <w:bookmarkStart w:id="64"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4"/>
    <w:bookmarkEnd w:id="65"/>
    <w:bookmarkStart w:id="70" w:name="X433805c7645b98ab65ccaee2bea6de58007170b"/>
    <w:p>
      <w:pPr>
        <w:pStyle w:val="Heading2"/>
      </w:pPr>
      <w:r>
        <w:t xml:space="preserve">2.5. Các công trình liên quan</w:t>
      </w:r>
    </w:p>
    <w:bookmarkStart w:id="66"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6"/>
    <w:bookmarkStart w:id="67"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7"/>
    <w:bookmarkStart w:id="68"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(Bảng 2.3).</w:t>
      </w:r>
    </w:p>
    <w:bookmarkEnd w:id="68"/>
    <w:bookmarkStart w:id="69" w:name="X6f86383661c07099cd643dfc00f699085c75d97"/>
    <w:p>
      <w:pPr>
        <w:pStyle w:val="Heading3"/>
      </w:pPr>
      <w:r>
        <w:t xml:space="preserve">2.5.4. Khoảng trống nghiên cứu và định vị đề tài</w:t>
      </w:r>
    </w:p>
    <w:p>
      <w:pPr>
        <w:pStyle w:val="FirstParagraph"/>
      </w:pPr>
      <w:r>
        <w:rPr>
          <w:b/>
          <w:bCs/>
        </w:rPr>
        <w:t xml:space="preserve">Bảng 2.3.</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9"/>
    <w:bookmarkEnd w:id="70"/>
    <w:bookmarkEnd w:id="71"/>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2"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w:t>
      </w:r>
      <w:r>
        <w:t xml:space="preserve">(Bảng 3.1).</w:t>
      </w:r>
    </w:p>
    <w:p>
      <w:pPr>
        <w:pStyle w:val="BodyText"/>
      </w:pPr>
      <w:r>
        <w:rPr>
          <w:b/>
          <w:bCs/>
        </w:rPr>
        <w:t xml:space="preserve">Bảng 3.1.</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39"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7">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9" w:name="Xdd2df60092a13133cb54ccab0399760f69750bc"/>
    <w:p>
      <w:pPr>
        <w:pStyle w:val="Heading2"/>
      </w:pPr>
      <w:r>
        <w:t xml:space="preserve">4.1. Phân tích yêu cầu</w:t>
      </w:r>
    </w:p>
    <w:bookmarkStart w:id="86"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84" name="Picture"/>
            <a:graphic>
              <a:graphicData uri="http://schemas.openxmlformats.org/drawingml/2006/picture">
                <pic:pic>
                  <pic:nvPicPr>
                    <pic:cNvPr descr="figures/fig-ch4-usecase.png" id="85" name="Picture"/>
                    <pic:cNvPicPr>
                      <a:picLocks noChangeArrowheads="1" noChangeAspect="1"/>
                    </pic:cNvPicPr>
                  </pic:nvPicPr>
                  <pic:blipFill>
                    <a:blip r:embed="rId83"/>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6"/>
    <w:bookmarkStart w:id="87"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7"/>
    <w:bookmarkStart w:id="88"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8"/>
    <w:bookmarkEnd w:id="89"/>
    <w:bookmarkStart w:id="101" w:name="X294448b0ebbcecd971c47f7922938602c4faaee"/>
    <w:p>
      <w:pPr>
        <w:pStyle w:val="Heading2"/>
      </w:pPr>
      <w:r>
        <w:t xml:space="preserve">4.2. Kiến trúc hệ thống</w:t>
      </w:r>
    </w:p>
    <w:bookmarkStart w:id="90"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0"/>
    <w:bookmarkStart w:id="94"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2" name="Picture"/>
            <a:graphic>
              <a:graphicData uri="http://schemas.openxmlformats.org/drawingml/2006/picture">
                <pic:pic>
                  <pic:nvPicPr>
                    <pic:cNvPr descr="figures/fig-ch4-02.png" id="93" name="Picture"/>
                    <pic:cNvPicPr>
                      <a:picLocks noChangeArrowheads="1" noChangeAspect="1"/>
                    </pic:cNvPicPr>
                  </pic:nvPicPr>
                  <pic:blipFill>
                    <a:blip r:embed="rId91"/>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4"/>
    <w:bookmarkStart w:id="95"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95"/>
    <w:bookmarkStart w:id="99"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7" name="Picture"/>
            <a:graphic>
              <a:graphicData uri="http://schemas.openxmlformats.org/drawingml/2006/picture">
                <pic:pic>
                  <pic:nvPicPr>
                    <pic:cNvPr descr="figures/fig-ch4-03.png" id="98" name="Picture"/>
                    <pic:cNvPicPr>
                      <a:picLocks noChangeArrowheads="1" noChangeAspect="1"/>
                    </pic:cNvPicPr>
                  </pic:nvPicPr>
                  <pic:blipFill>
                    <a:blip r:embed="rId96"/>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9"/>
    <w:bookmarkStart w:id="100"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0"/>
    <w:bookmarkEnd w:id="101"/>
    <w:bookmarkStart w:id="103" w:name="X9ad8804871c144315aedff41a1e47b29c356da8"/>
    <w:p>
      <w:pPr>
        <w:pStyle w:val="Heading2"/>
      </w:pPr>
      <w:r>
        <w:t xml:space="preserve">4.3. Môi trường và công cụ phát triển</w:t>
      </w:r>
    </w:p>
    <w:bookmarkStart w:id="102"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02"/>
    <w:bookmarkEnd w:id="103"/>
    <w:bookmarkStart w:id="108" w:name="Xac54ff02a53f997684ad1e9bce3420d5c1dcce8"/>
    <w:p>
      <w:pPr>
        <w:pStyle w:val="Heading2"/>
      </w:pPr>
      <w:r>
        <w:t xml:space="preserve">4.4. Xây dựng bộ dữ liệu</w:t>
      </w:r>
    </w:p>
    <w:bookmarkStart w:id="107"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5" name="Picture"/>
            <a:graphic>
              <a:graphicData uri="http://schemas.openxmlformats.org/drawingml/2006/picture">
                <pic:pic>
                  <pic:nvPicPr>
                    <pic:cNvPr descr="figures/fig-ch5-01.png" id="106" name="Picture"/>
                    <pic:cNvPicPr>
                      <a:picLocks noChangeArrowheads="1" noChangeAspect="1"/>
                    </pic:cNvPicPr>
                  </pic:nvPicPr>
                  <pic:blipFill>
                    <a:blip r:embed="rId104"/>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07"/>
    <w:bookmarkEnd w:id="108"/>
    <w:bookmarkStart w:id="114" w:name="X5751f16cbcdd604a4ad20994be454e70e9e3ac2"/>
    <w:p>
      <w:pPr>
        <w:pStyle w:val="Heading2"/>
      </w:pPr>
      <w:r>
        <w:t xml:space="preserve">4.5. Huấn luyện mô hình</w:t>
      </w:r>
    </w:p>
    <w:bookmarkStart w:id="109"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09"/>
    <w:bookmarkStart w:id="11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1" name="Picture"/>
            <a:graphic>
              <a:graphicData uri="http://schemas.openxmlformats.org/drawingml/2006/picture">
                <pic:pic>
                  <pic:nvPicPr>
                    <pic:cNvPr descr="figures/fig-train-curves.png" id="112" name="Picture"/>
                    <pic:cNvPicPr>
                      <a:picLocks noChangeArrowheads="1" noChangeAspect="1"/>
                    </pic:cNvPicPr>
                  </pic:nvPicPr>
                  <pic:blipFill>
                    <a:blip r:embed="rId11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3"/>
    <w:bookmarkEnd w:id="114"/>
    <w:bookmarkStart w:id="129" w:name="X2723c2b72a3b0d2d07d276512c3a00f40195ccf"/>
    <w:p>
      <w:pPr>
        <w:pStyle w:val="Heading2"/>
      </w:pPr>
      <w:r>
        <w:t xml:space="preserve">4.6. Tầng AI — thiết kế và cài đặt</w:t>
      </w:r>
    </w:p>
    <w:bookmarkStart w:id="118"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16" name="Picture"/>
            <a:graphic>
              <a:graphicData uri="http://schemas.openxmlformats.org/drawingml/2006/picture">
                <pic:pic>
                  <pic:nvPicPr>
                    <pic:cNvPr descr="figures/fig-ch4-interfaces.png" id="117" name="Picture"/>
                    <pic:cNvPicPr>
                      <a:picLocks noChangeArrowheads="1" noChangeAspect="1"/>
                    </pic:cNvPicPr>
                  </pic:nvPicPr>
                  <pic:blipFill>
                    <a:blip r:embed="rId11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18"/>
    <w:bookmarkStart w:id="119"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19"/>
    <w:bookmarkStart w:id="120"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20"/>
    <w:bookmarkStart w:id="121"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vì sau khi ghép, bộ phát hiện văn bản chỉ xác định một vùng chữ và bỏ qua cụm mã tỉnh cùng ký tự sê-ri. Giả thuyết ban đầu — bỏ phép ghép, đọc riêng từng nửa rồi nối chuỗi — đã kiểm chứng trên 200 biển hai dòng có nhãn và</w:t>
      </w:r>
      <w:r>
        <w:t xml:space="preserve"> </w:t>
      </w:r>
      <w:r>
        <w:rPr>
          <w:b/>
          <w:bCs/>
        </w:rPr>
        <w:t xml:space="preserve">bị bác bỏ dứt khoát: 64,5% xuống 3,5%, không thắng ở trường hợp nào</w:t>
      </w:r>
      <w:r>
        <w:t xml:space="preserve"> </w:t>
      </w:r>
      <w:r>
        <w:t xml:space="preserve">(5.5.6). Nguyên nhân nằm ở chính vùng chồng lấn tại mục c: đọc riêng thì dải chồng lấn bị nhận dạng hai lần và sinh ký tự thừa giữa chuỗi, còn trên dải liền mạch vùng lặp nằm giữa hai cụm ký tự nên bị bộ phát hiện văn bản loại bỏ.</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và bộ chuẩn hoá thay vì đi qua tầng điều phối, nên logic đặt tại tầng điều phối không được phản ánh trong số công bố. Khắc phục bằng cách tách bước phục hồi thành hàm độc lập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 và biện pháp này về sau vẫn chưa đủ, cùng loại sai lệch đã tái diễn (5.5.6).</w:t>
      </w:r>
    </w:p>
    <w:bookmarkEnd w:id="121"/>
    <w:bookmarkStart w:id="125"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3" name="Picture"/>
            <a:graphic>
              <a:graphicData uri="http://schemas.openxmlformats.org/drawingml/2006/picture">
                <pic:pic>
                  <pic:nvPicPr>
                    <pic:cNvPr descr="figures/fig-ch5-03.png" id="124" name="Picture"/>
                    <pic:cNvPicPr>
                      <a:picLocks noChangeArrowheads="1" noChangeAspect="1"/>
                    </pic:cNvPicPr>
                  </pic:nvPicPr>
                  <pic:blipFill>
                    <a:blip r:embed="rId12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5"/>
    <w:bookmarkStart w:id="126"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6"/>
    <w:bookmarkStart w:id="127"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27"/>
    <w:bookmarkStart w:id="128"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8"/>
    <w:bookmarkEnd w:id="129"/>
    <w:bookmarkStart w:id="134" w:name="Xd33c5fd3fcbf5c7f74138f222cc9bcbb755d6d1"/>
    <w:p>
      <w:pPr>
        <w:pStyle w:val="Heading2"/>
      </w:pPr>
      <w:r>
        <w:t xml:space="preserve">4.7. Máy chủ và cơ sở dữ liệu</w:t>
      </w:r>
    </w:p>
    <w:bookmarkStart w:id="130"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30"/>
    <w:bookmarkStart w:id="131"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1"/>
    <w:bookmarkStart w:id="132"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32"/>
    <w:bookmarkStart w:id="133"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3"/>
    <w:bookmarkEnd w:id="134"/>
    <w:bookmarkStart w:id="137" w:name="X3a8d61a51575a0ea03bbef8c366606d753c4f55"/>
    <w:p>
      <w:pPr>
        <w:pStyle w:val="Heading2"/>
      </w:pPr>
      <w:r>
        <w:t xml:space="preserve">4.8. Giao diện người dùng</w:t>
      </w:r>
    </w:p>
    <w:bookmarkStart w:id="135"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5"/>
    <w:bookmarkStart w:id="136"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36"/>
    <w:bookmarkEnd w:id="137"/>
    <w:bookmarkStart w:id="138"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38"/>
    <w:bookmarkEnd w:id="139"/>
    <w:bookmarkStart w:id="181"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6" w:name="X615dfd631dc181525daf811d00c6861931eec12"/>
    <w:p>
      <w:pPr>
        <w:pStyle w:val="Heading2"/>
      </w:pPr>
      <w:r>
        <w:t xml:space="preserve">5.1. Mục tiêu và phương pháp đánh giá</w:t>
      </w:r>
    </w:p>
    <w:bookmarkStart w:id="140"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40"/>
    <w:bookmarkStart w:id="141"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1"/>
    <w:bookmarkStart w:id="145" w:name="Xae02105bda9855e41edaa9a7db070e9fd50916a"/>
    <w:p>
      <w:pPr>
        <w:pStyle w:val="Heading3"/>
      </w:pPr>
      <w:r>
        <w:t xml:space="preserve">5.1.3. Giao thức đo</w:t>
      </w:r>
    </w:p>
    <w:p>
      <w:pPr>
        <w:pStyle w:val="FirstParagraph"/>
      </w:pPr>
      <w:r>
        <w:drawing>
          <wp:inline>
            <wp:extent cx="5334000" cy="6408964"/>
            <wp:effectExtent b="0" l="0" r="0" t="0"/>
            <wp:docPr descr="" title="" id="143" name="Picture"/>
            <a:graphic>
              <a:graphicData uri="http://schemas.openxmlformats.org/drawingml/2006/picture">
                <pic:pic>
                  <pic:nvPicPr>
                    <pic:cNvPr descr="figures/fig-ch6-01.png" id="144" name="Picture"/>
                    <pic:cNvPicPr>
                      <a:picLocks noChangeArrowheads="1" noChangeAspect="1"/>
                    </pic:cNvPicPr>
                  </pic:nvPicPr>
                  <pic:blipFill>
                    <a:blip r:embed="rId142"/>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5"/>
    <w:bookmarkEnd w:id="146"/>
    <w:bookmarkStart w:id="147" w:name="Xda9ff047994fc93eb8666aa61137acbf414e8bc"/>
    <w:p>
      <w:pPr>
        <w:pStyle w:val="Heading2"/>
      </w:pPr>
      <w:r>
        <w:t xml:space="preserve">5.2.---</w:t>
      </w:r>
    </w:p>
    <w:bookmarkEnd w:id="147"/>
    <w:bookmarkStart w:id="149"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8"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8"/>
    <w:bookmarkEnd w:id="149"/>
    <w:bookmarkStart w:id="152"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5.2).</w:t>
      </w:r>
    </w:p>
    <w:p>
      <w:pPr>
        <w:pStyle w:val="BodyText"/>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0"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0"/>
    <w:bookmarkStart w:id="151"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1"/>
    <w:bookmarkEnd w:id="152"/>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3"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3"/>
    <w:bookmarkStart w:id="154"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5.3).</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4"/>
    <w:bookmarkEnd w:id="155"/>
    <w:bookmarkStart w:id="16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5.5).</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8"/>
    <w:bookmarkStart w:id="159"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9"/>
    <w:bookmarkStart w:id="161"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0">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5.6: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5.6.</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1"/>
    <w:bookmarkStart w:id="162"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62"/>
    <w:bookmarkStart w:id="163"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5.7).</w:t>
      </w:r>
    </w:p>
    <w:p>
      <w:pPr>
        <w:pStyle w:val="BodyText"/>
      </w:pPr>
      <w:r>
        <w:rPr>
          <w:b/>
          <w:bCs/>
        </w:rPr>
        <w:t xml:space="preserve">Bảng 5.7.</w:t>
      </w:r>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 (Bảng 5.8).</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63"/>
    <w:bookmarkEnd w:id="164"/>
    <w:bookmarkStart w:id="17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5"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5.9).</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65"/>
    <w:bookmarkStart w:id="166"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6"/>
    <w:bookmarkStart w:id="170"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68" name="Picture"/>
            <a:graphic>
              <a:graphicData uri="http://schemas.openxmlformats.org/drawingml/2006/picture">
                <pic:pic>
                  <pic:nvPicPr>
                    <pic:cNvPr descr="figures/fig-ch5-nfr-p2.png" id="169" name="Picture"/>
                    <pic:cNvPicPr>
                      <a:picLocks noChangeArrowheads="1" noChangeAspect="1"/>
                    </pic:cNvPicPr>
                  </pic:nvPicPr>
                  <pic:blipFill>
                    <a:blip r:embed="rId16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Sáu lần đo NFR-P2. Trung vị của lượt đo cũ nằm ngang với các lần đo trên máy rảnh, nhưng đuôi p95 cao gấp sáu lần; ép tải tới 12 lõi cũng chỉ đẩy tỉ lệ p95/p50 lên 1,24× trong khi lượt đo cũ là</w:t>
      </w:r>
      <w:r>
        <w:t xml:space="preserve"> </w:t>
      </w:r>
      <w:r>
        <w:rPr>
          <w:b/>
          <w:bCs/>
        </w:rPr>
        <w:t xml:space="preserve">6,93×</w:t>
      </w:r>
      <w:r>
        <w:t xml:space="preserve">.</w:t>
      </w:r>
    </w:p>
    <w:bookmarkEnd w:id="170"/>
    <w:bookmarkStart w:id="174"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w:t>
      </w:r>
    </w:p>
    <w:p>
      <w:pPr>
        <w:pStyle w:val="BodyText"/>
      </w:pPr>
      <w:r>
        <w:drawing>
          <wp:inline>
            <wp:extent cx="5334000" cy="1215536"/>
            <wp:effectExtent b="0" l="0" r="0" t="0"/>
            <wp:docPr descr="" title="" id="172" name="Picture"/>
            <a:graphic>
              <a:graphicData uri="http://schemas.openxmlformats.org/drawingml/2006/picture">
                <pic:pic>
                  <pic:nvPicPr>
                    <pic:cNvPr descr="figures/fig-ch5-dedup-51H14573.png" id="173" name="Picture"/>
                    <pic:cNvPicPr>
                      <a:picLocks noChangeArrowheads="1" noChangeAspect="1"/>
                    </pic:cNvPicPr>
                  </pic:nvPicPr>
                  <pic:blipFill>
                    <a:blip r:embed="rId171"/>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4"/>
    <w:bookmarkStart w:id="17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5.10.</w:t>
      </w:r>
    </w:p>
    <w:p>
      <w:pPr>
        <w:pStyle w:val="BodyText"/>
      </w:pPr>
      <w:r>
        <w:rPr>
          <w:b/>
          <w:bCs/>
        </w:rPr>
        <w:t xml:space="preserve">Bảng 5.10.</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175"/>
    <w:bookmarkEnd w:id="176"/>
    <w:bookmarkStart w:id="177"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5.12).</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7"/>
    <w:bookmarkStart w:id="178"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5.4: 2.801 × (1 − 0,7701). Ba quan sát.</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End w:id="178"/>
    <w:bookmarkStart w:id="180" w:name="X17c38d19be0e29160aa374b565370025cd3cedc"/>
    <w:p>
      <w:pPr>
        <w:pStyle w:val="Heading2"/>
      </w:pPr>
      <w:r>
        <w:t xml:space="preserve">5.9. Bàn luận</w:t>
      </w:r>
    </w:p>
    <w:bookmarkStart w:id="179"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9"/>
    <w:bookmarkEnd w:id="180"/>
    <w:bookmarkEnd w:id="181"/>
    <w:bookmarkStart w:id="186" w:name="chương-6-kết-luận-và-hướng-phát-triển"/>
    <w:p>
      <w:pPr>
        <w:pStyle w:val="Heading1"/>
      </w:pPr>
      <w:r>
        <w:t xml:space="preserve">CHƯƠNG 6. KẾT LUẬN VÀ HƯỚNG PHÁT TRIỂN</w:t>
      </w:r>
    </w:p>
    <w:bookmarkStart w:id="182"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rPr>
          <w:b/>
          <w:bCs/>
        </w:rPr>
        <w:t xml:space="preserve">Sáu đại lượng đo được mà khảo sát không tìm thấy tương đương trong tài liệu Việt Nam.</w:t>
      </w:r>
      <w:r>
        <w:t xml:space="preserve"> </w:t>
      </w:r>
      <w:r>
        <w:rPr>
          <w:i/>
          <w:iCs/>
        </w:rPr>
        <w:t xml:space="preserve">(1)</w:t>
      </w:r>
      <w:r>
        <w:t xml:space="preserve"> </w:t>
      </w:r>
      <w:r>
        <w:rPr>
          <w:b/>
          <w:bCs/>
        </w:rPr>
        <w:t xml:space="preserve">Đóng góp thuần của khối hậu xử lý theo vị trí: +13,28 điểm</w:t>
      </w:r>
      <w:r>
        <w:t xml:space="preserve"> </w:t>
      </w:r>
      <w:r>
        <w:t xml:space="preserve">— sửa đúng 372 biển, làm hỏng 0 trên 2.801 mẫu.</w:t>
      </w:r>
      <w:r>
        <w:t xml:space="preserve"> </w:t>
      </w:r>
      <w:r>
        <w:rPr>
          <w:i/>
          <w:iCs/>
        </w:rPr>
        <w:t xml:space="preserve">(2)</w:t>
      </w:r>
      <w:r>
        <w:t xml:space="preserve"> </w:t>
      </w:r>
      <w:r>
        <w:rPr>
          <w:b/>
          <w:bCs/>
        </w:rPr>
        <w:t xml:space="preserve">Chênh lệch giữa hai bố cục biển: 23,07 điểm</w:t>
      </w:r>
      <w:r>
        <w:t xml:space="preserve"> </w:t>
      </w:r>
      <w:r>
        <w:t xml:space="preserve">ở khối nhận dạng so với chỉ 2,09 điểm ở khối phát hiện, nên rủi ro R-04 nằm trọn ở tầng đọc ký tự.</w:t>
      </w:r>
      <w:r>
        <w:t xml:space="preserve"> </w:t>
      </w:r>
      <w:r>
        <w:rPr>
          <w:i/>
          <w:iCs/>
        </w:rPr>
        <w:t xml:space="preserve">(3)</w:t>
      </w:r>
      <w:r>
        <w:t xml:space="preserve"> </w:t>
      </w:r>
      <w:r>
        <w:rPr>
          <w:b/>
          <w:bCs/>
        </w:rPr>
        <w:t xml:space="preserve">Benchmark ba bộ nhận dạng trên 2.801 biển trong cùng một tầng bao quanh</w:t>
      </w:r>
      <w:r>
        <w:t xml:space="preserve">: PaddleOCR 68,87% so với EasyOCR 14,28% và Tesseract 10,28% — kết quả chỉ áp trong cấu hình của đồ án, không suy rộng thành so sánh tuyệt đối; kèm phát hiện rằng bước tách-ghép nâng PaddleOCR 34,92 điểm nhưng Tesseract chỉ 0,03 điểm, tức</w:t>
      </w:r>
      <w:r>
        <w:t xml:space="preserve"> </w:t>
      </w:r>
      <w:r>
        <w:rPr>
          <w:b/>
          <w:bCs/>
        </w:rPr>
        <w:t xml:space="preserve">điều kiện cần nhưng chưa đủ</w:t>
      </w:r>
      <w:r>
        <w:t xml:space="preserve">.</w:t>
      </w:r>
      <w:r>
        <w:t xml:space="preserve"> </w:t>
      </w:r>
      <w:r>
        <w:rPr>
          <w:i/>
          <w:iCs/>
        </w:rPr>
        <w:t xml:space="preserve">(4)</w:t>
      </w:r>
      <w:r>
        <w:t xml:space="preserve"> </w:t>
      </w:r>
      <w:r>
        <w:rPr>
          <w:b/>
          <w:bCs/>
        </w:rPr>
        <w:t xml:space="preserve">Bộ nhận màu nền đạt 97,89%</w:t>
      </w:r>
      <w:r>
        <w:t xml:space="preserve"> </w:t>
      </w:r>
      <w:r>
        <w:t xml:space="preserve">trên 1.565 ảnh có nhãn, cung cấp bằng chứng mà chuỗi ký tự không mang được.</w:t>
      </w:r>
      <w:r>
        <w:t xml:space="preserve"> </w:t>
      </w:r>
      <w:r>
        <w:rPr>
          <w:i/>
          <w:iCs/>
        </w:rPr>
        <w:t xml:space="preserve">(5)</w:t>
      </w:r>
      <w:r>
        <w:t xml:space="preserve"> </w:t>
      </w:r>
      <w:r>
        <w:rPr>
          <w:b/>
          <w:bCs/>
        </w:rPr>
        <w:t xml:space="preserve">Tối ưu tầng chạy đưa NFR-P1 từ chỉ-đạt-sàn lên vượt mục tiêu</w:t>
      </w:r>
      <w:r>
        <w:t xml:space="preserve"> </w:t>
      </w:r>
      <w:r>
        <w:t xml:space="preserve">— p95 từ 1.143,10 xuống 509,76 ms mà</w:t>
      </w:r>
      <w:r>
        <w:t xml:space="preserve"> </w:t>
      </w:r>
      <w:r>
        <w:rPr>
          <w:b/>
          <w:bCs/>
        </w:rPr>
        <w:t xml:space="preserve">không đụng một trọng số nào</w:t>
      </w:r>
      <w:r>
        <w:t xml:space="preserve">, và điều đáng nói là</w:t>
      </w:r>
      <w:r>
        <w:t xml:space="preserve"> </w:t>
      </w:r>
      <w:r>
        <w:rPr>
          <w:b/>
          <w:bCs/>
        </w:rPr>
        <w:t xml:space="preserve">mọi chỉ số độ chính xác đứng yên tuyệt đối</w:t>
      </w:r>
      <w:r>
        <w:t xml:space="preserve">, bằng chứng cho thấy phép tối ưu không đánh đổi gì.</w:t>
      </w:r>
      <w:r>
        <w:t xml:space="preserve"> </w:t>
      </w:r>
      <w:r>
        <w:rPr>
          <w:i/>
          <w:iCs/>
        </w:rPr>
        <w:t xml:space="preserve">(6)</w:t>
      </w:r>
      <w:r>
        <w:t xml:space="preserve"> </w:t>
      </w:r>
      <w:r>
        <w:rPr>
          <w:b/>
          <w:bCs/>
        </w:rPr>
        <w:t xml:space="preserve">Khử trùng lặp mờ cho chuỗi khung hình video</w:t>
      </w:r>
      <w:r>
        <w:t xml:space="preserve"> </w:t>
      </w:r>
      <w:r>
        <w:t xml:space="preserve">gom 17 trên 44 cách đọc về đúng một bản ghi mỗi xe, chọn bản giữ lại bằng</w:t>
      </w:r>
      <w:r>
        <w:t xml:space="preserve"> </w:t>
      </w:r>
      <w:r>
        <w:rPr>
          <w:b/>
          <w:bCs/>
        </w:rPr>
        <w:t xml:space="preserve">số khung bỏ phiếu</w:t>
      </w:r>
      <w:r>
        <w:t xml:space="preserve"> </w:t>
      </w:r>
      <w:r>
        <w:t xml:space="preserve">chứ không bằng độ tin cậy.</w:t>
      </w:r>
    </w:p>
    <w:p>
      <w:pPr>
        <w:pStyle w:val="BodyText"/>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lượt tinh chỉnh bộ nhận dạng không thắng model gốc ở chế độ vận hành — được ghi lại thay vì bỏ đi (Bảng 6.2).</w:t>
      </w:r>
    </w:p>
    <w:bookmarkEnd w:id="182"/>
    <w:bookmarkStart w:id="183"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3"/>
    <w:bookmarkStart w:id="184"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4"/>
    <w:bookmarkStart w:id="185"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5"/>
    <w:bookmarkEnd w:id="186"/>
    <w:bookmarkStart w:id="206"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7">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8">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9">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0">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1">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2">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3">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4">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6">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7">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9">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0">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1">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2">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3">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5">
        <w:r>
          <w:rPr>
            <w:rStyle w:val="Hyperlink"/>
          </w:rPr>
          <w:t xml:space="preserve">https://onnxruntime.ai/docs/performance/tune-performance/threading.html</w:t>
        </w:r>
      </w:hyperlink>
      <w:r>
        <w:t xml:space="preserve"> </w:t>
      </w:r>
      <w:r>
        <w:t xml:space="preserve">(truy cập ngày 2026-07-19).</w:t>
      </w:r>
    </w:p>
    <w:p>
      <w:r>
        <w:br w:type="page"/>
      </w:r>
    </w:p>
    <w:bookmarkEnd w:id="206"/>
    <w:bookmarkStart w:id="216" w:name="phụ-lục"/>
    <w:p>
      <w:pPr>
        <w:pStyle w:val="Heading1"/>
      </w:pPr>
      <w:r>
        <w:t xml:space="preserve">PHỤ LỤC</w:t>
      </w:r>
    </w:p>
    <w:bookmarkStart w:id="207"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7"/>
    <w:bookmarkStart w:id="208"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8"/>
    <w:bookmarkStart w:id="209"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09"/>
    <w:bookmarkStart w:id="210"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10"/>
    <w:bookmarkStart w:id="211"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11"/>
    <w:bookmarkStart w:id="212"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12"/>
    <w:bookmarkStart w:id="213"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13"/>
    <w:bookmarkStart w:id="214"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14"/>
    <w:bookmarkStart w:id="215"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122" Target="media/rId122.png"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142" Target="media/rId142.png" /><Relationship Type="http://schemas.openxmlformats.org/officeDocument/2006/relationships/image" Id="rId110" Target="media/rId110.png" /><Relationship Type="http://schemas.openxmlformats.org/officeDocument/2006/relationships/hyperlink" Id="rId160" Target="../reports/41-measured-confusion-tables.md" TargetMode="External" /><Relationship Type="http://schemas.openxmlformats.org/officeDocument/2006/relationships/hyperlink" Id="rId203" Target="http://www.paddleocr.ai/main/en/version3.x/module_usage/text_recognition.html" TargetMode="External" /><Relationship Type="http://schemas.openxmlformats.org/officeDocument/2006/relationships/hyperlink" Id="rId187" Target="https://arxiv.org/abs/2201.00267" TargetMode="External" /><Relationship Type="http://schemas.openxmlformats.org/officeDocument/2006/relationships/hyperlink" Id="rId201" Target="https://arxiv.org/abs/2604.22506" TargetMode="External" /><Relationship Type="http://schemas.openxmlformats.org/officeDocument/2006/relationships/hyperlink" Id="rId194" Target="https://arxiv.org/html/2603.24373v1" TargetMode="External" /><Relationship Type="http://schemas.openxmlformats.org/officeDocument/2006/relationships/hyperlink" Id="rId191" Target="https://bocongan.gov.vn/chinh-sach-phap-luat/bai-viet/nhan-dien-mau-sac-seri-ky-hieu-bien-so-xe-cua-co-quan-to-chuc-ca-nhan-tu-01012025-d1-t1617" TargetMode="External" /><Relationship Type="http://schemas.openxmlformats.org/officeDocument/2006/relationships/hyperlink" Id="rId188" Target="https://chinhphu.vn/?pageid=27160&amp;docid=211945&amp;classid=1&amp;orggroupid=4" TargetMode="External" /><Relationship Type="http://schemas.openxmlformats.org/officeDocument/2006/relationships/hyperlink" Id="rId189" Target="https://congbao.chinhphu.vn/van-ban/thong-tu-so-51-2025-tt-bca-45356.htm" TargetMode="External" /><Relationship Type="http://schemas.openxmlformats.org/officeDocument/2006/relationships/hyperlink" Id="rId193" Target="https://docs.ultralytics.com/models/yolo11/" TargetMode="External" /><Relationship Type="http://schemas.openxmlformats.org/officeDocument/2006/relationships/hyperlink" Id="rId202" Target="https://docs.ultralytics.com/models/yolo26/" TargetMode="External" /><Relationship Type="http://schemas.openxmlformats.org/officeDocument/2006/relationships/hyperlink" Id="rId197" Target="https://docs.ultralytics.com/models/yolov8/" TargetMode="External" /><Relationship Type="http://schemas.openxmlformats.org/officeDocument/2006/relationships/hyperlink" Id="rId198" Target="https://github.com/ultralytics/ultralytics/blob/main/ultralytics/nn/modules/block.py" TargetMode="External" /><Relationship Type="http://schemas.openxmlformats.org/officeDocument/2006/relationships/hyperlink" Id="rId200" Target="https://jcosine.if.unram.ac.id/index.php/jcosine/article/view/656" TargetMode="External" /><Relationship Type="http://schemas.openxmlformats.org/officeDocument/2006/relationships/hyperlink" Id="rId199" Target="https://jurnal.polibatam.ac.id/index.php/JAIC/article/view/11484" TargetMode="External" /><Relationship Type="http://schemas.openxmlformats.org/officeDocument/2006/relationships/hyperlink" Id="rId192" Target="https://luatvietnam.vn/giao-thong/thong-tu-169-2021-tt-bqp-bo-quoc-phong-216143-d1.html" TargetMode="External" /><Relationship Type="http://schemas.openxmlformats.org/officeDocument/2006/relationships/hyperlink" Id="rId190" Target="https://mps.gov.vn/chinh-sach-phap-luat/bai-viet/quy-chuan-ky-thuat-quoc-gia-ve-bien-so-xe-d1-t1592" TargetMode="External" /><Relationship Type="http://schemas.openxmlformats.org/officeDocument/2006/relationships/hyperlink" Id="rId205" Target="https://onnxruntime.ai/docs/performance/tune-performance/threading.html" TargetMode="External" /><Relationship Type="http://schemas.openxmlformats.org/officeDocument/2006/relationships/hyperlink" Id="rId196" Target="https://pmc.ncbi.nlm.nih.gov/articles/PMC12639091/" TargetMode="External" /><Relationship Type="http://schemas.openxmlformats.org/officeDocument/2006/relationships/hyperlink" Id="rId204" Target="https://raw.githubusercontent.com/ultralytics/ultralytics/main/docs/en/integrations/openvino.md" TargetMode="External" /><Relationship Type="http://schemas.openxmlformats.org/officeDocument/2006/relationships/hyperlink" Id="rId195"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0" Target="../reports/41-measured-confusion-tables.md" TargetMode="External" /><Relationship Type="http://schemas.openxmlformats.org/officeDocument/2006/relationships/hyperlink" Id="rId203" Target="http://www.paddleocr.ai/main/en/version3.x/module_usage/text_recognition.html" TargetMode="External" /><Relationship Type="http://schemas.openxmlformats.org/officeDocument/2006/relationships/hyperlink" Id="rId187" Target="https://arxiv.org/abs/2201.00267" TargetMode="External" /><Relationship Type="http://schemas.openxmlformats.org/officeDocument/2006/relationships/hyperlink" Id="rId201" Target="https://arxiv.org/abs/2604.22506" TargetMode="External" /><Relationship Type="http://schemas.openxmlformats.org/officeDocument/2006/relationships/hyperlink" Id="rId194" Target="https://arxiv.org/html/2603.24373v1" TargetMode="External" /><Relationship Type="http://schemas.openxmlformats.org/officeDocument/2006/relationships/hyperlink" Id="rId191" Target="https://bocongan.gov.vn/chinh-sach-phap-luat/bai-viet/nhan-dien-mau-sac-seri-ky-hieu-bien-so-xe-cua-co-quan-to-chuc-ca-nhan-tu-01012025-d1-t1617" TargetMode="External" /><Relationship Type="http://schemas.openxmlformats.org/officeDocument/2006/relationships/hyperlink" Id="rId188" Target="https://chinhphu.vn/?pageid=27160&amp;docid=211945&amp;classid=1&amp;orggroupid=4" TargetMode="External" /><Relationship Type="http://schemas.openxmlformats.org/officeDocument/2006/relationships/hyperlink" Id="rId189" Target="https://congbao.chinhphu.vn/van-ban/thong-tu-so-51-2025-tt-bca-45356.htm" TargetMode="External" /><Relationship Type="http://schemas.openxmlformats.org/officeDocument/2006/relationships/hyperlink" Id="rId193" Target="https://docs.ultralytics.com/models/yolo11/" TargetMode="External" /><Relationship Type="http://schemas.openxmlformats.org/officeDocument/2006/relationships/hyperlink" Id="rId202" Target="https://docs.ultralytics.com/models/yolo26/" TargetMode="External" /><Relationship Type="http://schemas.openxmlformats.org/officeDocument/2006/relationships/hyperlink" Id="rId197" Target="https://docs.ultralytics.com/models/yolov8/" TargetMode="External" /><Relationship Type="http://schemas.openxmlformats.org/officeDocument/2006/relationships/hyperlink" Id="rId198" Target="https://github.com/ultralytics/ultralytics/blob/main/ultralytics/nn/modules/block.py" TargetMode="External" /><Relationship Type="http://schemas.openxmlformats.org/officeDocument/2006/relationships/hyperlink" Id="rId200" Target="https://jcosine.if.unram.ac.id/index.php/jcosine/article/view/656" TargetMode="External" /><Relationship Type="http://schemas.openxmlformats.org/officeDocument/2006/relationships/hyperlink" Id="rId199" Target="https://jurnal.polibatam.ac.id/index.php/JAIC/article/view/11484" TargetMode="External" /><Relationship Type="http://schemas.openxmlformats.org/officeDocument/2006/relationships/hyperlink" Id="rId192" Target="https://luatvietnam.vn/giao-thong/thong-tu-169-2021-tt-bqp-bo-quoc-phong-216143-d1.html" TargetMode="External" /><Relationship Type="http://schemas.openxmlformats.org/officeDocument/2006/relationships/hyperlink" Id="rId190" Target="https://mps.gov.vn/chinh-sach-phap-luat/bai-viet/quy-chuan-ky-thuat-quoc-gia-ve-bien-so-xe-d1-t1592" TargetMode="External" /><Relationship Type="http://schemas.openxmlformats.org/officeDocument/2006/relationships/hyperlink" Id="rId205" Target="https://onnxruntime.ai/docs/performance/tune-performance/threading.html" TargetMode="External" /><Relationship Type="http://schemas.openxmlformats.org/officeDocument/2006/relationships/hyperlink" Id="rId196" Target="https://pmc.ncbi.nlm.nih.gov/articles/PMC12639091/" TargetMode="External" /><Relationship Type="http://schemas.openxmlformats.org/officeDocument/2006/relationships/hyperlink" Id="rId204" Target="https://raw.githubusercontent.com/ultralytics/ultralytics/main/docs/en/integrations/openvino.md" TargetMode="External" /><Relationship Type="http://schemas.openxmlformats.org/officeDocument/2006/relationships/hyperlink" Id="rId195"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2026-08-31T04:30:16Z</dcterms:created>
  <dcterms:modified xsi:type="dcterms:W3CDTF">2026-08-31T04:30:16Z</dcterms:modified>
</cp:coreProperties>
</file>

<file path=docProps/custom.xml><?xml version="1.0" encoding="utf-8"?>
<Properties xmlns="http://schemas.openxmlformats.org/officeDocument/2006/custom-properties" xmlns:vt="http://schemas.openxmlformats.org/officeDocument/2006/docPropsVTypes"/>
</file>