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gãy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Thắng dứt khoát trên chính ảnh biển số Việt Nam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tài liệu công khai thực tế nghiêng về EasyOCR, và phép đo trên 2.801 biển số Việt Nam ở mục 4.3.4 nói ngược lại.</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d4500a91c701e38aaeed5d98aaca5531ae1e06b"/>
    <w:p>
      <w:pPr>
        <w:pStyle w:val="Heading2"/>
      </w:pPr>
      <w:r>
        <w:t xml:space="preserve">2.4. Nhận dạng ký tự và điểm gãy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engine OCR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phóng đại, tăng cường tương phản, khử nhiễu, nắn hình, phân loại bố cục, tách và ghép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thật trong đồ án —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thẳng thắn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mua được gì.</w:t>
      </w:r>
    </w:p>
    <w:p>
      <w:pPr>
        <w:pStyle w:val="BodyText"/>
      </w:pPr>
      <w:r>
        <w:t xml:space="preserve">Thứ tự: cắt vùng → phóng đại → thang xám → CLAHE → lọc song phương → ước lượng số dòng →</w:t>
      </w:r>
      <w:r>
        <w:t xml:space="preserve"> </w:t>
      </w:r>
      <w:r>
        <w:rPr>
          <w:i/>
          <w:iCs/>
        </w:rPr>
        <w:t xml:space="preserve">(nếu hai dòng)</w:t>
      </w:r>
      <w:r>
        <w:t xml:space="preserve"> </w:t>
      </w:r>
      <w:r>
        <w:t xml:space="preserve">tách hai nửa → ghép ngang → nhận dạng.</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một biển một dòng chụp nghiêng lớn có thể cho tỉ lệ rơi vào khoảng này. Đây chính là lý do bước nắn hình ở mục 3.4.6 chạy</w:t>
      </w:r>
      <w:r>
        <w:t xml:space="preserve"> </w:t>
      </w:r>
      <w:r>
        <w:rPr>
          <w:b/>
          <w:bCs/>
        </w:rPr>
        <w:t xml:space="preserve">trước</w:t>
      </w:r>
      <w:r>
        <w:t xml:space="preserve"> </w:t>
      </w:r>
      <w:r>
        <w:t xml:space="preserve">bước ước lượng số dòng.</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tỉ lệ khung hình đo được sai lệch (ảnh hưởng mục 3.4.3), và ký tự bị biến dạng phối cảnh. Hệ thống áp một bước</w:t>
      </w:r>
      <w:r>
        <w:t xml:space="preserve"> </w:t>
      </w:r>
      <w:r>
        <w:rPr>
          <w:b/>
          <w:bCs/>
        </w:rPr>
        <w:t xml:space="preserve">nắn hình</w:t>
      </w:r>
      <w:r>
        <w:t xml:space="preserve"> </w:t>
      </w:r>
      <w:r>
        <w:t xml:space="preserve">— ước lượng góc nghiêng rồi hiệu chỉnh —</w:t>
      </w:r>
      <w:r>
        <w:t xml:space="preserve"> </w:t>
      </w:r>
      <w:r>
        <w:rPr>
          <w:b/>
          <w:bCs/>
        </w:rPr>
        <w:t xml:space="preserve">trước</w:t>
      </w:r>
      <w:r>
        <w:t xml:space="preserve"> </w:t>
      </w:r>
      <w:r>
        <w:t xml:space="preserve">bước ước lượng số dòng, kèm một bước giãn theo chiều dọc cho biển bị nén.</w:t>
      </w:r>
    </w:p>
    <w:p>
      <w:pPr>
        <w:pStyle w:val="BodyText"/>
      </w:pPr>
      <w:r>
        <w:t xml:space="preserve">Các bước này được tổ chức thành một</w:t>
      </w:r>
      <w:r>
        <w:t xml:space="preserve"> </w:t>
      </w:r>
      <w:r>
        <w:rPr>
          <w:b/>
          <w:bCs/>
        </w:rPr>
        <w:t xml:space="preserve">bậc thang thử lại</w:t>
      </w:r>
      <w:r>
        <w:t xml:space="preserve">: chúng chỉ chạy</w:t>
      </w:r>
      <w:r>
        <w:t xml:space="preserve"> </w:t>
      </w:r>
      <w:r>
        <w:rPr>
          <w:b/>
          <w:bCs/>
        </w:rPr>
        <w:t xml:space="preserve">sau khi lần đọc đầu tiên đã thất bại</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 không thể làm hỏng một biển vốn đã đọc đúng.</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4"/>
        </w:numPr>
      </w:pPr>
      <w:r>
        <w:t xml:space="preserve">chuỗi 8 ký tự (ô tô, seri 5 chữ số):</w:t>
      </w:r>
      <w:r>
        <w:t xml:space="preserve"> </w:t>
      </w:r>
      <w:r>
        <w:rPr>
          <w:rStyle w:val="VerbatimChar"/>
        </w:rPr>
        <w:t xml:space="preserve">DDLDDDDD</w:t>
      </w:r>
    </w:p>
    <w:p>
      <w:pPr>
        <w:pStyle w:val="Compact"/>
        <w:numPr>
          <w:ilvl w:val="0"/>
          <w:numId w:val="1004"/>
        </w:numPr>
      </w:pPr>
      <w:r>
        <w:t xml:space="preserve">chuỗi 7 ký tự (ô tô, seri 4 chữ số kiểu cũ):</w:t>
      </w:r>
      <w:r>
        <w:t xml:space="preserve"> </w:t>
      </w:r>
      <w:r>
        <w:rPr>
          <w:rStyle w:val="VerbatimChar"/>
        </w:rPr>
        <w:t xml:space="preserve">DDLDDDD</w:t>
      </w:r>
    </w:p>
    <w:p>
      <w:pPr>
        <w:pStyle w:val="Compact"/>
        <w:numPr>
          <w:ilvl w:val="0"/>
          <w:numId w:val="1004"/>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5"/>
        </w:numPr>
      </w:pPr>
      <w:r>
        <w:rPr>
          <w:rStyle w:val="VerbatimChar"/>
        </w:rPr>
        <w:t xml:space="preserve">O → 0</w:t>
      </w:r>
      <w:r>
        <w:t xml:space="preserve"> </w:t>
      </w:r>
      <w:r>
        <w:t xml:space="preserve">tại vị trí chữ số là hợp lý;</w:t>
      </w:r>
    </w:p>
    <w:p>
      <w:pPr>
        <w:pStyle w:val="Compact"/>
        <w:numPr>
          <w:ilvl w:val="0"/>
          <w:numId w:val="1005"/>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Kiến trúc phân tầng và chiều phụ thuộc</w:t>
      </w:r>
    </w:p>
    <w:p>
      <w:pPr>
        <w:pStyle w:val="BodyText"/>
      </w:pPr>
      <w:r>
        <w:t xml:space="preserve">Hệ thống gồm</w:t>
      </w:r>
      <w:r>
        <w:t xml:space="preserve"> </w:t>
      </w:r>
      <w:r>
        <w:rPr>
          <w:b/>
          <w:bCs/>
        </w:rPr>
        <w:t xml:space="preserve">backend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5"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Toàn bộ số liệu đo trên</w:t>
      </w:r>
      <w:r>
        <w:t xml:space="preserve"> </w:t>
      </w:r>
      <w:r>
        <w:rPr>
          <w:b/>
          <w:bCs/>
        </w:rPr>
        <w:t xml:space="preserve">một máy trạm duy nhất</w:t>
      </w:r>
      <w:r>
        <w:t xml:space="preserve">: Windows 11 Pro; Intel Core i5-14600K,</w:t>
      </w:r>
      <w:r>
        <w:t xml:space="preserve"> </w:t>
      </w:r>
      <w:r>
        <w:rPr>
          <w:b/>
          <w:bCs/>
        </w:rPr>
        <w:t xml:space="preserve">14 nhân vật lý / 20 nhân logic</w:t>
      </w:r>
      <w:r>
        <w:t xml:space="preserve">; RAM 31,77 GiB;</w:t>
      </w:r>
      <w:r>
        <w:t xml:space="preserve"> </w:t>
      </w:r>
      <w:r>
        <w:rPr>
          <w:b/>
          <w:bCs/>
        </w:rPr>
        <w:t xml:space="preserve">không có GPU CUDA</w:t>
      </w:r>
      <w:r>
        <w:t xml:space="preserve">; Python 3.13.12. Mọi suy luận và huấn luyện chạy trên CPU. Đây là</w:t>
      </w:r>
      <w:r>
        <w:t xml:space="preserve"> </w:t>
      </w:r>
      <w:r>
        <w:rPr>
          <w:b/>
          <w:bCs/>
        </w:rPr>
        <w:t xml:space="preserve">tiền tố ngầm định của mọi con số hiệu năng ở mục 4.5</w:t>
      </w:r>
      <w:r>
        <w:t xml:space="preserve"> </w:t>
      </w:r>
      <w:r>
        <w:t xml:space="preserve">— so sánh chúng với FPS đo trên GPU là không hợp lệ.</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corpus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32c869b544db030deb425bd3e0946cad398dd79"/>
    <w:p>
      <w:pPr>
        <w:pStyle w:val="Heading3"/>
      </w:pPr>
      <w:r>
        <w:t xml:space="preserve">4.3.4. So sánh ba engine nhận dạng trên cùng một tầng bao quanh</w:t>
      </w:r>
    </w:p>
    <w:p>
      <w:pPr>
        <w:pStyle w:val="FirstParagraph"/>
      </w:pPr>
      <w:r>
        <w:t xml:space="preserve">Câu hỏi: chọn PaddleOCR có đúng không, khi tài liệu công khai thực tế nghiêng về EasyOCR?</w:t>
      </w:r>
    </w:p>
    <w:p>
      <w:pPr>
        <w:pStyle w:val="BodyText"/>
      </w:pPr>
      <w:r>
        <w:rPr>
          <w:b/>
          <w:bCs/>
        </w:rPr>
        <w:t xml:space="preserve">Thiết kế thí nghiệm.</w:t>
      </w:r>
      <w:r>
        <w:t xml:space="preserve"> </w:t>
      </w:r>
      <w:r>
        <w:t xml:space="preserve">Cả ba engine chạy trong</w:t>
      </w:r>
      <w:r>
        <w:t xml:space="preserve"> </w:t>
      </w:r>
      <w:r>
        <w:rPr>
          <w:b/>
          <w:bCs/>
        </w:rPr>
        <w:t xml:space="preserve">đúng một tầng bao quanh</w:t>
      </w:r>
      <w:r>
        <w:t xml:space="preserve"> </w:t>
      </w:r>
      <w:r>
        <w:t xml:space="preserve">— sao đúng chuỗi bước xử lý ảnh của bản giao hàng — trên</w:t>
      </w:r>
      <w:r>
        <w:t xml:space="preserve"> </w:t>
      </w:r>
      <w:r>
        <w:rPr>
          <w:b/>
          <w:bCs/>
        </w:rPr>
        <w:t xml:space="preserve">cùng một mảng ảnh đã chuẩn bị xong</w:t>
      </w:r>
      <w:r>
        <w:t xml:space="preserve">; khác biệt duy nhất còn lại là engine.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engine mà ở tầng xử lý ảnh bao quanh nó</w:t>
      </w:r>
      <w:r>
        <w:t xml:space="preserve"> </w:t>
      </w:r>
      <w:r>
        <w:t xml:space="preserve">— so sánh ba engine với ba tầng bao quanh khác nhau là đo tầng bao quanh chứ không đo engine.</w:t>
      </w:r>
    </w:p>
    <w:p>
      <w:pPr>
        <w:pStyle w:val="BodyText"/>
      </w:pPr>
      <w:r>
        <w:rPr>
          <w:b/>
          <w:bCs/>
        </w:rPr>
        <w:t xml:space="preserve">Bảng 4.7.</w:t>
      </w:r>
      <w:r>
        <w:t xml:space="preserve"> </w:t>
      </w:r>
      <w:r>
        <w:t xml:space="preserve">So sánh ba engine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thắng dứt khoát</w:t>
      </w:r>
      <w:r>
        <w:t xml:space="preserve"> </w:t>
      </w:r>
      <w:r>
        <w:t xml:space="preserve">— 68,87%, hơn EasyOCR 54,59 điểm và hơn Tesseract 58,59 điểm, khoảng cách quá lớn để quy cho nhiễu.</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bất ngờ nhất — bước tách-ghép KHÔNG độc lập engine: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Engine</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engine — một khẳng định mạnh hơn nhiều.</w:t>
      </w:r>
      <w:r>
        <w:t xml:space="preserve"> </w:t>
      </w:r>
      <w:r>
        <w:rPr>
          <w:b/>
          <w:bCs/>
        </w:rPr>
        <w:t xml:space="preserve">Dữ liệu không cho phép nói thế.</w:t>
      </w:r>
      <w:r>
        <w:t xml:space="preserve"> </w:t>
      </w:r>
      <w:r>
        <w:t xml:space="preserve">Phát biểu đúng là: tách-rồi-ghép-ngang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engine.</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đắt hơn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mua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giao hàng)</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nút thắt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1"/>
    <w:bookmarkEnd w:id="92"/>
    <w:bookmarkStart w:id="93"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bookmarkEnd w:id="93"/>
    <w:bookmarkStart w:id="94"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4"/>
    <w:bookmarkEnd w:id="95"/>
    <w:bookmarkStart w:id="100" w:name="chương-5-kết-luận-và-hướng-phát-triển"/>
    <w:p>
      <w:pPr>
        <w:pStyle w:val="Heading1"/>
      </w:pPr>
      <w:r>
        <w:t xml:space="preserve">CHƯƠNG 5. KẾT LUẬN VÀ HƯỚNG PHÁT TRIỂN</w:t>
      </w:r>
    </w:p>
    <w:bookmarkStart w:id="96"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tách-rồi-ghép-ngang mua 34,92 điểm cho PaddleOCR nhưng chỉ 0,03 điểm cho Tesseract.</w:t>
      </w:r>
      <w:r>
        <w:t xml:space="preserve"> </w:t>
      </w:r>
      <w:r>
        <w:t xml:space="preserve">Đây là kết quả trái kỳ vọng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engine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mua 0 biển — được ghi lại thay vì bỏ đi.</w:t>
      </w:r>
    </w:p>
    <w:bookmarkEnd w:id="96"/>
    <w:bookmarkStart w:id="97"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97"/>
    <w:bookmarkStart w:id="98"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nút thắt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98"/>
    <w:bookmarkStart w:id="99"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mua</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mua</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99"/>
    <w:bookmarkEnd w:id="100"/>
    <w:bookmarkStart w:id="11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1">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2">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3">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4">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5">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0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08">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09">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0"/>
    <w:bookmarkStart w:id="119" w:name="phụ-lục"/>
    <w:p>
      <w:pPr>
        <w:pStyle w:val="Heading1"/>
      </w:pPr>
      <w:r>
        <w:t xml:space="preserve">PHỤ LỤC</w:t>
      </w:r>
    </w:p>
    <w:bookmarkStart w:id="111" w:name="X83a44054771301632e631cad76f68aab3cb663f"/>
    <w:p>
      <w:pPr>
        <w:pStyle w:val="Heading2"/>
      </w:pPr>
      <w:r>
        <w:t xml:space="preserve">Phụ lục A.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p>
      <w:pPr>
        <w:pStyle w:val="BodyText"/>
      </w:pPr>
      <w:r>
        <w:rPr>
          <w:b/>
          <w:bCs/>
        </w:rPr>
        <w:t xml:space="preserve">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1"/>
    <w:bookmarkStart w:id="118" w:name="phụ-lục-b-hướng-dẫn-cài-đặt-và-chạy"/>
    <w:p>
      <w:pPr>
        <w:pStyle w:val="Heading2"/>
      </w:pPr>
      <w:r>
        <w:t xml:space="preserve">Phụ lục B. Hướng dẫn cài đặt và chạy</w:t>
      </w:r>
    </w:p>
    <w:bookmarkStart w:id="114"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6"/>
        </w:numPr>
      </w:pPr>
      <w:r>
        <w:t xml:space="preserve">Giao diện web:</w:t>
      </w:r>
      <w:r>
        <w:t xml:space="preserve"> </w:t>
      </w:r>
      <w:hyperlink r:id="rId112">
        <w:r>
          <w:rPr>
            <w:rStyle w:val="Hyperlink"/>
          </w:rPr>
          <w:t xml:space="preserve">http://localhost:5173</w:t>
        </w:r>
      </w:hyperlink>
    </w:p>
    <w:p>
      <w:pPr>
        <w:pStyle w:val="Compact"/>
        <w:numPr>
          <w:ilvl w:val="0"/>
          <w:numId w:val="1006"/>
        </w:numPr>
      </w:pPr>
      <w:r>
        <w:t xml:space="preserve">Tài liệu API tự sinh:</w:t>
      </w:r>
      <w:r>
        <w:t xml:space="preserve"> </w:t>
      </w:r>
      <w:hyperlink r:id="rId113">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14"/>
    <w:bookmarkStart w:id="115"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15"/>
    <w:bookmarkStart w:id="116"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16"/>
    <w:bookmarkStart w:id="117"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2" Target="http://localhost:5173" TargetMode="External" /><Relationship Type="http://schemas.openxmlformats.org/officeDocument/2006/relationships/hyperlink" Id="rId113" Target="http://localhost:5173/docs" TargetMode="External" /><Relationship Type="http://schemas.openxmlformats.org/officeDocument/2006/relationships/hyperlink" Id="rId102" Target="https://arxiv.org/abs/2201.00267" TargetMode="External" /><Relationship Type="http://schemas.openxmlformats.org/officeDocument/2006/relationships/hyperlink" Id="rId109" Target="https://arxiv.org/html/2603.24373v1" TargetMode="External" /><Relationship Type="http://schemas.openxmlformats.org/officeDocument/2006/relationships/hyperlink" Id="rId106" Target="https://bocongan.gov.vn/chinh-sach-phap-luat/bai-viet/nhan-dien-mau-sac-seri-ky-hieu-bien-so-xe-cua-co-quan-to-chuc-ca-nhan-tu-01012025-d1-t1617" TargetMode="External" /><Relationship Type="http://schemas.openxmlformats.org/officeDocument/2006/relationships/hyperlink" Id="rId103" Target="https://chinhphu.vn/?pageid=27160&amp;docid=211945&amp;classid=1&amp;orggroupid=4" TargetMode="External" /><Relationship Type="http://schemas.openxmlformats.org/officeDocument/2006/relationships/hyperlink" Id="rId104" Target="https://congbao.chinhphu.vn/van-ban/thong-tu-so-51-2025-tt-bca-45356.htm" TargetMode="External" /><Relationship Type="http://schemas.openxmlformats.org/officeDocument/2006/relationships/hyperlink" Id="rId101" Target="https://dantri.com.vn/thoi-su/viet-nam-co-77-trieu-xe-may-cu-1000-dan-co-770-nguoi-so-huu-xe-may-20241104141910472.htm" TargetMode="External" /><Relationship Type="http://schemas.openxmlformats.org/officeDocument/2006/relationships/hyperlink" Id="rId108" Target="https://docs.ultralytics.com/models/yolo11/" TargetMode="External" /><Relationship Type="http://schemas.openxmlformats.org/officeDocument/2006/relationships/hyperlink" Id="rId105" Target="https://mps.gov.vn/chinh-sach-phap-luat/bai-viet/quy-chuan-ky-thuat-quoc-gia-ve-bien-so-xe-d1-t1592" TargetMode="External" /><Relationship Type="http://schemas.openxmlformats.org/officeDocument/2006/relationships/hyperlink" Id="rId107"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2" Target="http://localhost:5173" TargetMode="External" /><Relationship Type="http://schemas.openxmlformats.org/officeDocument/2006/relationships/hyperlink" Id="rId113" Target="http://localhost:5173/docs" TargetMode="External" /><Relationship Type="http://schemas.openxmlformats.org/officeDocument/2006/relationships/hyperlink" Id="rId102" Target="https://arxiv.org/abs/2201.00267" TargetMode="External" /><Relationship Type="http://schemas.openxmlformats.org/officeDocument/2006/relationships/hyperlink" Id="rId109" Target="https://arxiv.org/html/2603.24373v1" TargetMode="External" /><Relationship Type="http://schemas.openxmlformats.org/officeDocument/2006/relationships/hyperlink" Id="rId106" Target="https://bocongan.gov.vn/chinh-sach-phap-luat/bai-viet/nhan-dien-mau-sac-seri-ky-hieu-bien-so-xe-cua-co-quan-to-chuc-ca-nhan-tu-01012025-d1-t1617" TargetMode="External" /><Relationship Type="http://schemas.openxmlformats.org/officeDocument/2006/relationships/hyperlink" Id="rId103" Target="https://chinhphu.vn/?pageid=27160&amp;docid=211945&amp;classid=1&amp;orggroupid=4" TargetMode="External" /><Relationship Type="http://schemas.openxmlformats.org/officeDocument/2006/relationships/hyperlink" Id="rId104" Target="https://congbao.chinhphu.vn/van-ban/thong-tu-so-51-2025-tt-bca-45356.htm" TargetMode="External" /><Relationship Type="http://schemas.openxmlformats.org/officeDocument/2006/relationships/hyperlink" Id="rId101" Target="https://dantri.com.vn/thoi-su/viet-nam-co-77-trieu-xe-may-cu-1000-dan-co-770-nguoi-so-huu-xe-may-20241104141910472.htm" TargetMode="External" /><Relationship Type="http://schemas.openxmlformats.org/officeDocument/2006/relationships/hyperlink" Id="rId108" Target="https://docs.ultralytics.com/models/yolo11/" TargetMode="External" /><Relationship Type="http://schemas.openxmlformats.org/officeDocument/2006/relationships/hyperlink" Id="rId105" Target="https://mps.gov.vn/chinh-sach-phap-luat/bai-viet/quy-chuan-ky-thuat-quoc-gia-ve-bien-so-xe-d1-t1592" TargetMode="External" /><Relationship Type="http://schemas.openxmlformats.org/officeDocument/2006/relationships/hyperlink" Id="rId107"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2026-08-10T14:29:45Z</dcterms:created>
  <dcterms:modified xsi:type="dcterms:W3CDTF">2026-08-10T14:29:45Z</dcterms:modified>
</cp:coreProperties>
</file>

<file path=docProps/custom.xml><?xml version="1.0" encoding="utf-8"?>
<Properties xmlns="http://schemas.openxmlformats.org/officeDocument/2006/custom-properties" xmlns:vt="http://schemas.openxmlformats.org/officeDocument/2006/docPropsVTypes"/>
</file>