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4.png" ContentType="image/png"/>
  <Override PartName="/word/media/rId56.png" ContentType="image/png"/>
  <Override PartName="/word/media/rId52.png" ContentType="image/png"/>
  <Override PartName="/word/media/rId87.png" ContentType="image/png"/>
  <Override PartName="/word/media/rId92.png" ContentType="image/png"/>
  <Override PartName="/word/media/rId111.png" ContentType="image/png"/>
  <Override PartName="/word/media/rId79.png" ContentType="image/png"/>
  <Override PartName="/word/media/rId100.png" ContentType="image/png"/>
  <Override PartName="/word/media/rId118.png" ContentType="image/png"/>
  <Override PartName="/word/media/rId167.png" ContentType="image/png"/>
  <Override PartName="/word/media/rId163.png" ContentType="image/png"/>
  <Override PartName="/word/media/rId138.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rPr>
          <w:b/>
          <w:bCs/>
        </w:rPr>
        <w:t xml:space="preserve">(b) Căn cứ pháp lý và cấu trúc chuỗi ký tự là đặc thù quốc gia.</w:t>
      </w:r>
      <w:r>
        <w:t xml:space="preserve"> </w:t>
      </w:r>
      <w:r>
        <w:t xml:space="preserve">Biển số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w:t>
      </w:r>
      <w:r>
        <w:t xml:space="preserve"> </w:t>
      </w:r>
      <w:r>
        <w:t xml:space="preserve">[4]</w:t>
      </w:r>
      <w:r>
        <w:t xml:space="preserve"> </w:t>
      </w:r>
      <w:r>
        <w:t xml:space="preserve">và</w:t>
      </w:r>
      <w:r>
        <w:t xml:space="preserve"> </w:t>
      </w:r>
      <w:r>
        <w:rPr>
          <w:b/>
          <w:bCs/>
        </w:rPr>
        <w:t xml:space="preserve">TT 51/2025</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i/>
          <w:iCs/>
        </w:rPr>
        <w:t xml:space="preserve">(Nhiều tài liệu trong nước vẫn viện dẫn TT 24/2023 — đã hết hiệu lực từ 01/01/2025.)</w:t>
      </w:r>
      <w:r>
        <w:t xml:space="preserve"> </w:t>
      </w:r>
      <w:r>
        <w:t xml:space="preserve">Ba đặc thù sau</w:t>
      </w:r>
      <w:r>
        <w:t xml:space="preserve"> </w:t>
      </w:r>
      <w:r>
        <w:rPr>
          <w:b/>
          <w:bCs/>
        </w:rPr>
        <w:t xml:space="preserve">không học được từ dữ liệu nước ngoài</w:t>
      </w:r>
      <w:r>
        <w:t xml:space="preserve">.</w:t>
      </w:r>
      <w:r>
        <w:t xml:space="preserve"> </w:t>
      </w:r>
      <w:r>
        <w:rPr>
          <w:b/>
          <w:bCs/>
        </w:rPr>
        <w:t xml:space="preserve">(i) Tập ký tự sê-ri phụ thuộc vị trí:</w:t>
      </w:r>
      <w:r>
        <w:t xml:space="preserve"> </w:t>
      </w:r>
      <w:r>
        <w:t xml:space="preserve">vị trí thứ nhất 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còn vị trí thứ hai của biển mô tô thuộc</w:t>
      </w:r>
      <w:r>
        <w:t xml:space="preserve"> </w:t>
      </w:r>
      <w:r>
        <w:rPr>
          <w:b/>
          <w:bCs/>
        </w:rPr>
        <w:t xml:space="preserve">một tập 20 chữ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áp một danh sách phẳng chung sẽ</w:t>
      </w:r>
      <w:r>
        <w:t xml:space="preserve"> </w:t>
      </w:r>
      <w:r>
        <w:rPr>
          <w:b/>
          <w:bCs/>
        </w:rPr>
        <w:t xml:space="preserve">đọc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hậu xử lý không cứu được.</w:t>
      </w:r>
      <w:r>
        <w:t xml:space="preserve"> </w:t>
      </w:r>
      <w:r>
        <w:rPr>
          <w:b/>
          <w:bCs/>
        </w:rPr>
        <w:t xml:space="preserve">(ii) Mã địa phương hữu hạn, có lỗ hổng:</w:t>
      </w:r>
      <w:r>
        <w:t xml:space="preserve"> </w:t>
      </w:r>
      <w:r>
        <w:t xml:space="preserve">dải 11–99 chỉ</w:t>
      </w:r>
      <w:r>
        <w:t xml:space="preserve"> </w:t>
      </w:r>
      <w:r>
        <w:rPr>
          <w:b/>
          <w:bCs/>
        </w:rPr>
        <w:t xml:space="preserve">81 mã đang dùng</w:t>
      </w:r>
      <w:r>
        <w:t xml:space="preserve">, tám mã</w:t>
      </w:r>
      <w:r>
        <w:t xml:space="preserve"> </w:t>
      </w:r>
      <w:r>
        <w:rPr>
          <w:rStyle w:val="VerbatimChar"/>
        </w:rPr>
        <w:t xml:space="preserve">13, 42, 44, 45, 46, 87, 91, 96</w:t>
      </w:r>
      <w:r>
        <w:t xml:space="preserve"> </w:t>
      </w:r>
      <w:r>
        <w:t xml:space="preserve">chưa gán — nên</w:t>
      </w:r>
      <w:r>
        <w:t xml:space="preserve"> </w:t>
      </w:r>
      <w:r>
        <w:rPr>
          <w:rStyle w:val="VerbatimChar"/>
        </w:rPr>
        <w:t xml:space="preserve">\d{2}</w:t>
      </w:r>
      <w:r>
        <w:t xml:space="preserve"> </w:t>
      </w:r>
      <w:r>
        <w:t xml:space="preserve">cho qua tám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(một dòng); 165 × 330 →</w:t>
      </w:r>
      <w:r>
        <w:t xml:space="preserve"> </w:t>
      </w:r>
      <w:r>
        <w:rPr>
          <w:b/>
          <w:bCs/>
        </w:rPr>
        <w:t xml:space="preserve">2,000</w:t>
      </w:r>
      <w:r>
        <w:t xml:space="preserve"> </w:t>
      </w:r>
      <w:r>
        <w:t xml:space="preserve">và 140 × 190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3">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5.5),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38"/>
    <w:bookmarkStart w:id="43"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39"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39"/>
    <w:bookmarkStart w:id="40"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0"/>
    <w:bookmarkStart w:id="41"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1"/>
    <w:bookmarkStart w:id="42"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2"/>
    <w:bookmarkEnd w:id="43"/>
    <w:bookmarkStart w:id="50" w:name="Xb0509c4b89cd1a55c49548d43dfa3a371309dfc"/>
    <w:p>
      <w:pPr>
        <w:pStyle w:val="Heading2"/>
      </w:pPr>
      <w:r>
        <w:t xml:space="preserve">2.3. Cơ sở lý thuyết về phát hiện đối tượng</w:t>
      </w:r>
    </w:p>
    <w:bookmarkStart w:id="47"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w:t>
      </w:r>
    </w:p>
    <w:p>
      <w:pPr>
        <w:pStyle w:val="BodyText"/>
      </w:pPr>
      <w:r>
        <w:drawing>
          <wp:inline>
            <wp:extent cx="5334000" cy="1435553"/>
            <wp:effectExtent b="0" l="0" r="0" t="0"/>
            <wp:docPr descr="" title="" id="45" name="Picture"/>
            <a:graphic>
              <a:graphicData uri="http://schemas.openxmlformats.org/drawingml/2006/picture">
                <pic:pic>
                  <pic:nvPicPr>
                    <pic:cNvPr descr="figures/fig-ch2-05.png" id="46" name="Picture"/>
                    <pic:cNvPicPr>
                      <a:picLocks noChangeArrowheads="1" noChangeAspect="1"/>
                    </pic:cNvPicPr>
                  </pic:nvPicPr>
                  <pic:blipFill>
                    <a:blip r:embed="rId44"/>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47"/>
    <w:bookmarkStart w:id="48"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w:t>
      </w:r>
    </w:p>
    <w:p>
      <w:pPr>
        <w:pStyle w:val="BodyText"/>
      </w:pPr>
      <w:r>
        <w:rPr>
          <w:b/>
          <w:bCs/>
        </w:rPr>
        <w:t xml:space="preserve">Bảng 2.1.</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48"/>
    <w:bookmarkStart w:id="49"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w:t>
      </w:r>
      <w:r>
        <w:t xml:space="preserve"> </w:t>
      </w:r>
      <w:hyperlink r:id="rId13">
        <w:r>
          <w:rPr>
            <w:rStyle w:val="Hyperlink"/>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rPr>
          <w:t xml:space="preserve">mAP@0.5</w:t>
        </w:r>
      </w:hyperlink>
      <w:r>
        <w:t xml:space="preserve">:0.95 lấy</w:t>
      </w:r>
      <w:r>
        <w:t xml:space="preserve"> </w:t>
      </w:r>
      <w:r>
        <w:rPr>
          <w:b/>
          <w:bCs/>
        </w:rPr>
        <w:t xml:space="preserve">trung bình trên 10 ngưỡng</w:t>
      </w:r>
      <w:r>
        <w:t xml:space="preserve"> </w:t>
      </w:r>
      <w:r>
        <w:t xml:space="preserve">từ 0,5 đến 0,95 bước 0,05, nên trên cùng mô hình và cùng tập dữ liệu</w:t>
      </w:r>
      <w:r>
        <w:t xml:space="preserve"> </w:t>
      </w:r>
      <w:hyperlink r:id="rId13">
        <w:r>
          <w:rPr>
            <w:rStyle w:val="Hyperlink"/>
            <w:b/>
            <w:bCs/>
          </w:rPr>
          <w:t xml:space="preserve">mAP@0.5</w:t>
        </w:r>
      </w:hyperlink>
      <w:r>
        <w:rPr>
          <w:b/>
          <w:bCs/>
        </w:rPr>
        <w:t xml:space="preserve">:0.95 luôn ≤</w:t>
      </w:r>
      <w:r>
        <w:rPr>
          <w:b/>
          <w:bCs/>
        </w:rPr>
        <w:t xml:space="preserve"> </w:t>
      </w:r>
      <w:hyperlink r:id="rId13">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 nên đối chiếu</w:t>
      </w:r>
      <w:r>
        <w:t xml:space="preserve"> </w:t>
      </w:r>
      <w:hyperlink r:id="rId13">
        <w:r>
          <w:rPr>
            <w:rStyle w:val="Hyperlink"/>
          </w:rPr>
          <w:t xml:space="preserve">mAP@0.5</w:t>
        </w:r>
      </w:hyperlink>
      <w:r>
        <w:t xml:space="preserve"> </w:t>
      </w:r>
      <w:r>
        <w:t xml:space="preserve">của một nghiên cứu ALPR với</w:t>
      </w:r>
      <w:r>
        <w:t xml:space="preserve"> </w:t>
      </w:r>
      <w:hyperlink r:id="rId13">
        <w:r>
          <w:rPr>
            <w:rStyle w:val="Hyperlink"/>
          </w:rPr>
          <w:t xml:space="preserve">mAP@0.5</w:t>
        </w:r>
      </w:hyperlink>
      <w:r>
        <w:t xml:space="preserve">:0.95 trên COCO không có giá trị làm luận cứ kỹ thuật.</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3">
        <w:r>
          <w:rPr>
            <w:rStyle w:val="Hyperlink"/>
          </w:rPr>
          <w:t xml:space="preserve">mAP@0.5</w:t>
        </w:r>
      </w:hyperlink>
      <w:r>
        <w:t xml:space="preserve">:0.95; giá trị ở Chương 5.</w:t>
      </w:r>
    </w:p>
    <w:bookmarkEnd w:id="49"/>
    <w:bookmarkEnd w:id="50"/>
    <w:bookmarkStart w:id="61" w:name="X3b57c2622543092b9dcba0f4855aa826ad23e44"/>
    <w:p>
      <w:pPr>
        <w:pStyle w:val="Heading2"/>
      </w:pPr>
      <w:r>
        <w:t xml:space="preserve">2.4. Cơ sở lý thuyết về nhận dạng ký tự</w:t>
      </w:r>
    </w:p>
    <w:bookmarkStart w:id="5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2.2.</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1"/>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w:t>
      </w:r>
    </w:p>
    <w:p>
      <w:pPr>
        <w:pStyle w:val="BodyText"/>
      </w:pPr>
      <w:r>
        <w:drawing>
          <wp:inline>
            <wp:extent cx="5334000" cy="2884362"/>
            <wp:effectExtent b="0" l="0" r="0" t="0"/>
            <wp:docPr descr="" title="" id="53" name="Picture"/>
            <a:graphic>
              <a:graphicData uri="http://schemas.openxmlformats.org/drawingml/2006/picture">
                <pic:pic>
                  <pic:nvPicPr>
                    <pic:cNvPr descr="figures/fig-ch2-crnn-ctc.png" id="54" name="Picture"/>
                    <pic:cNvPicPr>
                      <a:picLocks noChangeArrowheads="1" noChangeAspect="1"/>
                    </pic:cNvPicPr>
                  </pic:nvPicPr>
                  <pic:blipFill>
                    <a:blip r:embed="rId5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2.3.</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70"/>
    <w:bookmarkStart w:id="74"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3.1.</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72"/>
    <w:bookmarkStart w:id="73"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w:t>
      </w:r>
    </w:p>
    <w:p>
      <w:pPr>
        <w:pStyle w:val="BodyText"/>
      </w:pPr>
      <w:r>
        <w:rPr>
          <w:b/>
          <w:bCs/>
        </w:rPr>
        <w:t xml:space="preserve">Bảng 3.2.</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73"/>
    <w:bookmarkEnd w:id="74"/>
    <w:bookmarkStart w:id="75"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5" w:name="Xdd2df60092a13133cb54ccab0399760f69750bc"/>
    <w:p>
      <w:pPr>
        <w:pStyle w:val="Heading2"/>
      </w:pPr>
      <w:r>
        <w:t xml:space="preserve">4.1. Phân tích yêu cầu</w:t>
      </w:r>
    </w:p>
    <w:bookmarkStart w:id="82"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0" name="Picture"/>
            <a:graphic>
              <a:graphicData uri="http://schemas.openxmlformats.org/drawingml/2006/picture">
                <pic:pic>
                  <pic:nvPicPr>
                    <pic:cNvPr descr="figures/fig-ch4-usecase.png" id="81" name="Picture"/>
                    <pic:cNvPicPr>
                      <a:picLocks noChangeArrowheads="1" noChangeAspect="1"/>
                    </pic:cNvPicPr>
                  </pic:nvPicPr>
                  <pic:blipFill>
                    <a:blip r:embed="rId79"/>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2"/>
    <w:bookmarkStart w:id="83"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3"/>
    <w:bookmarkStart w:id="84"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4"/>
    <w:bookmarkEnd w:id="85"/>
    <w:bookmarkStart w:id="97" w:name="X294448b0ebbcecd971c47f7922938602c4faaee"/>
    <w:p>
      <w:pPr>
        <w:pStyle w:val="Heading2"/>
      </w:pPr>
      <w:r>
        <w:t xml:space="preserve">4.2. Kiến trúc hệ thống</w:t>
      </w:r>
    </w:p>
    <w:bookmarkStart w:id="86"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w:t>
      </w:r>
    </w:p>
    <w:p>
      <w:pPr>
        <w:pStyle w:val="BodyText"/>
      </w:pPr>
      <w:r>
        <w:rPr>
          <w:b/>
          <w:bCs/>
        </w:rPr>
        <w:t xml:space="preserve">Bảng 4.1.</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86"/>
    <w:bookmarkStart w:id="90"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8" name="Picture"/>
            <a:graphic>
              <a:graphicData uri="http://schemas.openxmlformats.org/drawingml/2006/picture">
                <pic:pic>
                  <pic:nvPicPr>
                    <pic:cNvPr descr="figures/fig-ch4-02.png" id="89" name="Picture"/>
                    <pic:cNvPicPr>
                      <a:picLocks noChangeArrowheads="1" noChangeAspect="1"/>
                    </pic:cNvPicPr>
                  </pic:nvPicPr>
                  <pic:blipFill>
                    <a:blip r:embed="rId87"/>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0"/>
    <w:bookmarkStart w:id="91"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w:t>
      </w:r>
    </w:p>
    <w:bookmarkEnd w:id="91"/>
    <w:bookmarkStart w:id="9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3" name="Picture"/>
            <a:graphic>
              <a:graphicData uri="http://schemas.openxmlformats.org/drawingml/2006/picture">
                <pic:pic>
                  <pic:nvPicPr>
                    <pic:cNvPr descr="figures/fig-ch4-03.png" id="94" name="Picture"/>
                    <pic:cNvPicPr>
                      <a:picLocks noChangeArrowheads="1" noChangeAspect="1"/>
                    </pic:cNvPicPr>
                  </pic:nvPicPr>
                  <pic:blipFill>
                    <a:blip r:embed="rId92"/>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5"/>
    <w:bookmarkStart w:id="9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6"/>
    <w:bookmarkEnd w:id="97"/>
    <w:bookmarkStart w:id="99" w:name="X9ad8804871c144315aedff41a1e47b29c356da8"/>
    <w:p>
      <w:pPr>
        <w:pStyle w:val="Heading2"/>
      </w:pPr>
      <w:r>
        <w:t xml:space="preserve">4.3. Môi trường và công cụ phát triển</w:t>
      </w:r>
    </w:p>
    <w:bookmarkStart w:id="9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w:t>
      </w:r>
    </w:p>
    <w:bookmarkEnd w:id="98"/>
    <w:bookmarkEnd w:id="99"/>
    <w:bookmarkStart w:id="104"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03"/>
    <w:bookmarkEnd w:id="104"/>
    <w:bookmarkStart w:id="110" w:name="X5751f16cbcdd604a4ad20994be454e70e9e3ac2"/>
    <w:p>
      <w:pPr>
        <w:pStyle w:val="Heading2"/>
      </w:pPr>
      <w:r>
        <w:t xml:space="preserve">4.5. Huấn luyện mô hình</w:t>
      </w:r>
    </w:p>
    <w:bookmarkStart w:id="105"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(5.9.3).</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w:t>
      </w:r>
    </w:p>
    <w:bookmarkEnd w:id="105"/>
    <w:bookmarkStart w:id="109"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7" name="Picture"/>
            <a:graphic>
              <a:graphicData uri="http://schemas.openxmlformats.org/drawingml/2006/picture">
                <pic:pic>
                  <pic:nvPicPr>
                    <pic:cNvPr descr="figures/fig-train-curves.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09"/>
    <w:bookmarkEnd w:id="110"/>
    <w:bookmarkStart w:id="125"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12" name="Picture"/>
            <a:graphic>
              <a:graphicData uri="http://schemas.openxmlformats.org/drawingml/2006/picture">
                <pic:pic>
                  <pic:nvPicPr>
                    <pic:cNvPr descr="figures/fig-ch4-interfaces.png" id="113" name="Picture"/>
                    <pic:cNvPicPr>
                      <a:picLocks noChangeArrowheads="1" noChangeAspect="1"/>
                    </pic:cNvPicPr>
                  </pic:nvPicPr>
                  <pic:blipFill>
                    <a:blip r:embed="rId111"/>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14"/>
    <w:bookmarkStart w:id="115"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vì sau khi ghép, bộ phát hiện văn bản chỉ xác định một vùng chữ và bỏ qua cụm mã tỉnh cùng ký tự sê-ri. Giả thuyết ban đầu — bỏ phép ghép, đọc riêng từng nửa rồi nối chuỗi — đã kiểm chứng trên 200 biển hai dòng có nhãn và</w:t>
      </w:r>
      <w:r>
        <w:t xml:space="preserve"> </w:t>
      </w:r>
      <w:r>
        <w:rPr>
          <w:b/>
          <w:bCs/>
        </w:rPr>
        <w:t xml:space="preserve">bị bác bỏ dứt khoát: 64,5% xuống 3,5%, không thắng ở trường hợp nào</w:t>
      </w:r>
      <w:r>
        <w:t xml:space="preserve"> </w:t>
      </w:r>
      <w:r>
        <w:t xml:space="preserve">(5.5.6). Nguyên nhân nằm ở chính vùng chồng lấn tại mục c: đọc riêng thì dải chồng lấn bị nhận dạng hai lần và sinh ký tự thừa giữa chuỗi, còn trên dải liền mạch vùng lặp nằm giữa hai cụm ký tự nên bị bộ phát hiện văn bản loại bỏ.</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và bộ chuẩn hoá thay vì đi qua tầng điều phối, nên logic đặt tại tầng điều phối không được phản ánh trong số công bố. Khắc phục bằng cách tách bước phục hồi thành hàm độc lập cấp mô-đun để cả đường chạy sản phẩm lẫn công cụ đo cùng gọi một cài đặt. Bài học vượt ra ngoài phạm vi biển hai dòng:</w:t>
      </w:r>
      <w:r>
        <w:t xml:space="preserve"> </w:t>
      </w:r>
      <w:r>
        <w:rPr>
          <w:b/>
          <w:bCs/>
        </w:rPr>
        <w:t xml:space="preserve">một công cụ đo đi tắt qua tầng điều phối sẽ đo một hệ thống khác với hệ thống được bàn giao</w:t>
      </w:r>
      <w:r>
        <w:t xml:space="preserve"> </w:t>
      </w:r>
      <w:r>
        <w:t xml:space="preserve">— và biện pháp này về sau vẫn chưa đủ, cùng loại sai lệch đã tái diễn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23"/>
    <w:bookmarkStart w:id="124"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4"/>
    <w:bookmarkEnd w:id="125"/>
    <w:bookmarkStart w:id="130" w:name="Xd33c5fd3fcbf5c7f74138f222cc9bcbb755d6d1"/>
    <w:p>
      <w:pPr>
        <w:pStyle w:val="Heading2"/>
      </w:pPr>
      <w:r>
        <w:t xml:space="preserve">4.7. Máy chủ và cơ sở dữ liệu</w:t>
      </w:r>
    </w:p>
    <w:bookmarkStart w:id="126"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26"/>
    <w:bookmarkStart w:id="127"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27"/>
    <w:bookmarkStart w:id="128"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28"/>
    <w:bookmarkStart w:id="129"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9"/>
    <w:bookmarkEnd w:id="130"/>
    <w:bookmarkStart w:id="133" w:name="X3a8d61a51575a0ea03bbef8c366606d753c4f55"/>
    <w:p>
      <w:pPr>
        <w:pStyle w:val="Heading2"/>
      </w:pPr>
      <w:r>
        <w:t xml:space="preserve">4.8. Giao diện người dùng</w:t>
      </w:r>
    </w:p>
    <w:bookmarkStart w:id="13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1"/>
    <w:bookmarkStart w:id="132"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32"/>
    <w:bookmarkEnd w:id="133"/>
    <w:bookmarkStart w:id="13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34"/>
    <w:bookmarkEnd w:id="135"/>
    <w:bookmarkStart w:id="177"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rPr>
          <w:b/>
          <w:bCs/>
        </w:rPr>
        <w:t xml:space="preserve">Bảng 5.1.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1"/>
    <w:bookmarkEnd w:id="142"/>
    <w:bookmarkStart w:id="143" w:name="Xda9ff047994fc93eb8666aa61137acbf414e8bc"/>
    <w:p>
      <w:pPr>
        <w:pStyle w:val="Heading2"/>
      </w:pPr>
      <w:r>
        <w:t xml:space="preserve">5.2.---</w:t>
      </w:r>
    </w:p>
    <w:bookmarkEnd w:id="143"/>
    <w:bookmarkStart w:id="14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4"/>
    <w:bookmarkEnd w:id="145"/>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6"/>
    <w:bookmarkStart w:id="147"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3">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End w:id="151"/>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4"/>
    <w:bookmarkStart w:id="15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5"/>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5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5.6: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5.6.</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w:t>
      </w:r>
    </w:p>
    <w:p>
      <w:pPr>
        <w:pStyle w:val="BodyText"/>
      </w:pPr>
      <w:r>
        <w:t xml:space="preserve">Phương án thay thế — đọc riêng từng nửa rồi nối chuỗi — được đo A/B trên 200 biển hai dòng với hạt giống ngẫu nhiên cố định.</w:t>
      </w:r>
      <w:r>
        <w:t xml:space="preserve"> </w:t>
      </w:r>
      <w:r>
        <w:rPr>
          <w:b/>
          <w:bCs/>
        </w:rPr>
        <w:t xml:space="preserve">Phương án A (ghép rồi đọc một lần, đang dùng) đạt 64,50%; phương án B (đọc từng nửa rồi nối) đạt 3,50%</w:t>
      </w:r>
      <w:r>
        <w:t xml:space="preserve"> </w:t>
      </w:r>
      <w:r>
        <w:t xml:space="preserve">— kém 61,00 điểm phần trăm và tốn thêm 51,24 ms, thắng ở</w:t>
      </w:r>
      <w:r>
        <w:t xml:space="preserve"> </w:t>
      </w:r>
      <w:r>
        <w:rPr>
          <w:b/>
          <w:bCs/>
        </w:rPr>
        <w:t xml:space="preserve">0/200</w:t>
      </w:r>
      <w:r>
        <w:t xml:space="preserve"> </w:t>
      </w:r>
      <w:r>
        <w:t xml:space="preserve">trường hợp. 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w:t>
      </w:r>
    </w:p>
    <w:p>
      <w:pPr>
        <w:pStyle w:val="BodyText"/>
      </w:pPr>
      <w:r>
        <w:t xml:space="preserve">Riêng bước phục hồi dòng trên, đo trên toàn tập 2.801 ảnh có nhãn chuỗi ở lượt 2, đóng góp</w:t>
      </w:r>
      <w:r>
        <w:t xml:space="preserve"> </w:t>
      </w:r>
      <w:r>
        <w:rPr>
          <w:b/>
          <w:bCs/>
        </w:rPr>
        <w:t xml:space="preserve">+1,75 điểm A6</w:t>
      </w:r>
      <w:r>
        <w:t xml:space="preserve"> </w:t>
      </w:r>
      <w:r>
        <w:t xml:space="preserve">(0,6555 → 0,6730) 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làm hỏng</w:t>
      </w:r>
      <w:r>
        <w:t xml:space="preserve"> </w:t>
      </w:r>
      <w:r>
        <w:rPr>
          <w:b/>
          <w:bCs/>
        </w:rPr>
        <w:t xml:space="preserve">0</w:t>
      </w:r>
      <w:r>
        <w:t xml:space="preserve">. Các giá trị tuyệt đối của lượt 2 đã bị vượt qua (A6 hiện là 0,7701) nên</w:t>
      </w:r>
      <w:r>
        <w:t xml:space="preserve"> </w:t>
      </w:r>
      <w:r>
        <w:rPr>
          <w:b/>
          <w:bCs/>
        </w:rPr>
        <w:t xml:space="preserve">không được trích như số hiện hành</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w:t>
      </w:r>
    </w:p>
    <w:p>
      <w:pPr>
        <w:pStyle w:val="BodyText"/>
      </w:pPr>
      <w:r>
        <w:rPr>
          <w:b/>
          <w:bCs/>
        </w:rPr>
        <w:t xml:space="preserve">Bảng 5.7.</w:t>
      </w:r>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w:t>
      </w:r>
      <w:r>
        <w:t xml:space="preserve"> </w:t>
      </w:r>
      <w:r>
        <w:t xml:space="preserve">đổi độ trễ đuôi lấy 34 biển đọc thêm, còn</w:t>
      </w:r>
      <w:r>
        <w:t xml:space="preserve"> </w:t>
      </w:r>
      <w:r>
        <w:rPr>
          <w:b/>
          <w:bCs/>
        </w:rPr>
        <w:t xml:space="preserve">trung vị không tăng</w:t>
      </w:r>
      <w:r>
        <w:t xml:space="preserve"> </w:t>
      </w:r>
      <w:r>
        <w:t xml:space="preserve">(bậc thang chỉ chạy sau khi lần đọc đầu thất bại, nên toàn bộ chi phí dồn vào đuôi phân bố).</w:t>
      </w:r>
      <w:r>
        <w:t xml:space="preserve"> </w:t>
      </w:r>
      <w:r>
        <w:rPr>
          <w:b/>
          <w:bCs/>
        </w:rPr>
        <w:t xml:space="preserve">Bậc thứ ba bị tắt mặc định</w:t>
      </w:r>
      <w:r>
        <w:t xml:space="preserve">: một mình siêu phân giải đẩy p95 lên</w:t>
      </w:r>
      <w:r>
        <w:t xml:space="preserve"> </w:t>
      </w:r>
      <w:r>
        <w:rPr>
          <w:b/>
          <w:bCs/>
        </w:rPr>
        <w:t xml:space="preserve">1.514,26 ms</w:t>
      </w:r>
      <w:r>
        <w:t xml:space="preserve">, vượt cả ngưỡng tối thiểu 1.500 ms, trong khi cứu được</w:t>
      </w:r>
      <w:r>
        <w:t xml:space="preserve"> </w:t>
      </w:r>
      <w:r>
        <w:rPr>
          <w:b/>
          <w:bCs/>
        </w:rPr>
        <w:t xml:space="preserve">0 biển</w:t>
      </w:r>
      <w:r>
        <w:t xml:space="preserve">; mã và công tắc vẫn giữ nguyên, chỉ đổi giá trị mặc định.</w:t>
      </w:r>
    </w:p>
    <w:p>
      <w:pPr>
        <w:pStyle w:val="BlockText"/>
      </w:pPr>
      <w:r>
        <w:rPr>
          <w:b/>
          <w:bCs/>
        </w:rPr>
        <w:t xml:space="preserve">Số 0 ấy phải đọc cho đúng.</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59"/>
    <w:bookmarkEnd w:id="160"/>
    <w:bookmarkStart w:id="172"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(mục 3.4):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6"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 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w:t>
      </w:r>
    </w:p>
    <w:p>
      <w:pPr>
        <w:pStyle w:val="BodyText"/>
      </w:pPr>
      <w:r>
        <w:drawing>
          <wp:inline>
            <wp:extent cx="5334000" cy="2111375"/>
            <wp:effectExtent b="0" l="0" r="0" t="0"/>
            <wp:docPr descr="" title="" id="164" name="Picture"/>
            <a:graphic>
              <a:graphicData uri="http://schemas.openxmlformats.org/drawingml/2006/picture">
                <pic:pic>
                  <pic:nvPicPr>
                    <pic:cNvPr descr="figures/fig-ch5-nfr-p2.png" id="165" name="Picture"/>
                    <pic:cNvPicPr>
                      <a:picLocks noChangeArrowheads="1" noChangeAspect="1"/>
                    </pic:cNvPicPr>
                  </pic:nvPicPr>
                  <pic:blipFill>
                    <a:blip r:embed="rId163"/>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Trung vị của lượt đo cũ nằm ngang với các lần đo trên máy rảnh, nhưng đuôi p95 cao gấp sáu lần; ép tải tới 12 lõi cũng chỉ đẩy tỉ lệ p95/p50 lên 1,24× trong khi lượt đo cũ là</w:t>
      </w:r>
      <w:r>
        <w:t xml:space="preserve"> </w:t>
      </w:r>
      <w:r>
        <w:rPr>
          <w:b/>
          <w:bCs/>
        </w:rPr>
        <w:t xml:space="preserve">6,93×</w:t>
      </w:r>
      <w:r>
        <w:t xml:space="preserve">.</w:t>
      </w:r>
    </w:p>
    <w:bookmarkEnd w:id="166"/>
    <w:bookmarkStart w:id="170"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68" name="Picture"/>
            <a:graphic>
              <a:graphicData uri="http://schemas.openxmlformats.org/drawingml/2006/picture">
                <pic:pic>
                  <pic:nvPicPr>
                    <pic:cNvPr descr="figures/fig-ch5-dedup-51H14573.png" id="169" name="Picture"/>
                    <pic:cNvPicPr>
                      <a:picLocks noChangeArrowheads="1" noChangeAspect="1"/>
                    </pic:cNvPicPr>
                  </pic:nvPicPr>
                  <pic:blipFill>
                    <a:blip r:embed="rId167"/>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0"/>
    <w:bookmarkStart w:id="171"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5.10.</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3.4.</w:t>
      </w:r>
    </w:p>
    <w:bookmarkEnd w:id="171"/>
    <w:bookmarkEnd w:id="172"/>
    <w:bookmarkStart w:id="17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3"/>
    <w:bookmarkStart w:id="174"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4"/>
    <w:bookmarkStart w:id="176" w:name="X17c38d19be0e29160aa374b565370025cd3cedc"/>
    <w:p>
      <w:pPr>
        <w:pStyle w:val="Heading2"/>
      </w:pPr>
      <w:r>
        <w:t xml:space="preserve">5.9. Bàn luận</w:t>
      </w:r>
    </w:p>
    <w:bookmarkStart w:id="175"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75"/>
    <w:bookmarkEnd w:id="176"/>
    <w:bookmarkEnd w:id="177"/>
    <w:bookmarkStart w:id="182" w:name="chương-6-kết-luận-và-hướng-phát-triển"/>
    <w:p>
      <w:pPr>
        <w:pStyle w:val="Heading1"/>
      </w:pPr>
      <w:r>
        <w:t xml:space="preserve">CHƯƠNG 6. KẾT LUẬN VÀ HƯỚNG PHÁT TRIỂN</w:t>
      </w:r>
    </w:p>
    <w:bookmarkStart w:id="178"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4"/>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4"/>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8"/>
    <w:bookmarkStart w:id="179"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79"/>
    <w:bookmarkStart w:id="180"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0"/>
    <w:bookmarkStart w:id="181"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1"/>
    <w:bookmarkEnd w:id="182"/>
    <w:bookmarkStart w:id="202"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3">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4">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5">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6">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7">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9">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0">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1">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2">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3">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4">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7">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8">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9">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1">
        <w:r>
          <w:rPr>
            <w:rStyle w:val="Hyperlink"/>
          </w:rPr>
          <w:t xml:space="preserve">https://onnxruntime.ai/docs/performance/tune-performance/threading.html</w:t>
        </w:r>
      </w:hyperlink>
      <w:r>
        <w:t xml:space="preserve"> </w:t>
      </w:r>
      <w:r>
        <w:t xml:space="preserve">(truy cập ngày 2026-07-19).</w:t>
      </w:r>
    </w:p>
    <w:p>
      <w:r>
        <w:br w:type="page"/>
      </w:r>
    </w:p>
    <w:bookmarkEnd w:id="202"/>
    <w:bookmarkStart w:id="211" w:name="phụ-lục"/>
    <w:p>
      <w:pPr>
        <w:pStyle w:val="Heading1"/>
      </w:pPr>
      <w:r>
        <w:t xml:space="preserve">PHỤ LỤC</w:t>
      </w:r>
    </w:p>
    <w:bookmarkStart w:id="203"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3"/>
    <w:bookmarkStart w:id="204"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4"/>
    <w:bookmarkStart w:id="205"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05"/>
    <w:bookmarkStart w:id="206"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06"/>
    <w:bookmarkStart w:id="207"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07"/>
    <w:bookmarkStart w:id="208"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08"/>
    <w:bookmarkStart w:id="209"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09"/>
    <w:bookmarkStart w:id="210"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br w:type="page"/>
      </w:r>
    </w:p>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111" Target="media/rId111.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38" Target="media/rId138.png" /><Relationship Type="http://schemas.openxmlformats.org/officeDocument/2006/relationships/image" Id="rId106" Target="media/rId106.png" /><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2026-08-31T04:00:45Z</dcterms:created>
  <dcterms:modified xsi:type="dcterms:W3CDTF">2026-08-31T04:00:45Z</dcterms:modified>
</cp:coreProperties>
</file>

<file path=docProps/custom.xml><?xml version="1.0" encoding="utf-8"?>
<Properties xmlns="http://schemas.openxmlformats.org/officeDocument/2006/custom-properties" xmlns:vt="http://schemas.openxmlformats.org/officeDocument/2006/docPropsVTypes"/>
</file>