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9.png" ContentType="image/png"/>
  <Override PartName="/word/media/rId55.png" ContentType="image/png"/>
  <Override PartName="/word/media/rId92.png" ContentType="image/png"/>
  <Override PartName="/word/media/rId97.png" ContentType="image/png"/>
  <Override PartName="/word/media/rId120.png" ContentType="image/png"/>
  <Override PartName="/word/media/rId84.png" ContentType="image/png"/>
  <Override PartName="/word/media/rId106.png" ContentType="image/png"/>
  <Override PartName="/word/media/rId127.png" ContentType="image/png"/>
  <Override PartName="/word/media/rId173.png" ContentType="image/png"/>
  <Override PartName="/word/media/rId178.png" ContentType="image/png"/>
  <Override PartName="/word/media/rId14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7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4"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8"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6" name="Picture"/>
            <a:graphic>
              <a:graphicData uri="http://schemas.openxmlformats.org/drawingml/2006/picture">
                <pic:pic>
                  <pic:nvPicPr>
                    <pic:cNvPr descr="figures/fig-ch2-crnn-ctc.png" id="57" name="Picture"/>
                    <pic:cNvPicPr>
                      <a:picLocks noChangeArrowheads="1" noChangeAspect="1"/>
                    </pic:cNvPicPr>
                  </pic:nvPicPr>
                  <pic:blipFill>
                    <a:blip r:embed="rId55"/>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8"/>
    <w:bookmarkStart w:id="62"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60" name="Picture"/>
            <a:graphic>
              <a:graphicData uri="http://schemas.openxmlformats.org/drawingml/2006/picture">
                <pic:pic>
                  <pic:nvPicPr>
                    <pic:cNvPr descr="figures/fig-ch2-07.png" id="61" name="Picture"/>
                    <pic:cNvPicPr>
                      <a:picLocks noChangeArrowheads="1" noChangeAspect="1"/>
                    </pic:cNvPicPr>
                  </pic:nvPicPr>
                  <pic:blipFill>
                    <a:blip r:embed="rId59"/>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62"/>
    <w:bookmarkStart w:id="63"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3"/>
    <w:bookmarkEnd w:id="64"/>
    <w:bookmarkStart w:id="69" w:name="X433805c7645b98ab65ccaee2bea6de58007170b"/>
    <w:p>
      <w:pPr>
        <w:pStyle w:val="Heading2"/>
      </w:pPr>
      <w:r>
        <w:t xml:space="preserve">2.5. Các công trình liên quan</w:t>
      </w:r>
    </w:p>
    <w:bookmarkStart w:id="65"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5"/>
    <w:bookmarkStart w:id="66"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6"/>
    <w:bookmarkStart w:id="67"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7"/>
    <w:bookmarkStart w:id="68"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8"/>
    <w:bookmarkEnd w:id="69"/>
    <w:bookmarkEnd w:id="70"/>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1"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1"/>
    <w:bookmarkStart w:id="72"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4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0" w:name="Xdd2df60092a13133cb54ccab0399760f69750bc"/>
    <w:p>
      <w:pPr>
        <w:pStyle w:val="Heading2"/>
      </w:pPr>
      <w:r>
        <w:t xml:space="preserve">4.1. Phân tích yêu cầu</w:t>
      </w:r>
    </w:p>
    <w:bookmarkStart w:id="8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w:t>
      </w:r>
      <w:r>
        <w:t xml:space="preserve"> </w:t>
      </w:r>
      <w:r>
        <w:t xml:space="preserve">kiểm soát ra vào và giám sát giao thông. Áp một mô hình ALPR huấn luyện trên dữ</w:t>
      </w:r>
      <w:r>
        <w:t xml:space="preserve"> </w:t>
      </w:r>
      <w:r>
        <w:t xml:space="preserve">liệu nước ngoài vào Việt Nam gặp bốn trở ngại.</w:t>
      </w:r>
    </w:p>
    <w:p>
      <w:pPr>
        <w:pStyle w:val="BodyText"/>
      </w:pPr>
      <w:r>
        <w:rPr>
          <w:b/>
          <w:bCs/>
        </w:rPr>
        <w:t xml:space="preserve">Bảng 4.1.</w:t>
      </w:r>
      <w:r>
        <w:t xml:space="preserve"> </w:t>
      </w:r>
      <w:r>
        <w:t xml:space="preserve">Bốn trở ngại khi áp mô hình ALPR nước ngoài vào bối cảnh Việt Nam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Trở ngại</w:t>
            </w:r>
          </w:p>
        </w:tc>
        <w:tc>
          <w:tcPr/>
          <w:p>
            <w:pPr>
              <w:pStyle w:val="Compact"/>
            </w:pPr>
            <w:r>
              <w:t xml:space="preserve">Biểu hiện định lượng hoặc căn cứ</w:t>
            </w:r>
          </w:p>
        </w:tc>
      </w:tr>
      <w:tr>
        <w:tc>
          <w:tcPr/>
          <w:p>
            <w:pPr>
              <w:pStyle w:val="Compact"/>
              <w:jc w:val="center"/>
            </w:pPr>
            <w:r>
              <w:t xml:space="preserve">1</w:t>
            </w:r>
          </w:p>
        </w:tc>
        <w:tc>
          <w:tcPr/>
          <w:p>
            <w:pPr>
              <w:pStyle w:val="Compact"/>
            </w:pPr>
            <w:r>
              <w:rPr>
                <w:b/>
                <w:bCs/>
              </w:rPr>
              <w:t xml:space="preserve">Biển hai dòng chiếm tỉ trọng lớn</w:t>
            </w:r>
            <w:r>
              <w:t xml:space="preserve"> </w:t>
            </w:r>
            <w:r>
              <w:t xml:space="preserve">— toàn bộ xe máy và một phần ô tô — trong khi đa số bộ dữ liệu quốc tế giả định biển một dòng</w:t>
            </w:r>
          </w:p>
        </w:tc>
        <w:tc>
          <w:tcPr/>
          <w:p>
            <w:pPr>
              <w:pStyle w:val="Compact"/>
            </w:pPr>
            <w:r>
              <w:t xml:space="preserve">Mức suy giảm</w:t>
            </w:r>
            <w:r>
              <w:t xml:space="preserve"> </w:t>
            </w:r>
            <w:r>
              <w:rPr>
                <w:b/>
                <w:bCs/>
              </w:rPr>
              <w:t xml:space="preserve">đã đo được</w:t>
            </w:r>
            <w:r>
              <w:t xml:space="preserve">: trên</w:t>
            </w:r>
            <w:r>
              <w:t xml:space="preserve"> </w:t>
            </w:r>
            <w:r>
              <w:rPr>
                <w:b/>
                <w:bCs/>
              </w:rPr>
              <w:t xml:space="preserve">bộ RodoSol-ALPR của Brazil</w:t>
            </w:r>
            <w:r>
              <w:t xml:space="preserve">, OpenALPR đọc đúng 3.772/4.000 ô tô biển một dòng (</w:t>
            </w:r>
            <w:r>
              <w:rPr>
                <w:b/>
                <w:bCs/>
              </w:rPr>
              <w:t xml:space="preserve">94,3%</w:t>
            </w:r>
            <w:r>
              <w:t xml:space="preserve">) nhưng chỉ 1.827/4.000 xe máy biển hai dòng (</w:t>
            </w:r>
            <w:r>
              <w:rPr>
                <w:b/>
                <w:bCs/>
              </w:rPr>
              <w:t xml:space="preserve">45,7%</w:t>
            </w:r>
            <w:r>
              <w:t xml:space="preserve">) — chênh</w:t>
            </w:r>
            <w:r>
              <w:t xml:space="preserve"> </w:t>
            </w:r>
            <w:r>
              <w:rPr>
                <w:b/>
                <w:bCs/>
              </w:rPr>
              <w:t xml:space="preserve">48,6 điểm phần trăm</w:t>
            </w:r>
            <w:r>
              <w:t xml:space="preserve"> </w:t>
            </w:r>
            <w:r>
              <w:t xml:space="preserve">[2]</w:t>
            </w:r>
          </w:p>
        </w:tc>
      </w:tr>
      <w:tr>
        <w:tc>
          <w:tcPr/>
          <w:p>
            <w:pPr>
              <w:pStyle w:val="Compact"/>
              <w:jc w:val="center"/>
            </w:pPr>
            <w:r>
              <w:t xml:space="preserve">2</w:t>
            </w:r>
          </w:p>
        </w:tc>
        <w:tc>
          <w:tcPr/>
          <w:p>
            <w:pPr>
              <w:pStyle w:val="Compact"/>
            </w:pPr>
            <w:r>
              <w:rPr>
                <w:b/>
                <w:bCs/>
              </w:rPr>
              <w:t xml:space="preserve">Quy chuẩn biển số có tính pháp lý và cấu trúc chặt</w:t>
            </w:r>
          </w:p>
        </w:tc>
        <w:tc>
          <w:tcPr/>
          <w:p>
            <w:pPr>
              <w:pStyle w:val="Compact"/>
            </w:pPr>
            <w:r>
              <w:t xml:space="preserve">TT 79/2024/TT-BCA [3]</w:t>
            </w:r>
            <w:r>
              <w:t xml:space="preserve">, sửa đổi bởi TT 13/2025 [4]</w:t>
            </w:r>
            <w:r>
              <w:t xml:space="preserve"> </w:t>
            </w:r>
            <w:r>
              <w:t xml:space="preserve">và TT 51/2025 [5]</w:t>
            </w:r>
            <w:r>
              <w:t xml:space="preserve">; thông số vật lý theo QCVN 08:2024/BCA [6]</w:t>
            </w:r>
            <w:r>
              <w:t xml:space="preserve">. Cấu trúc chặt vừa là ràng buộc, vừa là</w:t>
            </w:r>
            <w:r>
              <w:t xml:space="preserve"> </w:t>
            </w:r>
            <w:r>
              <w:rPr>
                <w:b/>
                <w:bCs/>
              </w:rPr>
              <w:t xml:space="preserve">cơ hội thiết kế</w:t>
            </w:r>
            <w:r>
              <w:t xml:space="preserve"> </w:t>
            </w:r>
            <w:r>
              <w:t xml:space="preserve">cho khối hậu xử lý dựa trên luật</w:t>
            </w:r>
          </w:p>
        </w:tc>
      </w:tr>
      <w:tr>
        <w:tc>
          <w:tcPr/>
          <w:p>
            <w:pPr>
              <w:pStyle w:val="Compact"/>
              <w:jc w:val="center"/>
            </w:pPr>
            <w:r>
              <w:t xml:space="preserve">3</w:t>
            </w:r>
          </w:p>
        </w:tc>
        <w:tc>
          <w:tcPr/>
          <w:p>
            <w:pPr>
              <w:pStyle w:val="Compact"/>
            </w:pPr>
            <w:r>
              <w:rPr>
                <w:b/>
                <w:bCs/>
              </w:rPr>
              <w:t xml:space="preserve">Điều kiện thu nhận ảnh khắc nghiệt</w:t>
            </w:r>
          </w:p>
        </w:tc>
        <w:tc>
          <w:tcPr/>
          <w:p>
            <w:pPr>
              <w:pStyle w:val="Compact"/>
            </w:pPr>
            <w:r>
              <w:t xml:space="preserve">Che khuất, bụi bẩn, chụp nghiêng, ngược sáng, ban đêm</w:t>
            </w:r>
          </w:p>
        </w:tc>
      </w:tr>
      <w:tr>
        <w:tc>
          <w:tcPr/>
          <w:p>
            <w:pPr>
              <w:pStyle w:val="Compact"/>
              <w:jc w:val="center"/>
            </w:pPr>
            <w:r>
              <w:t xml:space="preserve">4</w:t>
            </w:r>
          </w:p>
        </w:tc>
        <w:tc>
          <w:tcPr/>
          <w:p>
            <w:pPr>
              <w:pStyle w:val="Compact"/>
            </w:pPr>
            <w:r>
              <w:rPr>
                <w:b/>
                <w:bCs/>
              </w:rPr>
              <w:t xml:space="preserve">Không có phần cứng tăng tốc</w:t>
            </w:r>
          </w:p>
        </w:tc>
        <w:tc>
          <w:tcPr/>
          <w:p>
            <w:pPr>
              <w:pStyle w:val="Compact"/>
            </w:pPr>
            <w:r>
              <w:t xml:space="preserve">Máy thực hiện không có GPU CUDA; mọi suy luận và trình diễn chạy trên CPU (mục 4.1.4a, 4.3.1)</w:t>
            </w:r>
          </w:p>
        </w:tc>
      </w:tr>
    </w:tbl>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3"/>
    <w:bookmarkStart w:id="87"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5" name="Picture"/>
            <a:graphic>
              <a:graphicData uri="http://schemas.openxmlformats.org/drawingml/2006/picture">
                <pic:pic>
                  <pic:nvPicPr>
                    <pic:cNvPr descr="figures/fig-ch4-usecase.png" id="86" name="Picture"/>
                    <pic:cNvPicPr>
                      <a:picLocks noChangeArrowheads="1" noChangeAspect="1"/>
                    </pic:cNvPicPr>
                  </pic:nvPicPr>
                  <pic:blipFill>
                    <a:blip r:embed="rId8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7"/>
    <w:bookmarkStart w:id="88"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8"/>
    <w:bookmarkStart w:id="89"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9"/>
    <w:bookmarkEnd w:id="90"/>
    <w:bookmarkStart w:id="102" w:name="X294448b0ebbcecd971c47f7922938602c4faaee"/>
    <w:p>
      <w:pPr>
        <w:pStyle w:val="Heading2"/>
      </w:pPr>
      <w:r>
        <w:t xml:space="preserve">4.2. Kiến trúc hệ thống</w:t>
      </w:r>
    </w:p>
    <w:bookmarkStart w:id="91"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1"/>
    <w:bookmarkStart w:id="95"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3" name="Picture"/>
            <a:graphic>
              <a:graphicData uri="http://schemas.openxmlformats.org/drawingml/2006/picture">
                <pic:pic>
                  <pic:nvPicPr>
                    <pic:cNvPr descr="figures/fig-ch4-02.png" id="94" name="Picture"/>
                    <pic:cNvPicPr>
                      <a:picLocks noChangeArrowheads="1" noChangeAspect="1"/>
                    </pic:cNvPicPr>
                  </pic:nvPicPr>
                  <pic:blipFill>
                    <a:blip r:embed="rId92"/>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5"/>
    <w:bookmarkStart w:id="96"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6"/>
    <w:bookmarkStart w:id="100"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8" name="Picture"/>
            <a:graphic>
              <a:graphicData uri="http://schemas.openxmlformats.org/drawingml/2006/picture">
                <pic:pic>
                  <pic:nvPicPr>
                    <pic:cNvPr descr="figures/fig-ch4-03.png" id="99" name="Picture"/>
                    <pic:cNvPicPr>
                      <a:picLocks noChangeArrowheads="1" noChangeAspect="1"/>
                    </pic:cNvPicPr>
                  </pic:nvPicPr>
                  <pic:blipFill>
                    <a:blip r:embed="rId97"/>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00"/>
    <w:bookmarkStart w:id="101"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1"/>
    <w:bookmarkEnd w:id="102"/>
    <w:bookmarkStart w:id="105" w:name="X9ad8804871c144315aedff41a1e47b29c356da8"/>
    <w:p>
      <w:pPr>
        <w:pStyle w:val="Heading2"/>
      </w:pPr>
      <w:r>
        <w:t xml:space="preserve">4.3. Môi trường và công cụ phát triển</w:t>
      </w:r>
    </w:p>
    <w:bookmarkStart w:id="103"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3"/>
    <w:bookmarkStart w:id="104"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4"/>
    <w:bookmarkEnd w:id="105"/>
    <w:bookmarkStart w:id="112" w:name="Xac54ff02a53f997684ad1e9bce3420d5c1dcce8"/>
    <w:p>
      <w:pPr>
        <w:pStyle w:val="Heading2"/>
      </w:pPr>
      <w:r>
        <w:t xml:space="preserve">4.4. Xây dựng bộ dữ liệu</w:t>
      </w:r>
    </w:p>
    <w:bookmarkStart w:id="109"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7" name="Picture"/>
            <a:graphic>
              <a:graphicData uri="http://schemas.openxmlformats.org/drawingml/2006/picture">
                <pic:pic>
                  <pic:nvPicPr>
                    <pic:cNvPr descr="figures/fig-ch5-01.png" id="108" name="Picture"/>
                    <pic:cNvPicPr>
                      <a:picLocks noChangeArrowheads="1" noChangeAspect="1"/>
                    </pic:cNvPicPr>
                  </pic:nvPicPr>
                  <pic:blipFill>
                    <a:blip r:embed="rId10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9"/>
    <w:bookmarkStart w:id="110"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10"/>
    <w:bookmarkStart w:id="111"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1"/>
    <w:bookmarkEnd w:id="112"/>
    <w:bookmarkStart w:id="119" w:name="X5751f16cbcdd604a4ad20994be454e70e9e3ac2"/>
    <w:p>
      <w:pPr>
        <w:pStyle w:val="Heading2"/>
      </w:pPr>
      <w:r>
        <w:t xml:space="preserve">4.5. Huấn luyện mô hình</w:t>
      </w:r>
    </w:p>
    <w:bookmarkStart w:id="113"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3"/>
    <w:bookmarkStart w:id="117"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5" name="Picture"/>
            <a:graphic>
              <a:graphicData uri="http://schemas.openxmlformats.org/drawingml/2006/picture">
                <pic:pic>
                  <pic:nvPicPr>
                    <pic:cNvPr descr="figures/fig-train-curves.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7"/>
    <w:bookmarkStart w:id="118"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4.6.</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8"/>
    <w:bookmarkEnd w:id="119"/>
    <w:bookmarkStart w:id="133" w:name="X2723c2b72a3b0d2d07d276512c3a00f40195ccf"/>
    <w:p>
      <w:pPr>
        <w:pStyle w:val="Heading2"/>
      </w:pPr>
      <w:r>
        <w:t xml:space="preserve">4.6. Tầng AI — thiết kế và cài đặt</w:t>
      </w:r>
    </w:p>
    <w:bookmarkStart w:id="12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21" name="Picture"/>
            <a:graphic>
              <a:graphicData uri="http://schemas.openxmlformats.org/drawingml/2006/picture">
                <pic:pic>
                  <pic:nvPicPr>
                    <pic:cNvPr descr="figures/fig-ch4-interfaces.png" id="122" name="Picture"/>
                    <pic:cNvPicPr>
                      <a:picLocks noChangeArrowheads="1" noChangeAspect="1"/>
                    </pic:cNvPicPr>
                  </pic:nvPicPr>
                  <pic:blipFill>
                    <a:blip r:embed="rId120"/>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3"/>
    <w:bookmarkStart w:id="12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4"/>
    <w:bookmarkStart w:id="12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5"/>
    <w:bookmarkStart w:id="12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6"/>
    <w:bookmarkStart w:id="13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8" name="Picture"/>
            <a:graphic>
              <a:graphicData uri="http://schemas.openxmlformats.org/drawingml/2006/picture">
                <pic:pic>
                  <pic:nvPicPr>
                    <pic:cNvPr descr="figures/fig-ch5-03.png" id="129" name="Picture"/>
                    <pic:cNvPicPr>
                      <a:picLocks noChangeArrowheads="1" noChangeAspect="1"/>
                    </pic:cNvPicPr>
                  </pic:nvPicPr>
                  <pic:blipFill>
                    <a:blip r:embed="rId12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30"/>
    <w:bookmarkStart w:id="13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31"/>
    <w:bookmarkStart w:id="13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32"/>
    <w:bookmarkEnd w:id="133"/>
    <w:bookmarkStart w:id="138" w:name="Xd33c5fd3fcbf5c7f74138f222cc9bcbb755d6d1"/>
    <w:p>
      <w:pPr>
        <w:pStyle w:val="Heading2"/>
      </w:pPr>
      <w:r>
        <w:t xml:space="preserve">4.7. Máy chủ và cơ sở dữ liệu</w:t>
      </w:r>
    </w:p>
    <w:bookmarkStart w:id="134"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34"/>
    <w:bookmarkStart w:id="13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5"/>
    <w:bookmarkStart w:id="13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6"/>
    <w:bookmarkStart w:id="13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7"/>
    <w:bookmarkEnd w:id="138"/>
    <w:bookmarkStart w:id="141" w:name="X3a8d61a51575a0ea03bbef8c366606d753c4f55"/>
    <w:p>
      <w:pPr>
        <w:pStyle w:val="Heading2"/>
      </w:pPr>
      <w:r>
        <w:t xml:space="preserve">4.8. Giao diện người dùng</w:t>
      </w:r>
    </w:p>
    <w:bookmarkStart w:id="13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9"/>
    <w:bookmarkStart w:id="14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40"/>
    <w:bookmarkEnd w:id="141"/>
    <w:bookmarkStart w:id="14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2"/>
    <w:bookmarkStart w:id="14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3"/>
    <w:bookmarkEnd w:id="144"/>
    <w:bookmarkStart w:id="192"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51" w:name="X615dfd631dc181525daf811d00c6861931eec12"/>
    <w:p>
      <w:pPr>
        <w:pStyle w:val="Heading2"/>
      </w:pPr>
      <w:r>
        <w:t xml:space="preserve">5.1. Mục tiêu và phương pháp đánh giá</w:t>
      </w:r>
    </w:p>
    <w:bookmarkStart w:id="145"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5"/>
    <w:bookmarkStart w:id="14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6"/>
    <w:bookmarkStart w:id="150" w:name="Xae02105bda9855e41edaa9a7db070e9fd50916a"/>
    <w:p>
      <w:pPr>
        <w:pStyle w:val="Heading3"/>
      </w:pPr>
      <w:r>
        <w:t xml:space="preserve">5.1.3. Giao thức đo</w:t>
      </w:r>
    </w:p>
    <w:p>
      <w:pPr>
        <w:pStyle w:val="FirstParagraph"/>
      </w:pPr>
      <w:r>
        <w:drawing>
          <wp:inline>
            <wp:extent cx="5334000" cy="6408964"/>
            <wp:effectExtent b="0" l="0" r="0" t="0"/>
            <wp:docPr descr="" title="" id="148" name="Picture"/>
            <a:graphic>
              <a:graphicData uri="http://schemas.openxmlformats.org/drawingml/2006/picture">
                <pic:pic>
                  <pic:nvPicPr>
                    <pic:cNvPr descr="figures/fig-ch6-01.png" id="149" name="Picture"/>
                    <pic:cNvPicPr>
                      <a:picLocks noChangeArrowheads="1" noChangeAspect="1"/>
                    </pic:cNvPicPr>
                  </pic:nvPicPr>
                  <pic:blipFill>
                    <a:blip r:embed="rId14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50"/>
    <w:bookmarkEnd w:id="151"/>
    <w:bookmarkStart w:id="15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5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52"/>
    <w:bookmarkEnd w:id="153"/>
    <w:bookmarkStart w:id="15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4"/>
    <w:bookmarkStart w:id="15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5"/>
    <w:bookmarkStart w:id="156"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6"/>
    <w:bookmarkEnd w:id="157"/>
    <w:bookmarkStart w:id="16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5.14.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8"/>
    <w:bookmarkStart w:id="159"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9"/>
    <w:bookmarkStart w:id="16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60"/>
    <w:bookmarkEnd w:id="161"/>
    <w:bookmarkStart w:id="17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6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62"/>
    <w:bookmarkStart w:id="16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3"/>
    <w:bookmarkStart w:id="164"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4"/>
    <w:bookmarkStart w:id="165"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5"/>
    <w:bookmarkStart w:id="16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NFR-A7 chuyển sang ⬜</w:t>
      </w:r>
      <w:r>
        <w:rPr>
          <w:b/>
          <w:bCs/>
        </w:rPr>
        <w:t xml:space="preserve"> </w:t>
      </w:r>
      <w:r>
        <w:rPr>
          <w:b/>
          <w:bCs/>
          <w:i/>
          <w:iCs/>
        </w:rPr>
        <w:t xml:space="preserve">không đo được một cách có ý nghĩa</w:t>
      </w:r>
      <w:r>
        <w:rPr>
          <w:b/>
          <w:bCs/>
        </w:rPr>
        <w:t xml:space="preserve">.</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0,5552 của lượt 4</w:t>
      </w:r>
      <w:r>
        <w:t xml:space="preserve"> </w:t>
      </w:r>
      <w:r>
        <w:rPr>
          <w:b/>
          <w:bCs/>
        </w:rPr>
        <w:t xml:space="preserve">không tái lập được</w:t>
      </w:r>
      <w:r>
        <w:t xml:space="preserve">. Đây không phải hệ thống tệ đi: đường ống bản giao hàng chạy trên</w:t>
      </w:r>
      <w:r>
        <w:t xml:space="preserve"> </w:t>
      </w:r>
      <w:r>
        <w:rPr>
          <w:b/>
          <w:bCs/>
        </w:rPr>
        <w:t xml:space="preserve">ảnh toàn cảnh thật</w:t>
      </w:r>
      <w:r>
        <w:t xml:space="preserve"> </w:t>
      </w:r>
      <w:r>
        <w:t xml:space="preserve">đọc đúng</w:t>
      </w:r>
      <w:r>
        <w:t xml:space="preserve"> </w:t>
      </w:r>
      <w:r>
        <w:rPr>
          <w:b/>
          <w:bCs/>
        </w:rPr>
        <w:t xml:space="preserve">17/22 biển</w:t>
      </w:r>
      <w:r>
        <w:t xml:space="preserve">, gồm cả biển đỏ quân đội, hai biển ngoại giao, biển vàng kinh doanh và hai biển xanh nhà nước. Nguyên nhân nằm ở</w:t>
      </w:r>
      <w:r>
        <w:t xml:space="preserve"> </w:t>
      </w:r>
      <w:r>
        <w:rPr>
          <w:b/>
          <w:bCs/>
        </w:rPr>
        <w:t xml:space="preserve">thiết kế của phép đo</w:t>
      </w:r>
      <w:r>
        <w:t xml:space="preserve">, và lập luận đầy đủ ở</w:t>
      </w:r>
      <w:r>
        <w:t xml:space="preserve"> </w:t>
      </w:r>
      <w:hyperlink r:id="rId166">
        <w:r>
          <w:rPr>
            <w:rStyle w:val="Hyperlink"/>
          </w:rPr>
          <w:t xml:space="preserve">báo cáo 41</w:t>
        </w:r>
      </w:hyperlink>
      <w:r>
        <w:t xml:space="preserve">.</w:t>
      </w:r>
    </w:p>
    <w:p>
      <w:pPr>
        <w:pStyle w:val="BlockText"/>
      </w:pP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đây là</w:t>
      </w:r>
      <w:r>
        <w:t xml:space="preserve"> </w:t>
      </w:r>
      <w:r>
        <w:rPr>
          <w:b/>
          <w:bCs/>
        </w:rPr>
        <w:t xml:space="preserve">hướng phát triển số 3</w:t>
      </w:r>
      <w:r>
        <w:t xml:space="preserve"> </w:t>
      </w:r>
      <w:r>
        <w:t xml:space="preserve">ở mục 6.3, không phải một phép đo bị bỏ quên.</w:t>
      </w:r>
    </w:p>
    <w:bookmarkEnd w:id="167"/>
    <w:bookmarkStart w:id="16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68"/>
    <w:bookmarkStart w:id="169" w:name="X83a4063ca7053738346595d9e36bfe5762b6bbf"/>
    <w:p>
      <w:pPr>
        <w:pStyle w:val="Heading3"/>
      </w:pPr>
      <w:r>
        <w:t xml:space="preserve">5.5.7. Bậc thang thử lại cho biển nghiêng/méo — chi phí, lợi ích và một quyết định tắt tính năng</w:t>
      </w:r>
    </w:p>
    <w:bookmarkEnd w:id="169"/>
    <w:bookmarkEnd w:id="170"/>
    <w:bookmarkStart w:id="184"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1" w:name="Xcfd917aca06ff17d6d7932dfdbc0aeee5513c38"/>
    <w:p>
      <w:pPr>
        <w:pStyle w:val="Heading3"/>
      </w:pPr>
      <w:r>
        <w:t xml:space="preserve">5.6.1. Độ trễ đầu cuối (NFR-P1)</w:t>
      </w:r>
    </w:p>
    <w:p>
      <w:pPr>
        <w:pStyle w:val="FirstParagraph"/>
      </w:pPr>
      <w:r>
        <w:rPr>
          <w:b/>
          <w:bCs/>
        </w:rPr>
        <w:t xml:space="preserve">Bảng 5.8.</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71"/>
    <w:bookmarkStart w:id="172" w:name="X464dfa7416d7b69ad75789fd50c67eaa400499a"/>
    <w:p>
      <w:pPr>
        <w:pStyle w:val="Heading3"/>
      </w:pPr>
      <w:r>
        <w:t xml:space="preserve">5.6.2. Phân rã ngân sách độ trễ theo từng bước</w:t>
      </w:r>
    </w:p>
    <w:p>
      <w:pPr>
        <w:pStyle w:val="FirstParagraph"/>
      </w:pPr>
      <w:r>
        <w:rPr>
          <w:b/>
          <w:bCs/>
        </w:rPr>
        <w:t xml:space="preserve">Bảng 5.9.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72"/>
    <w:bookmarkStart w:id="177"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5.10.</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4" name="Picture"/>
            <a:graphic>
              <a:graphicData uri="http://schemas.openxmlformats.org/drawingml/2006/picture">
                <pic:pic>
                  <pic:nvPicPr>
                    <pic:cNvPr descr="figures/fig-ch5-backends.png" id="175" name="Picture"/>
                    <pic:cNvPicPr>
                      <a:picLocks noChangeArrowheads="1" noChangeAspect="1"/>
                    </pic:cNvPicPr>
                  </pic:nvPicPr>
                  <pic:blipFill>
                    <a:blip r:embed="rId17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6">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7"/>
    <w:bookmarkStart w:id="181"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5.11.</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9" name="Picture"/>
            <a:graphic>
              <a:graphicData uri="http://schemas.openxmlformats.org/drawingml/2006/picture">
                <pic:pic>
                  <pic:nvPicPr>
                    <pic:cNvPr descr="figures/fig-ch5-nfr-p2.png" id="180" name="Picture"/>
                    <pic:cNvPicPr>
                      <a:picLocks noChangeArrowheads="1" noChangeAspect="1"/>
                    </pic:cNvPicPr>
                  </pic:nvPicPr>
                  <pic:blipFill>
                    <a:blip r:embed="rId178"/>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81"/>
    <w:bookmarkStart w:id="182"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5.12.</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5.14.</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82"/>
    <w:bookmarkStart w:id="183"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5.13.</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3"/>
    <w:bookmarkEnd w:id="184"/>
    <w:bookmarkStart w:id="185"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5.14.</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hai</w:t>
            </w:r>
            <w:r>
              <w:t xml:space="preserve">, ⬜</w:t>
            </w:r>
            <w:r>
              <w:t xml:space="preserve"> </w:t>
            </w:r>
            <w:r>
              <w:rPr>
                <w:b/>
                <w:bCs/>
              </w:rPr>
              <w:t xml:space="preserve">một</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85"/>
    <w:bookmarkStart w:id="186" w:name="Xe422198b1000e64c715229721cb79be428798c5"/>
    <w:p>
      <w:pPr>
        <w:pStyle w:val="Heading2"/>
      </w:pPr>
      <w:r>
        <w:t xml:space="preserve">5.8. Phân tích lỗi</w:t>
      </w:r>
    </w:p>
    <w:p>
      <w:pPr>
        <w:pStyle w:val="FirstParagraph"/>
      </w:pPr>
      <w:r>
        <w:rPr>
          <w:b/>
          <w:bCs/>
        </w:rPr>
        <w:t xml:space="preserve">Bảng 5.15.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86"/>
    <w:bookmarkStart w:id="190" w:name="X17c38d19be0e29160aa374b565370025cd3cedc"/>
    <w:p>
      <w:pPr>
        <w:pStyle w:val="Heading2"/>
      </w:pPr>
      <w:r>
        <w:t xml:space="preserve">5.9. Bàn luận</w:t>
      </w:r>
    </w:p>
    <w:bookmarkStart w:id="187"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87"/>
    <w:bookmarkStart w:id="188"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 tới mức không dùng được.</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88"/>
    <w:bookmarkStart w:id="189"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5.16.</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9"/>
    <w:bookmarkEnd w:id="190"/>
    <w:bookmarkStart w:id="191"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5.17.</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91"/>
    <w:bookmarkEnd w:id="192"/>
    <w:bookmarkStart w:id="197" w:name="chương-6-kết-luận-và-hướng-phát-triển"/>
    <w:p>
      <w:pPr>
        <w:pStyle w:val="Heading1"/>
      </w:pPr>
      <w:r>
        <w:t xml:space="preserve">CHƯƠNG 6. KẾT LUẬN VÀ HƯỚNG PHÁT TRIỂN</w:t>
      </w:r>
    </w:p>
    <w:bookmarkStart w:id="193"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không đo được</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3"/>
    <w:bookmarkStart w:id="194"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xuất video đã chú thích và huỷ tác vụ đều đã gỡ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94"/>
    <w:bookmarkStart w:id="195"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95"/>
    <w:bookmarkStart w:id="19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96"/>
    <w:bookmarkEnd w:id="197"/>
    <w:bookmarkStart w:id="21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9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0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0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0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0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0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0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0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1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1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1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1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1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16">
        <w:r>
          <w:rPr>
            <w:rStyle w:val="Hyperlink"/>
          </w:rPr>
          <w:t xml:space="preserve">https://onnxruntime.ai/docs/performance/tune-performance/threading.html</w:t>
        </w:r>
      </w:hyperlink>
      <w:r>
        <w:t xml:space="preserve"> </w:t>
      </w:r>
      <w:r>
        <w:t xml:space="preserve">(truy cập ngày 2026-07-19).</w:t>
      </w:r>
    </w:p>
    <w:p>
      <w:r>
        <w:br w:type="page"/>
      </w:r>
    </w:p>
    <w:bookmarkEnd w:id="217"/>
    <w:bookmarkStart w:id="24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20" w:name="phụ-lục-a-mã-nguồn"/>
    <w:p>
      <w:pPr>
        <w:pStyle w:val="Heading2"/>
      </w:pPr>
      <w:r>
        <w:t xml:space="preserve">Phụ lục A. Mã nguồn</w:t>
      </w:r>
    </w:p>
    <w:bookmarkStart w:id="21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8"/>
    <w:bookmarkStart w:id="21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9"/>
    <w:bookmarkEnd w:id="220"/>
    <w:bookmarkStart w:id="22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21"/>
    <w:bookmarkStart w:id="223" w:name="phụ-lục-c-bộ-dữ-liệu"/>
    <w:p>
      <w:pPr>
        <w:pStyle w:val="Heading2"/>
      </w:pPr>
      <w:r>
        <w:t xml:space="preserve">Phụ lục C. Bộ dữ liệu</w:t>
      </w:r>
    </w:p>
    <w:bookmarkStart w:id="22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22"/>
    <w:bookmarkEnd w:id="223"/>
    <w:bookmarkStart w:id="224" w:name="phụ-lục-d-cài-đặt-và-chạy-hệ-thống"/>
    <w:p>
      <w:pPr>
        <w:pStyle w:val="Heading2"/>
      </w:pPr>
      <w:r>
        <w:t xml:space="preserve">Phụ lục D. Cài đặt và chạy hệ thống</w:t>
      </w:r>
    </w:p>
    <w:p>
      <w:pPr>
        <w:pStyle w:val="FirstParagraph"/>
      </w:pPr>
      <w:r>
        <w:t xml:space="preserve">Quy trình cài đặt, lệnh chạy bằng Docker Compose, cách chạy trực tiếp không</w:t>
      </w:r>
      <w:r>
        <w:t xml:space="preserve"> </w:t>
      </w:r>
      <w:r>
        <w:t xml:space="preserve">dùng Docker và danh sách biến môi trường được trình bày đầy đủ ở hai tài liệu</w:t>
      </w:r>
      <w:r>
        <w:t xml:space="preserve"> </w:t>
      </w:r>
      <w:r>
        <w:t xml:space="preserve">vận hành đi kèm, nên không lặp lại ở đây: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Tài liệu</w:t>
            </w:r>
          </w:p>
        </w:tc>
      </w:tr>
      <w:tr>
        <w:tc>
          <w:tcPr/>
          <w:p>
            <w:pPr>
              <w:pStyle w:val="Compact"/>
            </w:pPr>
            <w:r>
              <w:t xml:space="preserve">Yêu cầu hệ thống, cài đặt từng bước, biến môi trường</w:t>
            </w:r>
          </w:p>
        </w:tc>
        <w:tc>
          <w:tcPr/>
          <w:p>
            <w:pPr>
              <w:pStyle w:val="Compact"/>
            </w:pPr>
            <w:r>
              <w:rPr>
                <w:rStyle w:val="VerbatimChar"/>
              </w:rPr>
              <w:t xml:space="preserve">docs/manuals/installation-guide.md</w:t>
            </w:r>
          </w:p>
        </w:tc>
      </w:tr>
      <w:tr>
        <w:tc>
          <w:tcPr/>
          <w:p>
            <w:pPr>
              <w:pStyle w:val="Compact"/>
            </w:pPr>
            <w:r>
              <w:t xml:space="preserve">Dựng ảnh Docker, kiểm chứng container, bốn lỗi thật đã gặp</w:t>
            </w:r>
          </w:p>
        </w:tc>
        <w:tc>
          <w:tcPr/>
          <w:p>
            <w:pPr>
              <w:pStyle w:val="Compact"/>
            </w:pPr>
            <w:r>
              <w:rPr>
                <w:rStyle w:val="VerbatimChar"/>
              </w:rPr>
              <w:t xml:space="preserve">docs/reports/08-deployment-guide.md</w:t>
            </w:r>
          </w:p>
        </w:tc>
      </w:tr>
    </w:tbl>
    <w:p>
      <w:pPr>
        <w:pStyle w:val="BodyText"/>
      </w:pPr>
      <w:r>
        <w:t xml:space="preserve">Kiến trúc triển khai và lý do chọn Docker trình bày ở</w:t>
      </w:r>
      <w:r>
        <w:t xml:space="preserve"> </w:t>
      </w:r>
      <w:r>
        <w:rPr>
          <w:b/>
          <w:bCs/>
        </w:rPr>
        <w:t xml:space="preserve">mục 4.9</w:t>
      </w:r>
      <w:r>
        <w:t xml:space="preserve">.</w:t>
      </w:r>
    </w:p>
    <w:bookmarkEnd w:id="224"/>
    <w:bookmarkStart w:id="227" w:name="phụ-lục-e-kết-quả-kiểm-thử"/>
    <w:p>
      <w:pPr>
        <w:pStyle w:val="Heading2"/>
      </w:pPr>
      <w:r>
        <w:t xml:space="preserve">Phụ lục E. Kết quả kiểm thử</w:t>
      </w:r>
    </w:p>
    <w:bookmarkStart w:id="22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5"/>
    <w:bookmarkStart w:id="22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6"/>
    <w:bookmarkEnd w:id="227"/>
    <w:bookmarkStart w:id="230" w:name="Xb0ecaefd567621d8f4fd0ba4686066ee0905bcc"/>
    <w:p>
      <w:pPr>
        <w:pStyle w:val="Heading2"/>
      </w:pPr>
      <w:r>
        <w:t xml:space="preserve">Phụ lục F. Giao diện lập trình và cấu hình triển khai</w:t>
      </w:r>
    </w:p>
    <w:bookmarkStart w:id="22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8"/>
    <w:bookmarkStart w:id="22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9"/>
    <w:bookmarkEnd w:id="230"/>
    <w:bookmarkStart w:id="23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1" w:name="X43666e68a1f1972bb1dccbe247050e4abad1170"/>
      <w:r>
        <w:t xml:space="preserve">Bốn yêu cầu mức Won't và hai đợt thu gọn phạm vi</w:t>
      </w:r>
      <w:bookmarkEnd w:id="23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và FR-2.5.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2"/>
    <w:bookmarkStart w:id="23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3"/>
    <w:bookmarkStart w:id="2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34"/>
    <w:bookmarkStart w:id="2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5"/>
    <w:bookmarkEnd w:id="236"/>
    <w:bookmarkEnd w:id="237"/>
    <w:bookmarkStart w:id="23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Tệp tham số nguyên</w:t>
      </w:r>
      <w:r>
        <w:t xml:space="preserve"> </w:t>
      </w:r>
      <w:r>
        <w:t xml:space="preserve">văn do thư viện sinh ra nằm trong kho mã tại</w:t>
      </w:r>
      <w:r>
        <w:t xml:space="preserve"> </w:t>
      </w:r>
      <w:r>
        <w:rPr>
          <w:rStyle w:val="VerbatimChar"/>
        </w:rPr>
        <w:t xml:space="preserve">runs/</w:t>
      </w:r>
      <w:r>
        <w:t xml:space="preserve">, vì một bảng biên tập lại</w:t>
      </w:r>
      <w:r>
        <w:t xml:space="preserve"> </w:t>
      </w:r>
      <w:r>
        <w:t xml:space="preserve">không thay được tệp gốc khi có người muốn chạy lại đúng lượt huấn luyện ấy.</w:t>
      </w:r>
    </w:p>
    <w:p>
      <w:r>
        <w:pict>
          <v:rect style="width:0;height:1.5pt" o:hralign="center" o:hrstd="t" o:hr="t"/>
        </w:pict>
      </w:r>
    </w:p>
    <w:bookmarkStart w:id="238"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8"/>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173" Target="media/rId173.png" /><Relationship Type="http://schemas.openxmlformats.org/officeDocument/2006/relationships/image" Id="rId178" Target="media/rId178.png" /><Relationship Type="http://schemas.openxmlformats.org/officeDocument/2006/relationships/image" Id="rId147" Target="media/rId147.png" /><Relationship Type="http://schemas.openxmlformats.org/officeDocument/2006/relationships/image" Id="rId114" Target="media/rId114.png" /><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2026-08-16T06:57:33Z</dcterms:created>
  <dcterms:modified xsi:type="dcterms:W3CDTF">2026-08-16T06:57:33Z</dcterms:modified>
</cp:coreProperties>
</file>

<file path=docProps/custom.xml><?xml version="1.0" encoding="utf-8"?>
<Properties xmlns="http://schemas.openxmlformats.org/officeDocument/2006/custom-properties" xmlns:vt="http://schemas.openxmlformats.org/officeDocument/2006/docPropsVTypes"/>
</file>