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Hệ thống quản lý nhà trọ</w:t>
      </w:r>
    </w:p>
    <w:p>
      <w:r>
        <w:t>Phân tích yêu cầu và thiết kế cơ sở dữ liệu — học phần Kỹ năng lập trình nâng cao, N03.</w:t>
      </w:r>
    </w:p>
    <w:p>
      <w:r/>
      <w:r>
        <w:rPr>
          <w:b/>
        </w:rPr>
        <w:t>Phạm vi:</w:t>
      </w:r>
      <w:r>
        <w:t xml:space="preserve"> Mô hình mục tiêu 17 bảng; một chủ nhà, nhân viên theo khu và người đại diện hợp đồng.</w:t>
      </w:r>
    </w:p>
    <w:p>
      <w:r/>
      <w:r>
        <w:rPr>
          <w:b/>
        </w:rPr>
        <w:t>Nhóm:</w:t>
      </w:r>
      <w:r>
        <w:t xml:space="preserve"> ………………………………</w:t>
      </w:r>
    </w:p>
    <w:p>
      <w:r>
        <w:br w:type="page"/>
      </w:r>
    </w:p>
    <w:p>
      <w:pPr>
        <w:pStyle w:val="Heading2"/>
      </w:pPr>
      <w:r>
        <w:t>Slide 01 — Hệ thống quản lý nhà trọ</w:t>
      </w:r>
    </w:p>
    <w:p>
      <w:pPr>
        <w:pStyle w:val="ListBullet"/>
      </w:pPr>
      <w:r>
        <w:t>Phân tích yêu cầu và thiết kế cơ sở dữ liệu</w:t>
      </w:r>
    </w:p>
    <w:p>
      <w:pPr>
        <w:pStyle w:val="ListBullet"/>
      </w:pPr>
      <w:r>
        <w:t>Hóa đơn minh bạch — theo dõi công nợ — cảnh báo điện nước</w:t>
      </w:r>
    </w:p>
    <w:p>
      <w:pPr>
        <w:pStyle w:val="ListBullet"/>
      </w:pPr>
      <w:r>
        <w:t>Một chủ nhà, nhiều khu; ba tác nhân ADMIN / STAFF / TENANT</w:t>
      </w:r>
    </w:p>
    <w:p>
      <w:r>
        <w:br w:type="page"/>
      </w:r>
    </w:p>
    <w:p>
      <w:pPr>
        <w:pStyle w:val="Heading2"/>
      </w:pPr>
      <w:r>
        <w:t>Slide 02 — Bài toán và phạm vi</w:t>
      </w:r>
    </w:p>
    <w:p>
      <w:pPr>
        <w:pStyle w:val="ListBullet"/>
      </w:pPr>
      <w:r>
        <w:t>Một chủ nhà quản lý nhiều khu và nhiều phòng.</w:t>
      </w:r>
    </w:p>
    <w:p>
      <w:pPr>
        <w:pStyle w:val="ListBullet"/>
      </w:pPr>
      <w:r>
        <w:t>Theo dõi người thuê, hợp đồng, chỉ số và các khoản phải thu.</w:t>
      </w:r>
    </w:p>
    <w:p>
      <w:pPr>
        <w:pStyle w:val="ListBullet"/>
      </w:pPr>
      <w:r>
        <w:t>Người thuê xem được căn cứ tính tiền và lịch sử thanh toán.</w:t>
      </w:r>
    </w:p>
    <w:p>
      <w:pPr>
        <w:pStyle w:val="ListBullet"/>
      </w:pPr>
      <w:r>
        <w:t>MVP: cho thuê → tính tiền → thu tiền → quyết toán; kèm xử lý sự cố.</w:t>
      </w:r>
    </w:p>
    <w:p>
      <w:pPr>
        <w:pStyle w:val="ListBullet"/>
      </w:pPr>
      <w:r>
        <w:t>Thanh toán ghi nhận thủ công; đặt phòng công khai, AI/IoT ngoài phạm vi.</w:t>
      </w:r>
    </w:p>
    <w:p>
      <w:r>
        <w:br w:type="page"/>
      </w:r>
    </w:p>
    <w:p>
      <w:pPr>
        <w:pStyle w:val="Heading2"/>
      </w:pPr>
      <w:r>
        <w:t>Slide 03 — Tác nhân và phân quyền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Tác nhân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Được thực hiện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Giới hạn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Chủ nhà / ADMIN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Quản lý tài khoản, phân công, khu/phòng và tài chính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Toàn bộ hệ thống của chủ nhà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Nhân viên / STAFF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 hợp đồng, ghi chỉ số, lập hóa đơn, thu tiền, xử lý sự cố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Khu được phân công; không quản trị tài khoản/quyền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Người thuê / TENANT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Xem hợp đồng, hóa đơn, giao dịch; gửi và theo dõi sự cố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Chỉ hợp đồng mình đại diện; không tự xác nhận thu tiền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04 — Chức năng quản lý và cho thuê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Nhóm chức năng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Use Case chính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Tác nhân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Tài khoản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Tạo tài khoản; cập nhật, khóa tài khoản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Phân công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Phân công nhân viên; thu hồi phân công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Khu và phòng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Tạo khu/phòng; cập nhật phòng; chuyển phòng bảo trì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ADMIN; STAFF theo quyền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Người thuê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Tạo, cập nhật hồ sơ; tra cứu người thuê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ADMIN; tra cứu có giới hạn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Hợp đồng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Lập, tra cứu hợp đồng; cập nhật thành viên cư trú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 / STAFF; TENANT tra cứu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05 — Chức năng tính tiền và vận hành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Nhóm chức năng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Use Case chính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Dịch vụ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Thiết lập đơn giá và ngưỡng cảnh báo theo khu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Điện nước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Ghi chỉ số; sửa chỉ số cuối; kiểm tra cảnh báo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Hóa đơn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Lập nháp; xóa nháp; phát hành; tra cứu hóa đơn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Thanh toán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Ghi nhận thanh toán; tra cứu công nợ; tổng hợp tiền thu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Trả phòng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Chốt kỳ cuối; quyết toán; cấn cọc; xác định hoàn/thu thêm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Sự cố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Gửi yêu cầu; đính kèm ảnh; cập nhật và theo dõi tiến độ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06 — Luồng lập và phát hành hóa đơn</w:t>
      </w:r>
    </w:p>
    <w:p>
      <w:pPr>
        <w:pStyle w:val="ListBullet"/>
      </w:pPr>
      <w:r>
        <w:t>Kiểm tra kỳ, đơn giá, chỉ số và hóa đơn trùng trước khi lập nháp.</w:t>
      </w:r>
    </w:p>
    <w:p>
      <w:pPr>
        <w:pStyle w:val="ListBullet"/>
      </w:pPr>
      <w:r>
        <w:t>Có cảnh báo chờ kiểm tra thì chưa phát hành; nhập sai thì xóa nháp, sửa chỉ số và lập lại.</w:t>
      </w:r>
    </w:p>
    <w:p>
      <w:pPr>
        <w:pStyle w:val="ListBullet"/>
      </w:pPr>
      <w:r>
        <w:t>Chỉ phát hành khi đến ngày; giữ nguyên giá snapshot và chỉ số được tham chiếu.</w:t>
      </w:r>
    </w:p>
    <w:p>
      <w:r>
        <w:br w:type="page"/>
      </w:r>
    </w:p>
    <w:p>
      <w:pPr>
        <w:pStyle w:val="Heading2"/>
      </w:pPr>
      <w:r>
        <w:t>Slide 07 — Luồng quyết toán trả phòng</w:t>
      </w:r>
    </w:p>
    <w:p>
      <w:pPr>
        <w:pStyle w:val="ListBullet"/>
      </w:pPr>
      <w:r>
        <w:t>Kiểm tra quyền, ngày trả và việc quyết toán trùng.</w:t>
      </w:r>
    </w:p>
    <w:p>
      <w:pPr>
        <w:pStyle w:val="ListBullet"/>
      </w:pPr>
      <w:r>
        <w:t>Chốt chỉ số, hoàn tất hóa đơn mọi tháng đã ở; hóa đơn đã phát hành phải khớp ngày/chỉ số.</w:t>
      </w:r>
    </w:p>
    <w:p>
      <w:pPr>
        <w:pStyle w:val="ListBullet"/>
      </w:pPr>
      <w:r>
        <w:t>Số quyết toán = cọc − thiệt hại − công nợ; công nợ đã gồm điện nước kỳ cuối.</w:t>
      </w:r>
    </w:p>
    <w:p>
      <w:pPr>
        <w:pStyle w:val="ListBullet"/>
      </w:pPr>
      <w:r>
        <w:t>Lưu kết quả, tạo giao dịch cấn cọc và kết thúc hợp đồng trong một giao dịch.</w:t>
      </w:r>
    </w:p>
    <w:p>
      <w:r>
        <w:br w:type="page"/>
      </w:r>
    </w:p>
    <w:p>
      <w:pPr>
        <w:pStyle w:val="Heading2"/>
      </w:pPr>
      <w:r>
        <w:t>Slide 08 — Quy tắc nghiệp vụ chính</w:t>
      </w:r>
    </w:p>
    <w:p>
      <w:pPr>
        <w:pStyle w:val="ListBullet"/>
      </w:pPr>
      <w:r>
        <w:t>Khoảng cư trú [ngày vào, ngày ra): trả ngày 16 thì tính đến hết ngày 15.</w:t>
      </w:r>
    </w:p>
    <w:p>
      <w:pPr>
        <w:pStyle w:val="ListBullet"/>
      </w:pPr>
      <w:r>
        <w:t>Phí tháng tính theo ngày ở/ngày-người; điện nước tính chênh chỉ số.</w:t>
      </w:r>
    </w:p>
    <w:p>
      <w:pPr>
        <w:pStyle w:val="ListBullet"/>
      </w:pPr>
      <w:r>
        <w:t>Đơn giá lấy tại đầu kỳ; một hợp đồng có tối đa một hóa đơn mỗi kỳ.</w:t>
      </w:r>
    </w:p>
    <w:p>
      <w:pPr>
        <w:pStyle w:val="ListBullet"/>
      </w:pPr>
      <w:r>
        <w:t>Hóa đơn đã phát hành giữ nguyên; mỗi lần thu phải dương và không vượt nợ.</w:t>
      </w:r>
    </w:p>
    <w:p>
      <w:pPr>
        <w:pStyle w:val="ListBullet"/>
      </w:pPr>
      <w:r>
        <w:t>Cọc trừ thiệt hại, sau đó cấn công nợ; không trừ điện nước hai lần.</w:t>
      </w:r>
    </w:p>
    <w:p>
      <w:r>
        <w:br w:type="page"/>
      </w:r>
    </w:p>
    <w:p>
      <w:pPr>
        <w:pStyle w:val="Heading2"/>
      </w:pPr>
      <w:r>
        <w:t>Slide 09 — Mô hình dữ liệu: 17 bảng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Nhóm dữ liệu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Các bảng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Tài khoản và phân công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users, employee_assignments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Khu và phòng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properties, rooms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Người thuê và hợp đồng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tenant_profiles, contracts, contract_members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Dịch vụ và điện nước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service_items, service_price_configs, meter_readings, consumption_alerts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Hóa đơn và quyết toán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invoices, invoice_items, payment_transactions, checkout_records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Sự cố và ảnh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maintenance_requests, maintenance_images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10 — ERD — khu nhà, người thuê và hợp đồng</w:t>
      </w:r>
    </w:p>
    <w:p>
      <w:pPr>
        <w:pStyle w:val="ListBullet"/>
      </w:pPr>
      <w:r>
        <w:t>properties 1–N rooms; rooms 1–N contracts; tenant_profiles 1–N contracts.</w:t>
      </w:r>
    </w:p>
    <w:p>
      <w:pPr>
        <w:pStyle w:val="ListBullet"/>
      </w:pPr>
      <w:r>
        <w:t>contracts N–N tenant_profiles qua contract_members đối với các lần ở cùng.</w:t>
      </w:r>
    </w:p>
    <w:p>
      <w:pPr>
        <w:pStyle w:val="ListBullet"/>
      </w:pPr>
      <w:r>
        <w:t>Mã phòng duy nhất trong khu; khoảng thuê không được chồng nhau.</w:t>
      </w:r>
    </w:p>
    <w:p>
      <w:r>
        <w:br w:type="page"/>
      </w:r>
    </w:p>
    <w:p>
      <w:pPr>
        <w:pStyle w:val="Heading2"/>
      </w:pPr>
      <w:r>
        <w:t>Slide 11 — ERD — đơn giá, chỉ số và cảnh báo</w:t>
      </w:r>
    </w:p>
    <w:p>
      <w:pPr>
        <w:pStyle w:val="ListBullet"/>
      </w:pPr>
      <w:r>
        <w:t>Đơn giá riêng cho từng khu–dịch vụ–ngày hiệu lực.</w:t>
      </w:r>
    </w:p>
    <w:p>
      <w:pPr>
        <w:pStyle w:val="ListBullet"/>
      </w:pPr>
      <w:r>
        <w:t>Chỉ số chỉ lưu hợp đồng, kỳ và dịch vụ đo đếm; phòng và lượng dùng truy ra bằng view.</w:t>
      </w:r>
    </w:p>
    <w:p>
      <w:pPr>
        <w:pStyle w:val="ListBullet"/>
      </w:pPr>
      <w:r>
        <w:t>Một chỉ số có tối đa một cảnh báo; thông tin đánh giá và người kiểm tra có căn cứ.</w:t>
      </w:r>
    </w:p>
    <w:p>
      <w:r>
        <w:br w:type="page"/>
      </w:r>
    </w:p>
    <w:p>
      <w:pPr>
        <w:pStyle w:val="Heading2"/>
      </w:pPr>
      <w:r>
        <w:t>Slide 12 — ERD — hóa đơn, giao dịch và quyết toán</w:t>
      </w:r>
    </w:p>
    <w:p>
      <w:pPr>
        <w:pStyle w:val="ListBullet"/>
      </w:pPr>
      <w:r>
        <w:t>Một hóa đơn có nhiều dòng và nhiều giao dịch.</w:t>
      </w:r>
    </w:p>
    <w:p>
      <w:pPr>
        <w:pStyle w:val="ListBullet"/>
      </w:pPr>
      <w:r>
        <w:t>Mỗi hợp đồng có tối đa một quyết toán; dòng đo đếm tham chiếu chỉ số cùng hợp đồng/kỳ.</w:t>
      </w:r>
    </w:p>
    <w:p>
      <w:pPr>
        <w:pStyle w:val="ListBullet"/>
      </w:pPr>
      <w:r>
        <w:t>Chỉ lưu nguồn dữ liệu và snapshot cần bảo toàn; không lưu nhiều bản sao của tổng tiền.</w:t>
      </w:r>
    </w:p>
    <w:p>
      <w:r>
        <w:br w:type="page"/>
      </w:r>
    </w:p>
    <w:p>
      <w:pPr>
        <w:pStyle w:val="Heading2"/>
      </w:pPr>
      <w:r>
        <w:t>Slide 13 — Thuộc tính và kiểu dữ liệu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Dữ liệu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Kiểu lựa chọn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Căn cứ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Khóa nội bộ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BIGINT IDENTITY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Liên kết ổn định bằng PK/FK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Tiền, đơn giá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NUMERIC(12,2)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Thập phân chính xác; làm tròn thành tiền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Chỉ số điện nước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NUMERIC(10,2)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Có thể có phần thập phân; mới ≥ cũ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Điện thoại, giấy tờ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VARCHAR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Giữ số 0 đầu; không dùng làm phép tính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Ngày / thời điểm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DATE / TIMESTAMPTZ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Phân biệt ngày nghiệp vụ và thời điểm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Kỳ 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DATE ngày đầu tháng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Kiểu ngày hợp lệ; CHECK ngày = 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14 — Khóa và ràng buộc toàn vẹn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Cơ chế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Quy tắc được bảo vệ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PK + FK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Mọi bảng có định danh; không tham chiếu bản ghi không tồn tại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UNIQUE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Không trùng mã phòng trong khu, hóa đơn/kỳ hoặc mã giao dịch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CHECK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Tiền hợp lệ; mới ≥ cũ; ngày hợp lệ; trạng thái đúng tập giá trị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EXCLUDE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Không chồng khoảng thuê phòng hoặc khoảng cư trú của cùng thành viên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Trigger + khóa hàng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Không thu vượt nợ; không sửa hóa đơn phát hành; kiểm tra liên bảng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15 — Quan hệ và bảng trung gian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Quan hệ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Ví dụ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Cách biểu diễn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1–0..1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Tài khoản–hồ sơ; hợp đồng–quyết toán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UNIQUE trên FK; liên kết tùy chọn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1–N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Khu–phòng; hợp đồng–hóa đơn; hóa đơn–giao dịch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FK ở phía nhiều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N–N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Nhân viên–khu nhà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employee_assignments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N–N theo thời gian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Người thuê–hợp đồng ở cùng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contract_members + khoảng cư trú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N–N có lịch sử giá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Khu nhà–dịch vụ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service_price_configs + ngày hiệu lực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16 — Chuẩn hóa dữ liệu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Mức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Vấn đề cần tránh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Cách xử lý trong mô hình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1NF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Nhiều ảnh trong một cột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maintenance_images: mỗi dòng một ảnh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2NF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Thông tin chỉ phụ thuộc một phần khóa ghép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Không lưu họ tên ở thành viên; không lưu room_id ở chỉ số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3NF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Thông tin danh mục lặp qua bảng quan hệ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Hồ sơ người và danh mục dịch vụ lưu tại thực thể riêng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Dữ liệu suy ra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Nhiều cột tổng hợp có thể cập nhật lệch nhau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Tính lượng dùng, thành tiền, công nợ và trạng thái qua view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17 — Phụ thuộc dữ liệu và bảo toàn lịch sử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Phụ thuộc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Quyết định thiết kế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tenant_id → thông tin cá nhân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Bảng thành viên chỉ tham chiếu hồ sơ người thuê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contract_id → room_id → property_id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Chỉ số và sự cố truy ra khu/phòng qua hợp đồng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Chỉ số mới − chỉ số cũ → lượng dùng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Tính lượng dùng; không nhập lại tại cảnh báo/hóa đơn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Dòng hóa đơn + giao dịch → công nợ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Một view tính tổng, đã thu và số còn nợ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18 — Đối chiếu nghiệp vụ và kiểm tra dữ liệu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Nghiệp vụ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Dữ liệu chính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Tình huống đã kiểm tra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 hợp đồng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rooms, contracts, contract_members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Chồng thời gian; phòng bảo trì; vượt sức chứa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Lập/phát hành 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meter_readings, invoices, invoice_items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Trùng kỳ; cảnh báo PENDING; sai chỉ số tham chiếu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Thu tiền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invoices, payment_transactions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Tiền âm; trùng giao dịch; thu vượt công nợ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Trả phòng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checkout_records và giao dịch cấn cọc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Snapshot trước cấn; không tính điện nước hai lần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Gửi sự cố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maintenance_requests, maintenance_images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Sai người gửi; sai người đính kèm; ảnh rỗng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19 — Ví dụ hóa đơn và quyết toán</w:t>
      </w:r>
    </w:p>
    <w:p>
      <w:pPr>
        <w:pStyle w:val="ListBullet"/>
      </w:pPr>
      <w:r>
        <w:t>Dữ liệu minh họa; các khoản nợ khác giả định bằng 0.</w:t>
      </w:r>
    </w:p>
    <w:p>
      <w:pPr>
        <w:pStyle w:val="ListBullet"/>
      </w:pPr>
      <w:r>
        <w:t>Cấn cọc 1.680.000 tạo DEPOSIT_OFFSET; hóa đơn hết nợ nhưng tiền mới nhận vẫn là 2.000.000.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Khoản thu — ở đủ tháng 09/2026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Công thức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Thành tiền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Tiền phòng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3.000.000 × 30/30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3.000.000 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Điện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(1.120 − 1.000) × 3.500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420.000 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Nước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(128 − 120) × 20.000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160.000 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Internet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100.000 × 30/30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100.000 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Tổng 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3.680.000 đ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20 — Phân công thực hiện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  <w:tblHeader/>
        </w:trPr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Họ tên — MSSV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Phần việc thực hiện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Minh chứng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Đóng góp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Tài liệu / commit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Tài liệu / commit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Tài liệu / commit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Tài liệu / commit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21 — ERD — yêu cầu sửa chữa và ảnh</w:t>
      </w:r>
    </w:p>
    <w:p>
      <w:pPr>
        <w:pStyle w:val="ListBullet"/>
      </w:pPr>
      <w:r>
        <w:t>Sự cố gắn hợp đồng; khu/phòng truy ra qua hợp đồng.</w:t>
      </w:r>
    </w:p>
    <w:p>
      <w:pPr>
        <w:pStyle w:val="ListBullet"/>
      </w:pPr>
      <w:r>
        <w:t>Người gửi, người được giao và người đính kèm đều tham chiếu users.</w:t>
      </w:r>
    </w:p>
    <w:p>
      <w:pPr>
        <w:pStyle w:val="ListBullet"/>
      </w:pPr>
      <w:r>
        <w:t>Một yêu cầu có nhiều ảnh; mỗi dòng một URL.</w:t>
      </w:r>
    </w:p>
    <w:p>
      <w:r>
        <w:br w:type="page"/>
      </w:r>
    </w:p>
    <w:p>
      <w:pPr>
        <w:pStyle w:val="Heading2"/>
      </w:pPr>
      <w:r>
        <w:t>Slide 22 — ERD tổng thể — 17 bảng</w:t>
      </w:r>
    </w:p>
    <w:p>
      <w:pPr>
        <w:pStyle w:val="ListBullet"/>
      </w:pPr>
      <w:r>
        <w:t>17 bảng, 138 cột và 28 khóa ngoại; cùng mô hình với các ERD chi tiết.</w:t>
      </w:r>
    </w:p>
    <w:p>
      <w:pPr>
        <w:pStyle w:val="ListBullet"/>
      </w:pPr>
      <w:r>
        <w:t>Bản xuất chính thức từ dbdiagram.io: diagrams/quanlytro-dbdiagram-official.svg.</w:t>
      </w:r>
    </w:p>
    <w:p>
      <w:r>
        <w:br w:type="page"/>
      </w:r>
    </w:p>
    <w:p>
      <w:pPr>
        <w:pStyle w:val="Heading1"/>
      </w:pPr>
      <w:r>
        <w:t>Phụ lục — danh mục Use Case</w:t>
      </w:r>
    </w:p>
    <w:p>
      <w:r/>
      <w:r>
        <w:rPr>
          <w:b/>
        </w:rPr>
        <w:t>A:</w:t>
      </w:r>
      <w:r>
        <w:t xml:space="preserve"> ADMIN. </w:t>
      </w:r>
      <w:r>
        <w:rPr>
          <w:b/>
        </w:rPr>
        <w:t>S:</w:t>
      </w:r>
      <w:r>
        <w:t xml:space="preserve"> STAFF theo khu được giao. </w:t>
      </w:r>
      <w:r>
        <w:rPr>
          <w:b/>
        </w:rPr>
        <w:t>T:</w:t>
      </w:r>
      <w:r>
        <w:t xml:space="preserve"> TENANT theo hợp đồng mình đại diện. Hồ sơ chưa gắn hợp đồng do ADMIN tiếp nhận; STAFF tra cứu hồ sơ có căn cứ trong khu được giao.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  <w:tblHeader/>
        </w:trPr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Mã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Chức năng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Tác nhân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Dữ liệu chính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UC01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Đăng nhập hệ thống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UC02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Đổi mật khẩu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UC03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Tạo tài khoản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UC04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nhật, khóa tài khoản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UC05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Phân công, thu hồi phân công nhân viên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employee_assignments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UC06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Tạo khu nhà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properties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UC07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khu nhà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properties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UC08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Ngừng khai thác khu nhà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properties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UC09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Tạo phòng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rooms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UC10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phòng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rooms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UC11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Chuyển phòng sang bảo trì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rooms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UC12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Xóa phòng chưa có phụ thuộc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rooms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UC13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Tạo hồ sơ người thuê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tenant_profiles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UC14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hồ sơ người thuê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tenant_profiles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UC15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Tra cứu hồ sơ người thuê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tenant_profiles, contracts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UC16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Lập hợp đồng thuê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contracts, rooms, tenant_profiles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UC17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Tra cứu hợp đồng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contracts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UC18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thành viên cư trú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contract_members, tenant_profiles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UC19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Thiết lập dịch vụ và đơn giá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service_items, service_price_configs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UC20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Ghi chỉ số điện nước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meter_readings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UC21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Sửa chỉ số cuối chưa dùng trong hóa đơn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meter_readings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UC22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Kiểm tra, xác nhận cảnh báo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consumption_alerts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UC23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Lập hóa đơn nháp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invoices, invoice_items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UC24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Xóa hóa đơn nháp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invoices, invoice_items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UC25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Phát hành hóa đơn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invoices, consumption_alerts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UC26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Tra cứu hóa đơn đã phát hành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v_invoice_lines, v_invoice_balances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UC27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Ghi nhận thanh toán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payment_transactions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UC28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Tra cứu công nợ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v_invoice_balances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UC29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Quyết toán trả phòng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contracts, checkout_records, payment_transactions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UC30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Gửi yêu cầu sửa chữa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maintenance_requests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UC31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tiến độ sửa chữa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maintenance_requests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UC32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Theo dõi yêu cầu sửa chữa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maintenance_requests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UC33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Tổng hợp tiền thu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payment_transactions, v_invoice_balances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UC34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Đính kèm ảnh sự cố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maintenance_images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UC35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Thiết lập ngưỡng cảnh báo theo khu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properties</w:t>
            </w:r>
          </w:p>
        </w:tc>
      </w:tr>
    </w:tbl>
    <w:p>
      <w:pPr>
        <w:spacing w:after="20"/>
      </w:pPr>
    </w:p>
    <w:p>
      <w:pPr>
        <w:pStyle w:val="Heading2"/>
      </w:pPr>
      <w:r>
        <w:t>Quy tắc dữ liệu</w:t>
      </w:r>
    </w:p>
    <w:p>
      <w:pPr>
        <w:pStyle w:val="ListBullet"/>
      </w:pPr>
      <w:r>
        <w:t>Một hồ sơ dùng chung cho các lần cư trú. Người đại diện không được thêm lần nữa như thành viên của chính hợp đồng.</w:t>
      </w:r>
    </w:p>
    <w:p>
      <w:pPr>
        <w:pStyle w:val="ListBullet"/>
      </w:pPr>
      <w:r>
        <w:t>Mã phòng duy nhất trong khu; không cho thuê chồng khoảng thời gian; không vượt sức chứa.</w:t>
      </w:r>
    </w:p>
    <w:p>
      <w:pPr>
        <w:pStyle w:val="ListBullet"/>
      </w:pPr>
      <w:r>
        <w:t>Ngày ra không tính tiền. Tiền phòng/phí tháng chia theo ngày hoặc ngày-người; điện nước dùng chênh chỉ số.</w:t>
      </w:r>
    </w:p>
    <w:p>
      <w:pPr>
        <w:pStyle w:val="ListBullet"/>
      </w:pPr>
      <w:r>
        <w:t>Kỳ là ngày đầu tháng. Một hợp đồng/kỳ có tối đa một hóa đơn; không phát hành khi còn cảnh báo PENDING.</w:t>
      </w:r>
    </w:p>
    <w:p>
      <w:pPr>
        <w:pStyle w:val="ListBullet"/>
      </w:pPr>
      <w:r>
        <w:t>Hóa đơn phát hành và chỉ số đã sử dụng không được sửa; giao dịch thu tiền chỉ được thêm mới.</w:t>
      </w:r>
    </w:p>
    <w:p>
      <w:pPr>
        <w:pStyle w:val="ListBullet"/>
      </w:pPr>
      <w:r>
        <w:t>Giữ tên, đơn vị, đơn giá tại lúc tính tiền. Tổng tiền và công nợ tính qua view, không lưu lặp.</w:t>
      </w:r>
    </w:p>
    <w:p>
      <w:pPr>
        <w:pStyle w:val="ListBullet"/>
      </w:pPr>
      <w:r>
        <w:t>Quyết toán giữ cọc và nợ snapshot trước cấn. Cấn cọc không phải dòng tiền thu mới; số quyết toán có thể âm.</w:t>
      </w:r>
    </w:p>
    <w:p>
      <w:pPr>
        <w:pStyle w:val="ListBullet"/>
      </w:pPr>
      <w:r>
        <w:t>Cùng một transaction phải giữ hợp đồng kết thúc, bản quyết toán và giao dịch cấn cọc nhất quán.</w:t>
      </w:r>
    </w:p>
    <w:p>
      <w:pPr>
        <w:pStyle w:val="Heading2"/>
      </w:pPr>
      <w:r>
        <w:t>Đặc tả Use Case chính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cantSplit/>
          <w:tblHeader/>
        </w:trPr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Use Case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Tiền điều kiện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Luồng chính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Nhánh thay thế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Hậu điều kiện</w:t>
            </w:r>
          </w:p>
        </w:tc>
      </w:tr>
      <w:tr>
        <w:trPr>
          <w:cantSplit/>
        </w:trPr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Phát hành hóa đơn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Đúng quyền; hóa đơn DRAFT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Kiểm tra ngày, giá, lượng tính phí và cảnh báo → ISSUED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Thiếu dữ liệu hoặc còn PENDING thì giữ nháp; sai chỉ số thì xóa nháp và lập lại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Snapshot và dữ liệu tham chiếu được bảo vệ</w:t>
            </w:r>
          </w:p>
        </w:tc>
      </w:tr>
      <w:tr>
        <w:trPr>
          <w:cantSplit/>
        </w:trPr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Quyết toán trả phòng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Hợp đồng/ngày hợp lệ; chưa quyết toán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Hoàn tất mọi kỳ → chốt cọc/nợ/thiệt hại → cấn cọc → lưu kết quả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Thiếu hóa đơn thì bổ sung; dữ liệu phát hành không khớp thì dừng; cọc thiếu thì ghi phải thu thêm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Một bản quyết toán; công nợ và giao dịch cấn cọc đối chiếu được</w:t>
            </w:r>
          </w:p>
        </w:tc>
      </w:tr>
    </w:tbl>
    <w:p>
      <w:pPr>
        <w:spacing w:after="20"/>
      </w:pPr>
    </w:p>
    <w:p>
      <w:pPr>
        <w:pStyle w:val="Heading2"/>
      </w:pPr>
      <w:r>
        <w:t>Hồ sơ dữ liệu</w:t>
      </w:r>
    </w:p>
    <w:p>
      <w:pPr>
        <w:pStyle w:val="ListBullet"/>
      </w:pPr>
      <w:r>
        <w:t>Thiết kế và ràng buộc.</w:t>
      </w:r>
    </w:p>
    <w:p>
      <w:pPr>
        <w:pStyle w:val="ListBullet"/>
      </w:pPr>
      <w:r>
        <w:t>Chứng minh chuẩn hóa.</w:t>
      </w:r>
    </w:p>
    <w:p>
      <w:pPr>
        <w:pStyle w:val="ListBullet"/>
      </w:pPr>
      <w:r>
        <w:t>DBML, SQL, view và trigger.</w:t>
      </w:r>
    </w:p>
    <w:p>
      <w:pPr>
        <w:pStyle w:val="ListBullet"/>
      </w:pPr>
      <w:r>
        <w:t>ERD chính thức — SVG, PNG, PDF.</w:t>
      </w:r>
    </w:p>
    <w:p>
      <w:pPr>
        <w:pStyle w:val="ListBullet"/>
      </w:pPr>
      <w:r>
        <w:t>Ca kiểm tra DB, kết quả thực thi.</w:t>
      </w:r>
    </w:p>
    <w:p>
      <w:pPr>
        <w:pStyle w:val="ListBullet"/>
      </w:pPr>
      <w:r>
        <w:t>Luồng hóa đơn, luồng trả phòng.</w:t>
      </w:r>
    </w:p>
    <w:p>
      <w:pPr>
        <w:pStyle w:val="Heading2"/>
      </w:pPr>
      <w:r>
        <w:t>Phiên bản triển khai</w:t>
      </w:r>
    </w:p>
    <w:p>
      <w:r>
        <w:t>Hồ sơ bước 1–2 dùng mô hình 17 bảng. Backend đã được triển khai theo mô hình này bằng Flyway V10, giữ nguyên V1–V9 và lưu dữ liệu prototype trong schema prototype_v9. Kết quả 40 ca SQL thiết kế được tách khỏi kiểm chứng backend/API; xem BACKEND-17-TABLES.md và backend-validation.json cho phần triển khai.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07" w:bottom="964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748B"/>
        <w:sz w:val="16"/>
      </w:rPr>
      <w:t>QUẢN LÝ NHÀ TRỌ | PHÂN TÍCH YÊU CẦU &amp; THIẾT KẾ CSDL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9" w:lineRule="auto"/>
    </w:pPr>
    <w:rPr>
      <w:rFonts w:ascii="Arial" w:hAnsi="Arial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Nội dung thuyết trình: Phân tích yêu cầu và thiết kế CSDL quản lý nhà trọ</dc:title>
  <dc:subject>20 slide chính, lời trình bày và phụ lục chuẩn bị hỏi đáp</dc:subject>
  <dc:creator>Nhóm thực hiện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