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A6219D"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222220" r:id="rId10"/>
          <o:OLEObject Type="Embed" ProgID="Word.Picture.8" ShapeID="_x0000_s1033" DrawAspect="Content" ObjectID="_1683222221"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A6219D">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A6219D">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A6219D">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A6219D">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A6219D">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A6219D">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A6219D">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A6219D">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A6219D">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A6219D">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A6219D">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A6219D">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A6219D">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A6219D">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A6219D">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A6219D">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A6219D">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A6219D">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A6219D">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A6219D">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A6219D">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A6219D">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A6219D">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A6219D">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72FD8898" w14:textId="2ABD933E"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45C67974" w14:textId="0340CF78"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863CF69" w14:textId="77777777"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B8E8B60" w14:textId="3EC2562A" w:rsidR="00424FDA" w:rsidRDefault="003C5BA1"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37792" behindDoc="0" locked="0" layoutInCell="1" allowOverlap="1" wp14:anchorId="41A71A57" wp14:editId="6270BA16">
            <wp:simplePos x="0" y="0"/>
            <wp:positionH relativeFrom="margin">
              <wp:align>right</wp:align>
            </wp:positionH>
            <wp:positionV relativeFrom="paragraph">
              <wp:posOffset>353695</wp:posOffset>
            </wp:positionV>
            <wp:extent cx="5788025" cy="7353300"/>
            <wp:effectExtent l="0" t="0" r="3175"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533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54118258"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2C6267F0" w14:textId="125435DE"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3ECA8338" w14:textId="54491269"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2070" w:type="dxa"/>
          </w:tcPr>
          <w:p w14:paraId="337BC566" w14:textId="667C9410"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2070" w:type="dxa"/>
          </w:tcPr>
          <w:p w14:paraId="5FB9D229" w14:textId="54EB6B34"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277E" w14:textId="77777777" w:rsidR="00A6219D" w:rsidRDefault="00A6219D">
      <w:pPr>
        <w:spacing w:line="240" w:lineRule="auto"/>
      </w:pPr>
      <w:r>
        <w:separator/>
      </w:r>
    </w:p>
  </w:endnote>
  <w:endnote w:type="continuationSeparator" w:id="0">
    <w:p w14:paraId="0A416E6A" w14:textId="77777777" w:rsidR="00A6219D" w:rsidRDefault="00A62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CEA0" w14:textId="77777777" w:rsidR="00A6219D" w:rsidRDefault="00A6219D">
      <w:pPr>
        <w:spacing w:line="240" w:lineRule="auto"/>
      </w:pPr>
      <w:r>
        <w:separator/>
      </w:r>
    </w:p>
  </w:footnote>
  <w:footnote w:type="continuationSeparator" w:id="0">
    <w:p w14:paraId="73B8CD8A" w14:textId="77777777" w:rsidR="00A6219D" w:rsidRDefault="00A621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497D"/>
    <w:rsid w:val="000B507A"/>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219D"/>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55</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2994</cp:revision>
  <cp:lastPrinted>2021-05-20T02:58:00Z</cp:lastPrinted>
  <dcterms:created xsi:type="dcterms:W3CDTF">2021-04-10T03:47:00Z</dcterms:created>
  <dcterms:modified xsi:type="dcterms:W3CDTF">2021-05-22T13:57:00Z</dcterms:modified>
</cp:coreProperties>
</file>