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Công văn triển khai kế hoạch quý IV</w:t>
      </w:r>
    </w:p>
    <w:p>
      <w:pPr>
        <w:pStyle w:val="BodyText"/>
        <w:bidi w:val="0"/>
        <w:spacing w:lineRule="auto" w:line="276" w:before="0" w:after="120"/>
        <w:jc w:val="left"/>
        <w:rPr/>
      </w:pPr>
      <w:r>
        <w:rPr/>
        <w:t>Nội dung thân trang công văn số 128/KH-ĐT. Đoạn này chỉ thuộc body, không phải header hay footer.</w:t>
      </w:r>
    </w:p>
    <w:sectPr>
      <w:headerReference w:type="default" r:id="rId2"/>
      <w:footerReference w:type="default" r:id="rId3"/>
      <w:type w:val="nextPage"/>
      <w:pgSz w:w="11906" w:h="16838"/>
      <w:pgMar w:left="1417" w:right="1134" w:gutter="0" w:header="1134" w:top="1648" w:footer="1134" w:bottom="1648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center"/>
      <w:rPr/>
    </w:pPr>
    <w:r>
      <w:rPr/>
      <w:t xml:space="preserve">Trang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/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· Ngày 05/09/2026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left"/>
      <w:rPr/>
    </w:pPr>
    <w:r>
      <w:rPr/>
      <w:t>Công ty TNHH Sao Việt — Phòng Kế hoạch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sz w:val="36"/>
    </w:rPr>
  </w:style>
  <w:style w:type="paragraph" w:styleId="Heading">
    <w:name w:val="Heading"/>
    <w:basedOn w:val="Normal"/>
    <w:next w:val="BodyText"/>
    <w:qFormat/>
    <w:pPr>
      <w:keepNext w:val="true"/>
    </w:pPr>
    <w:rPr>
      <w:b/>
    </w:rPr>
  </w:style>
  <w:style w:type="paragraph" w:styleId="BodyText">
    <w:name w:val="Body Text"/>
    <w:basedOn w:val="Normal"/>
    <w:pPr>
      <w:spacing w:lineRule="auto" w:line="276" w:before="0" w:after="12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>
      <w:sz w:val="20"/>
    </w:rPr>
  </w:style>
  <w:style w:type="paragraph" w:styleId="Footer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  <w:jc w:val="center"/>
    </w:pPr>
    <w:rPr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