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7979" w:type="dxa"/>
        <w:jc w:val="left"/>
        <w:tblInd w:w="28" w:type="dxa"/>
        <w:tblLayout w:type="fixed"/>
        <w:tblCellMar>
          <w:top w:w="28" w:type="dxa"/>
          <w:left w:w="28" w:type="dxa"/>
          <w:bottom w:w="28" w:type="dxa"/>
          <w:right w:w="28" w:type="dxa"/>
        </w:tblCellMar>
      </w:tblPr>
      <w:tblGrid>
        <w:gridCol w:w="2518"/>
        <w:gridCol w:w="5461"/>
      </w:tblGrid>
      <w:tr>
        <w:trPr/>
        <w:tc>
          <w:tcPr>
            <w:tcW w:w="2518" w:type="dxa"/>
            <w:tcBorders/>
            <w:vAlign w:val="center"/>
          </w:tcPr>
          <w:p>
            <w:pPr>
              <w:pStyle w:val="TableContents"/>
              <w:bidi w:val="0"/>
              <w:spacing w:before="0" w:after="120"/>
              <w:ind w:hanging="0" w:left="0" w:right="0"/>
              <w:jc w:val="both"/>
              <w:rPr>
                <w:rFonts w:ascii="Times New Roman" w:hAnsi="Times New Roman"/>
                <w:sz w:val="26"/>
              </w:rPr>
            </w:pPr>
            <w:r>
              <w:rPr>
                <w:rFonts w:ascii="Times New Roman" w:hAnsi="Times New Roman"/>
                <w:b/>
                <w:sz w:val="26"/>
              </w:rPr>
              <w:t>ỦY BAN NHÂN DÂN</w:t>
              <w:br/>
              <w:t>QUẬN MINH AN</w:t>
            </w:r>
            <w:r>
              <w:rPr>
                <w:rFonts w:ascii="Times New Roman" w:hAnsi="Times New Roman"/>
                <w:sz w:val="26"/>
              </w:rPr>
              <w:br/>
              <w:t>Số: 42/UBND-VP</w:t>
            </w:r>
          </w:p>
        </w:tc>
        <w:tc>
          <w:tcPr>
            <w:tcW w:w="5461" w:type="dxa"/>
            <w:tcBorders/>
            <w:vAlign w:val="center"/>
          </w:tcPr>
          <w:p>
            <w:pPr>
              <w:pStyle w:val="TableContents"/>
              <w:bidi w:val="0"/>
              <w:spacing w:before="0" w:after="120"/>
              <w:ind w:hanging="0" w:left="0" w:right="0"/>
              <w:jc w:val="both"/>
              <w:rPr>
                <w:rFonts w:ascii="Times New Roman" w:hAnsi="Times New Roman"/>
                <w:sz w:val="26"/>
              </w:rPr>
            </w:pPr>
            <w:r>
              <w:rPr>
                <w:rFonts w:ascii="Times New Roman" w:hAnsi="Times New Roman"/>
                <w:b/>
                <w:sz w:val="26"/>
              </w:rPr>
              <w:t>CỘNG HÒA XÃ HỘI CHỦ NGHĨA VIỆT NAM</w:t>
              <w:br/>
              <w:t>Độc lập - Tự do - Hạnh phúc</w:t>
            </w:r>
            <w:r>
              <w:rPr>
                <w:rFonts w:ascii="Times New Roman" w:hAnsi="Times New Roman"/>
                <w:sz w:val="26"/>
              </w:rPr>
              <w:br/>
            </w:r>
            <w:r>
              <w:rPr>
                <w:rFonts w:ascii="Times New Roman" w:hAnsi="Times New Roman"/>
                <w:sz w:val="26"/>
                <w:u w:val="single"/>
              </w:rPr>
              <w:t>Minh An, ngày 20 tháng 10 năm 2026</w:t>
            </w:r>
          </w:p>
        </w:tc>
      </w:tr>
    </w:tbl>
    <w:p>
      <w:pPr>
        <w:pStyle w:val="BodyText"/>
        <w:bidi w:val="0"/>
        <w:spacing w:before="0" w:after="120"/>
        <w:ind w:hanging="0" w:left="0" w:right="0"/>
        <w:jc w:val="center"/>
        <w:rPr>
          <w:rFonts w:ascii="Times New Roman" w:hAnsi="Times New Roman"/>
          <w:b/>
          <w:sz w:val="28"/>
        </w:rPr>
      </w:pPr>
      <w:r>
        <w:rPr>
          <w:rFonts w:ascii="Times New Roman" w:hAnsi="Times New Roman"/>
          <w:b/>
          <w:sz w:val="28"/>
        </w:rPr>
        <w:t>CÔNG VĂN</w:t>
      </w:r>
    </w:p>
    <w:p>
      <w:pPr>
        <w:pStyle w:val="BodyText"/>
        <w:bidi w:val="0"/>
        <w:spacing w:before="0" w:after="120"/>
        <w:ind w:hanging="0" w:left="0" w:right="0"/>
        <w:jc w:val="center"/>
        <w:rPr>
          <w:rFonts w:ascii="Times New Roman" w:hAnsi="Times New Roman"/>
          <w:b/>
          <w:sz w:val="26"/>
        </w:rPr>
      </w:pPr>
      <w:r>
        <w:rPr>
          <w:rFonts w:ascii="Times New Roman" w:hAnsi="Times New Roman"/>
          <w:b/>
          <w:sz w:val="26"/>
        </w:rPr>
        <w:t>V/v triển khai rà soát hồ sơ hành chính quý IV năm 2026</w:t>
      </w:r>
    </w:p>
    <w:p>
      <w:pPr>
        <w:pStyle w:val="BodyText"/>
        <w:bidi w:val="0"/>
        <w:spacing w:before="0" w:after="120"/>
        <w:ind w:hanging="0" w:left="0" w:right="0"/>
        <w:jc w:val="both"/>
        <w:rPr>
          <w:rFonts w:ascii="Times New Roman" w:hAnsi="Times New Roman"/>
          <w:sz w:val="26"/>
        </w:rPr>
      </w:pPr>
      <w:r>
        <w:rPr>
          <w:rFonts w:ascii="Times New Roman" w:hAnsi="Times New Roman"/>
          <w:sz w:val="26"/>
        </w:rPr>
        <w:t>Kính gửi: Trưởng các phòng chuyên môn thuộc Ủy ban nhân dân quận Minh An.</w:t>
      </w:r>
    </w:p>
    <w:p>
      <w:pPr>
        <w:pStyle w:val="BodyText"/>
        <w:bidi w:val="0"/>
        <w:spacing w:before="0" w:after="120"/>
        <w:ind w:hanging="0" w:left="0" w:right="0"/>
        <w:jc w:val="both"/>
        <w:rPr>
          <w:rFonts w:ascii="Times New Roman" w:hAnsi="Times New Roman"/>
          <w:sz w:val="26"/>
        </w:rPr>
      </w:pPr>
      <w:r>
        <w:rPr>
          <w:rFonts w:ascii="Times New Roman" w:hAnsi="Times New Roman"/>
          <w:sz w:val="26"/>
        </w:rPr>
        <w:t>Căn cứ kế hoạch công tác năm 2026 và yêu cầu nâng cao chất lượng giải quyết thủ tục hành chính, Ủy ban nhân dân quận đề nghị các đơn vị tổ chức rà soát hồ sơ theo nội dung sau:</w:t>
      </w:r>
    </w:p>
    <w:p>
      <w:pPr>
        <w:pStyle w:val="BodyText"/>
        <w:bidi w:val="0"/>
        <w:spacing w:before="0" w:after="120"/>
        <w:ind w:hanging="0" w:left="0" w:right="0"/>
        <w:jc w:val="both"/>
        <w:rPr>
          <w:rFonts w:ascii="Times New Roman" w:hAnsi="Times New Roman"/>
          <w:sz w:val="26"/>
        </w:rPr>
      </w:pPr>
      <w:r>
        <w:rPr>
          <w:rFonts w:ascii="Times New Roman" w:hAnsi="Times New Roman"/>
          <w:sz w:val="26"/>
        </w:rPr>
        <w:t>1. Phạm vi và nguyên tắc thực hiện</w:t>
      </w:r>
    </w:p>
    <w:p>
      <w:pPr>
        <w:pStyle w:val="BodyText"/>
        <w:bidi w:val="0"/>
        <w:spacing w:before="0" w:after="120"/>
        <w:ind w:hanging="0" w:left="0" w:right="0"/>
        <w:jc w:val="both"/>
        <w:rPr>
          <w:rFonts w:ascii="Times New Roman" w:hAnsi="Times New Roman"/>
          <w:sz w:val="26"/>
        </w:rPr>
      </w:pPr>
      <w:r>
        <w:rPr>
          <w:rFonts w:ascii="Times New Roman" w:hAnsi="Times New Roman"/>
          <w:sz w:val="26"/>
        </w:rPr>
        <w:t>1.1. Rà soát hồ sơ đã tiếp nhận, đang xử lý và đã trả kết quả trong thời gian từ ngày 01 tháng 7 đến ngày 30 tháng 9 năm 2026.</w:t>
      </w:r>
    </w:p>
    <w:p>
      <w:pPr>
        <w:pStyle w:val="BodyText"/>
        <w:bidi w:val="0"/>
        <w:spacing w:before="0" w:after="120"/>
        <w:ind w:hanging="0" w:left="0" w:right="0"/>
        <w:jc w:val="both"/>
        <w:rPr>
          <w:rFonts w:ascii="Times New Roman" w:hAnsi="Times New Roman"/>
          <w:sz w:val="26"/>
        </w:rPr>
      </w:pPr>
      <w:r>
        <w:rPr>
          <w:rFonts w:ascii="Times New Roman" w:hAnsi="Times New Roman"/>
          <w:sz w:val="26"/>
        </w:rPr>
        <w:t>1.2. Đối chiếu thành phần hồ sơ với quy định hiện hành; ghi rõ trường hợp thiếu tài liệu, quá hạn hoặc cần bổ sung thông tin.</w:t>
      </w:r>
    </w:p>
    <w:p>
      <w:pPr>
        <w:pStyle w:val="BodyText"/>
        <w:bidi w:val="0"/>
        <w:spacing w:before="0" w:after="120"/>
        <w:ind w:hanging="0" w:left="0" w:right="0"/>
        <w:jc w:val="both"/>
        <w:rPr>
          <w:rFonts w:ascii="Times New Roman" w:hAnsi="Times New Roman"/>
          <w:sz w:val="26"/>
        </w:rPr>
      </w:pPr>
      <w:r>
        <w:rPr>
          <w:rFonts w:ascii="Times New Roman" w:hAnsi="Times New Roman"/>
          <w:sz w:val="26"/>
        </w:rPr>
        <w:t>2. Nội dung báo cáo</w:t>
      </w:r>
    </w:p>
    <w:p>
      <w:pPr>
        <w:pStyle w:val="BodyText"/>
        <w:bidi w:val="0"/>
        <w:spacing w:before="0" w:after="120"/>
        <w:ind w:hanging="0" w:left="0" w:right="0"/>
        <w:jc w:val="both"/>
        <w:rPr>
          <w:rFonts w:ascii="Times New Roman" w:hAnsi="Times New Roman"/>
          <w:sz w:val="26"/>
        </w:rPr>
      </w:pPr>
      <w:r>
        <w:rPr>
          <w:rFonts w:ascii="Times New Roman" w:hAnsi="Times New Roman"/>
          <w:sz w:val="26"/>
        </w:rPr>
        <w:t>2.1. Mỗi phòng lập bảng tổng hợp số lượng hồ sơ, tỷ lệ đúng hạn, hồ sơ cần bổ sung và nguyên nhân chậm xử lý.</w:t>
      </w:r>
    </w:p>
    <w:p>
      <w:pPr>
        <w:pStyle w:val="BodyText"/>
        <w:bidi w:val="0"/>
        <w:spacing w:before="0" w:after="120"/>
        <w:ind w:hanging="0" w:left="0" w:right="0"/>
        <w:jc w:val="both"/>
        <w:rPr>
          <w:rFonts w:ascii="Times New Roman" w:hAnsi="Times New Roman"/>
          <w:sz w:val="26"/>
        </w:rPr>
      </w:pPr>
      <w:r>
        <w:rPr>
          <w:rFonts w:ascii="Times New Roman" w:hAnsi="Times New Roman"/>
          <w:sz w:val="26"/>
        </w:rPr>
        <w:t>2.2. Đối với trường hợp có vướng mắc liên ngành, nêu rõ đơn vị phối hợp, đề xuất hướng giải quyết và thời hạn hoàn thành.</w:t>
      </w:r>
    </w:p>
    <w:p>
      <w:pPr>
        <w:pStyle w:val="BodyText"/>
        <w:bidi w:val="0"/>
        <w:spacing w:before="0" w:after="120"/>
        <w:ind w:hanging="0" w:left="0" w:right="0"/>
        <w:jc w:val="both"/>
        <w:rPr>
          <w:rFonts w:ascii="Times New Roman" w:hAnsi="Times New Roman"/>
          <w:sz w:val="26"/>
        </w:rPr>
      </w:pPr>
      <w:r>
        <w:rPr>
          <w:rFonts w:ascii="Times New Roman" w:hAnsi="Times New Roman"/>
          <w:sz w:val="26"/>
        </w:rPr>
        <w:t>2.3. Báo cáo sử dụng biểu mẫu thống nhất, có xác nhận của trưởng đơn vị và lưu kèm tài liệu đối chiếu để phục vụ kiểm tra.</w:t>
      </w:r>
    </w:p>
    <w:p>
      <w:pPr>
        <w:pStyle w:val="BodyText"/>
        <w:bidi w:val="0"/>
        <w:spacing w:before="0" w:after="120"/>
        <w:ind w:hanging="0" w:left="0" w:right="0"/>
        <w:jc w:val="both"/>
        <w:rPr>
          <w:rFonts w:ascii="Times New Roman" w:hAnsi="Times New Roman"/>
          <w:b/>
          <w:sz w:val="26"/>
        </w:rPr>
        <w:pageBreakBefore/>
      </w:pPr>
      <w:r>
        <w:rPr>
          <w:rFonts w:ascii="Times New Roman" w:hAnsi="Times New Roman"/>
          <w:b/>
          <w:sz w:val="26"/>
        </w:rPr>
        <w:t>3. Thời hạn và tổ chức thực hiện</w:t>
      </w:r>
    </w:p>
    <w:p>
      <w:pPr>
        <w:pStyle w:val="BodyText"/>
        <w:bidi w:val="0"/>
        <w:spacing w:before="0" w:after="120"/>
        <w:ind w:hanging="0" w:left="0" w:right="0"/>
        <w:jc w:val="both"/>
        <w:rPr>
          <w:rFonts w:ascii="Times New Roman" w:hAnsi="Times New Roman"/>
          <w:sz w:val="26"/>
        </w:rPr>
      </w:pPr>
      <w:r>
        <w:rPr>
          <w:rFonts w:ascii="Times New Roman" w:hAnsi="Times New Roman"/>
          <w:sz w:val="26"/>
        </w:rPr>
        <w:t>3.1. Gửi báo cáo điện tử và bản ký xác nhận về Văn phòng Ủy ban nhân dân quận trước 16 giờ ngày 05 tháng 11 năm 2026.</w:t>
      </w:r>
    </w:p>
    <w:p>
      <w:pPr>
        <w:pStyle w:val="BodyText"/>
        <w:bidi w:val="0"/>
        <w:spacing w:before="0" w:after="120"/>
        <w:ind w:hanging="0" w:left="0" w:right="0"/>
        <w:jc w:val="both"/>
        <w:rPr>
          <w:rFonts w:ascii="Times New Roman" w:hAnsi="Times New Roman"/>
          <w:sz w:val="26"/>
        </w:rPr>
      </w:pPr>
      <w:r>
        <w:rPr>
          <w:rFonts w:ascii="Times New Roman" w:hAnsi="Times New Roman"/>
          <w:sz w:val="26"/>
        </w:rPr>
        <w:t>3.2. Trưởng phòng chịu trách nhiệm về tính đầy đủ, chính xác của số liệu và phân công đầu mối giải trình khi được yêu cầu.</w:t>
      </w:r>
    </w:p>
    <w:p>
      <w:pPr>
        <w:pStyle w:val="BodyText"/>
        <w:bidi w:val="0"/>
        <w:spacing w:before="0" w:after="120"/>
        <w:ind w:hanging="0" w:left="0" w:right="0"/>
        <w:jc w:val="both"/>
        <w:rPr>
          <w:rFonts w:ascii="Times New Roman" w:hAnsi="Times New Roman"/>
          <w:sz w:val="26"/>
        </w:rPr>
      </w:pPr>
      <w:r>
        <w:rPr>
          <w:rFonts w:ascii="Times New Roman" w:hAnsi="Times New Roman"/>
          <w:sz w:val="26"/>
        </w:rPr>
        <w:t>Đề nghị các đơn vị nghiêm túc triển khai. Trong quá trình thực hiện, phản ánh khó khăn về Văn phòng Ủy ban nhân dân quận để tổng hợp, báo cáo lãnh đạo xem xét.</w:t>
      </w:r>
    </w:p>
    <w:tbl>
      <w:tblPr>
        <w:tblW w:w="5140" w:type="dxa"/>
        <w:jc w:val="left"/>
        <w:tblInd w:w="0" w:type="dxa"/>
        <w:tblLayout w:type="fixed"/>
        <w:tblCellMar>
          <w:top w:w="0" w:type="dxa"/>
          <w:left w:w="0" w:type="dxa"/>
          <w:bottom w:w="0" w:type="dxa"/>
          <w:right w:w="0" w:type="dxa"/>
        </w:tblCellMar>
      </w:tblPr>
      <w:tblGrid>
        <w:gridCol w:w="3094"/>
        <w:gridCol w:w="2046"/>
      </w:tblGrid>
      <w:tr>
        <w:trPr/>
        <w:tc>
          <w:tcPr>
            <w:tcW w:w="3094" w:type="dxa"/>
            <w:tcBorders/>
            <w:vAlign w:val="center"/>
          </w:tcPr>
          <w:p>
            <w:pPr>
              <w:pStyle w:val="TableContents"/>
              <w:bidi w:val="0"/>
              <w:spacing w:before="0" w:after="120"/>
              <w:ind w:hanging="0" w:left="0" w:right="0"/>
              <w:jc w:val="both"/>
              <w:rPr>
                <w:rFonts w:ascii="Times New Roman" w:hAnsi="Times New Roman"/>
                <w:sz w:val="26"/>
              </w:rPr>
            </w:pPr>
            <w:r>
              <w:rPr>
                <w:rFonts w:ascii="Times New Roman" w:hAnsi="Times New Roman"/>
                <w:b/>
                <w:sz w:val="26"/>
              </w:rPr>
              <w:t>Nơi nhận:</w:t>
            </w:r>
            <w:r>
              <w:rPr>
                <w:rFonts w:ascii="Times New Roman" w:hAnsi="Times New Roman"/>
                <w:sz w:val="26"/>
              </w:rPr>
              <w:br/>
              <w:t>- Như trên;</w:t>
              <w:br/>
              <w:t>- Chủ tịch UBND quận (b/c);</w:t>
              <w:br/>
              <w:t>- Lưu: VT, VP.</w:t>
            </w:r>
          </w:p>
        </w:tc>
        <w:tc>
          <w:tcPr>
            <w:tcW w:w="2046" w:type="dxa"/>
            <w:tcBorders/>
            <w:vAlign w:val="center"/>
          </w:tcPr>
          <w:p>
            <w:pPr>
              <w:pStyle w:val="TableContents"/>
              <w:bidi w:val="0"/>
              <w:spacing w:before="0" w:after="120"/>
              <w:ind w:hanging="0" w:left="0" w:right="0"/>
              <w:jc w:val="both"/>
              <w:rPr>
                <w:rFonts w:ascii="Times New Roman" w:hAnsi="Times New Roman"/>
                <w:sz w:val="26"/>
              </w:rPr>
            </w:pPr>
            <w:r>
              <w:rPr>
                <w:rFonts w:ascii="Times New Roman" w:hAnsi="Times New Roman"/>
                <w:b/>
                <w:sz w:val="26"/>
              </w:rPr>
              <w:t>KT. CHỦ TỊCH</w:t>
              <w:br/>
              <w:t>PHÓ CHỦ TỊCH</w:t>
            </w:r>
            <w:r>
              <w:rPr>
                <w:rFonts w:ascii="Times New Roman" w:hAnsi="Times New Roman"/>
                <w:sz w:val="26"/>
              </w:rPr>
              <w:br/>
              <w:br/>
              <w:br/>
              <w:br/>
            </w:r>
            <w:r>
              <w:rPr>
                <w:rFonts w:ascii="Times New Roman" w:hAnsi="Times New Roman"/>
                <w:b/>
                <w:sz w:val="26"/>
              </w:rPr>
              <w:t>Nguyễn Minh An</w:t>
            </w:r>
          </w:p>
        </w:tc>
      </w:tr>
    </w:tbl>
    <w:p>
      <w:pPr>
        <w:pStyle w:val="BodyText"/>
        <w:bidi w:val="0"/>
        <w:spacing w:before="0" w:after="283"/>
        <w:jc w:val="left"/>
        <w:rPr/>
      </w:pPr>
      <w:r>
        <w:rPr/>
      </w:r>
    </w:p>
    <w:sectPr>
      <w:footerReference w:type="default" r:id="rId6"/>
      <w:pgSz w:w="11906" w:h="16838"/>
      <w:pgMar w:left="1701" w:right="1134" w:gutter="0" w:header="720" w:top="1134" w:footer="720" w:bottom="1134"/>
      <w:pgNumType w:fmt="decimal" w:start="1"/>
      <w:cols w:space="720"/>
      <w:formProt w:val="false"/>
      <w:textDirection w:val="lrTb"/>
      <w:docGrid w:type="default" w:linePitch="600" w:charSpace="32768"/>
      <w:titlePg/>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0"/>
    <w:family w:val="swiss"/>
    <w:pitch w:val="variable"/>
  </w:font>
  <w:font w:name="Times New Roman">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before="0" w:after="283"/>
      <w:ind w:hanging="0" w:left="0" w:right="0"/>
      <w:jc w:val="center"/>
      <w:rPr/>
    </w:pPr>
    <w:r>
      <w:rPr/>
      <w:t xml:space="preserve">Trang </w:t>
    </w: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evenAndOddHeade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NSimSun" w:cs="Lucida Sans"/>
      <w:color w:val="auto"/>
      <w:sz w:val="24"/>
      <w:szCs w:val="24"/>
      <w:lang w:val="en-GB"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6"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en-GB</dc:language>
  <cp:lastModifiedBy/>
  <cp:revision>0</cp:revision>
</cp:coreProperties>
</file>

<file path=docProps/custom.xml><?xml version="1.0" encoding="utf-8"?>
<Properties xmlns="http://schemas.openxmlformats.org/officeDocument/2006/custom-properties" xmlns:vt="http://schemas.openxmlformats.org/officeDocument/2006/docPropsVTypes"/>
</file>