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Báo cáo tổng hợp hoạt động quý III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 xml:space="preserve">Đơn vị </w:t>
      </w:r>
      <w:r>
        <w:rPr>
          <w:b/>
          <w:bCs/>
        </w:rPr>
        <w:t>đảm bảo</w:t>
      </w:r>
      <w:r>
        <w:rPr/>
        <w:t xml:space="preserve"> chất lượng đã </w:t>
      </w:r>
      <w:r>
        <w:rPr>
          <w:i/>
          <w:iCs/>
        </w:rPr>
        <w:t>hoàn thành</w:t>
      </w:r>
      <w:r>
        <w:rPr/>
        <w:t xml:space="preserve"> kiểm định nội bộ theo kế hoạch.</w:t>
      </w:r>
    </w:p>
    <w:tbl>
      <w:tblPr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STT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Hạng mục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Kết quả</w:t>
            </w:r>
          </w:p>
        </w:tc>
      </w:tr>
      <w:tr>
        <w:trPr/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Tài liệu hướng dẫn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Đạt</w:t>
            </w:r>
          </w:p>
        </w:tc>
      </w:tr>
      <w:tr>
        <w:trPr/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Quy trình kiểm thử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Đạt có điều kiện</w:t>
            </w:r>
          </w:p>
        </w:tc>
      </w:tr>
    </w:tbl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Rà soát định dạng văn bản hành chính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Đối chiếu số liệu quý III với kế hoạch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Bàn giao biên bản cho phòng ban liên quan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sz w:val="36"/>
    </w:rPr>
  </w:style>
  <w:style w:type="paragraph" w:styleId="Heading">
    <w:name w:val="Heading"/>
    <w:basedOn w:val="Normal"/>
    <w:next w:val="BodyText"/>
    <w:qFormat/>
    <w:pPr>
      <w:keepNext w:val="true"/>
    </w:pPr>
    <w:rPr>
      <w:b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L1">
    <w:name w:val="L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