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in semiconductor hybrid bonding: A patent-based longitudinal analysis</w:t>
      </w:r>
    </w:p>
    <w:p>
      <w:r>
        <w:pict>
          <v:rect style="width:0;height:1.5pt" o:hralign="center" o:hrstd="t" o:hr="t"/>
        </w:pict>
      </w:r>
    </w:p>
    <w:bookmarkStart w:id="9" w:name="abstract"/>
    <w:p>
      <w:pPr>
        <w:pStyle w:val="Heading2"/>
      </w:pPr>
      <w:r>
        <w:t xml:space="preserve">Abstract</w:t>
      </w:r>
    </w:p>
    <w:p>
      <w:pPr>
        <w:pStyle w:val="FirstParagraph"/>
      </w:pPr>
      <w:r>
        <w:t xml:space="preserve">Front-end device fabrication and back-end assembly have long been separate</w:t>
      </w:r>
      <w:r>
        <w:t xml:space="preserve"> </w:t>
      </w:r>
      <w:r>
        <w:rPr>
          <w:highlight w:val="yellow"/>
        </w:rPr>
        <w:t xml:space="preserve">knowledge</w:t>
      </w:r>
      <w:r>
        <w:t xml:space="preserve"> </w:t>
      </w:r>
      <w:r>
        <w:t xml:space="preserve">domains of semiconductor manufacturing. Hybrid bonding, a back-end technology, achieves its required performance only with front-end fabrication</w:t>
      </w:r>
      <w:r>
        <w:t xml:space="preserve"> </w:t>
      </w:r>
      <w:r>
        <w:rPr>
          <w:highlight w:val="yellow"/>
        </w:rPr>
        <w:t xml:space="preserve">knowledge</w:t>
      </w:r>
      <w:r>
        <w:t xml:space="preserve">, driving convergence</w:t>
      </w:r>
      <w:r>
        <w:rPr>
          <w:highlight w:val="yellow"/>
        </w:rPr>
        <w:t xml:space="preserve">, or knowledge integration,</w:t>
      </w:r>
      <w:r>
        <w:t xml:space="preserve"> </w:t>
      </w:r>
      <w:r>
        <w:t xml:space="preserve">across process stages. Using hybrid bonding patent applications from the European Patent Office’s PATSTAT database, this study examines the level and types of cross-stage convergence, its change over time, and shifts in its structural center. Applications were classified by Cooperative Patent Classification symbols</w:t>
      </w:r>
      <w:r>
        <w:rPr>
          <w:highlight w:val="yellow"/>
        </w:rPr>
        <w:t xml:space="preserve">, a trace of this integration,</w:t>
      </w:r>
      <w:r>
        <w:t xml:space="preserve"> </w:t>
      </w:r>
      <w:r>
        <w:t xml:space="preserve">as bonding-only, process-only, or integrated and analyzed using multinomial and binary logit models and technology cluster and network analyses. First, integrated applications formed the largest group and remained substantial under a narrower definition excluding packaging-stage processes, so cross-stage convergence is not exceptional;</w:t>
      </w:r>
      <w:r>
        <w:t xml:space="preserve"> </w:t>
      </w:r>
      <w:r>
        <w:rPr>
          <w:highlight w:val="yellow"/>
        </w:rPr>
        <w:t xml:space="preserve">integrated applications also spanned more diverse technologies</w:t>
      </w:r>
      <w:r>
        <w:t xml:space="preserve">. Second, convergence evolved through three phases (formation, when process-only applications dominated; diffusion, when integrated applications peaked; and reconfiguration, when they declined and bonding-only applications increased) while the center of gravity of filings moved from fabrication processes toward bonding. Third, bonding applications containing the core technologies were far more likely than others to carry fabrication-process classifications in the formation phase, but this gap narrowed and became nonsignificant in the reconfiguration phase, and the center of fabrication processes combined with bonding shifted from wafer fabrication to processing apparatus and packaging-stage processes. Cross-stage convergence thus appears to be not a linear expansion but a dynamic process</w:t>
      </w:r>
      <w:r>
        <w:t xml:space="preserve"> </w:t>
      </w:r>
      <w:r>
        <w:rPr>
          <w:highlight w:val="yellow"/>
        </w:rPr>
        <w:t xml:space="preserve">in which, consistent with increasing entrenchment of the core design, knowledge integration relocates rather than disappears</w:t>
      </w:r>
      <w:r>
        <w:t xml:space="preserve">.</w:t>
      </w:r>
    </w:p>
    <w:p>
      <w:pPr>
        <w:pStyle w:val="BodyText"/>
      </w:pPr>
      <w:r>
        <w:rPr>
          <w:b/>
          <w:bCs/>
        </w:rPr>
        <w:t xml:space="preserve">Keywords:</w:t>
      </w:r>
      <w:r>
        <w:t xml:space="preserve"> </w:t>
      </w:r>
      <w:r>
        <w:t xml:space="preserve">technology convergence; cross-stage convergence; hybrid bonding; advanced packaging;</w:t>
      </w:r>
      <w:r>
        <w:t xml:space="preserve"> </w:t>
      </w:r>
      <w:r>
        <w:rPr>
          <w:highlight w:val="yellow"/>
        </w:rPr>
        <w:t xml:space="preserve">knowledge integration</w:t>
      </w:r>
      <w:r>
        <w:t xml:space="preserve">; dominant design</w:t>
      </w:r>
    </w:p>
    <w:p>
      <w:pPr>
        <w:pStyle w:val="BodyText"/>
      </w:pPr>
      <w:r>
        <w:rPr>
          <w:b/>
          <w:bCs/>
        </w:rPr>
        <w:t xml:space="preserve">JEL classification:</w:t>
      </w:r>
      <w:r>
        <w:t xml:space="preserve"> </w:t>
      </w:r>
      <w:r>
        <w:t xml:space="preserve">L63; O32; O33; O34</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division of labor in the semiconductor industry has persisted for more than half a century. The front end has formed transistors on the wafer, and the back end has diced finished wafers and assembled and packaged the resulting dies. According to Kapoor (2013), front-end fabrication became concentrated in large fabs operated by integrated device manufacturers and foundries, whereas packaging and testing were contracted out to outsourced semiconductor assembly and test providers (Brown &amp; Linden, 2009; Macher &amp; Mowery, 2004). This division of labor was possible because the interface between the two stages was managed in a relatively stable manner.</w:t>
      </w:r>
      <w:r>
        <w:t xml:space="preserve"> </w:t>
      </w:r>
      <w:r>
        <w:rPr>
          <w:highlight w:val="yellow"/>
        </w:rPr>
        <w:t xml:space="preserve">Stable interfaces allow production stages to specialize while maintaining distinct knowledge domains (Brusoni et al., 2001; Henderson &amp; Clark, 1990).</w:t>
      </w:r>
      <w:r>
        <w:t xml:space="preserve"> </w:t>
      </w:r>
      <w:r>
        <w:t xml:space="preserve">With the advent of advanced packaging, however, this interface has also begun to change: the performance of one stage has come to depend more directly on the process capabilities of the other.</w:t>
      </w:r>
      <w:r>
        <w:t xml:space="preserve"> </w:t>
      </w:r>
      <w:r>
        <w:rPr>
          <w:highlight w:val="yellow"/>
        </w:rPr>
        <w:t xml:space="preserve">When technological change destabilizes such an interface, innovation increasingly requires integrating specialized knowledge from both sides of the boundary (Grant, 1996).</w:t>
      </w:r>
    </w:p>
    <w:p>
      <w:pPr>
        <w:pStyle w:val="BodyText"/>
      </w:pPr>
      <w:r>
        <w:t xml:space="preserve">Behind this change lie the limits of scaling. Scaling, which shrinks circuit linewidths, has run into a slowdown in density gains and a steep rise in costs. The semiconductor industry has therefore begun to seek new opportunities for performance gains in how dies are partitioned, stacked, and connected (Arden et al., 2010; Khan et al., 2018), and hybrid bonding is the technology at the center of this shift. According to Lau (2021, 2022), this technology, which directly bonds copper pads and the surrounding oxide without solder bumps, enables interconnect pitches below 10 µm that are difficult to achieve with conventional methods. Notably, the nanometer-scale surface planarization, surface activation, and precise alignment that determine its success are not traditional back-end capabilities but front-end fabrication capabilities. Moves by leading foundries to internalize advanced packaging capabilities can also be understood in the context of this deepening interdependence between process stages (KnowMade, 2024; Lau, 2022).</w:t>
      </w:r>
    </w:p>
    <w:p>
      <w:pPr>
        <w:pStyle w:val="BodyText"/>
      </w:pPr>
      <w:r>
        <w:t xml:space="preserve">Hybrid bonding is thus a representative case of the merging of front-end and back-end technologies across their boundary, and this phenomenon can be understood from the perspective of technology convergence. Research on technology convergence has long examined how previously distinct technological domains come to overlap and combine (Curran &amp; Leker, 2011; Kodama, 1992; Rosenberg, 1963; Sick &amp; Bröring, 2022). However, prior research has focused mainly on overlaps between different industries or technological fields, such as information and communication technology and consumer electronics (Hacklin et al., 2009), food and pharmaceuticals (Bröring et al., 2006), and nanotechnology and biotechnology (No &amp; Park, 2010). By contrast, convergence that cuts across the stages of the value chain within a single industry has received little attention. The closest precedent is the study by Karvonen and Kässi (2012), which analyzed patent citations between upstream and downstream firms in a value chain, but it, too, did not test at the patent level whether a technology crosses the boundary between process stages. Moreover, although convergence has been theorized as a staged process (Hacklin et al., 2010), empirical studies of how the content of convergence changes over time are scarce. Inventions that cross the boundary between process stages can be a technological starting point for changing the industry architecture that defines who produces what and how value is distributed (Jacobides et al., 2006); this research gap therefore needs to be addressed.</w:t>
      </w:r>
      <w:r>
        <w:t xml:space="preserve"> </w:t>
      </w:r>
      <w:r>
        <w:rPr>
          <w:highlight w:val="yellow"/>
        </w:rPr>
        <w:t xml:space="preserve">From a knowledge perspective, the question is not only whether the knowledge domains of the two stages converge but also how the locus of their integration changes as a technological architecture evolves.</w:t>
      </w:r>
    </w:p>
    <w:p>
      <w:pPr>
        <w:pStyle w:val="BodyText"/>
      </w:pPr>
      <w:r>
        <w:t xml:space="preserve">This study accordingly analyzes whether convergence across the technological boundary between process stages can be observed at the level of individual patents and how this convergence unfolds over time. To this end, it uses 928 patent applications related to hybrid bonding extracted from the Worldwide Patent Statistical Database (PATSTAT) of the European Patent Office (EPO), together with the Cooperative Patent Classification (CPC) symbols assigned to each application. An application to which both a symbol of the</w:t>
      </w:r>
      <w:r>
        <w:t xml:space="preserve"> </w:t>
      </w:r>
      <w:r>
        <w:rPr>
          <w:b/>
          <w:bCs/>
        </w:rPr>
        <w:t xml:space="preserve">bonding and interconnect classification (H01L24)</w:t>
      </w:r>
      <w:r>
        <w:t xml:space="preserve"> </w:t>
      </w:r>
      <w:r>
        <w:t xml:space="preserve">and a symbol of the</w:t>
      </w:r>
      <w:r>
        <w:t xml:space="preserve"> </w:t>
      </w:r>
      <w:r>
        <w:rPr>
          <w:b/>
          <w:bCs/>
        </w:rPr>
        <w:t xml:space="preserve">fabrication-process classification (H01L21)</w:t>
      </w:r>
      <w:r>
        <w:t xml:space="preserve"> </w:t>
      </w:r>
      <w:r>
        <w:t xml:space="preserve">are assigned is defined as integrated, that is, as a patent that crosses the boundary between process stages; an application with only bonding and interconnect symbols is classified as bonding-only, and an application with only fabrication-process symbols as process-only. Capturing convergence through co-classification is itself a standard method used by Curran and Leker (2011), Kwon et al. (2020), and others.</w:t>
      </w:r>
      <w:r>
        <w:t xml:space="preserve"> </w:t>
      </w:r>
      <w:r>
        <w:rPr>
          <w:highlight w:val="yellow"/>
        </w:rPr>
        <w:t xml:space="preserve">Because an invention is a new combination of existing knowledge (Fleming, 2001), the co-classification of an application provides an observable, albeit imperfect, trace of the integration of knowledge from two process domains within an invention.</w:t>
      </w:r>
      <w:r>
        <w:t xml:space="preserve"> </w:t>
      </w:r>
      <w:r>
        <w:t xml:space="preserve">What distinguishes this study is that it applies this method to the boundary between process stages within a single industry rather than between two industries and that it recasts co-classification as types of individual patents instead of aggregating it into field-level indices.</w:t>
      </w:r>
    </w:p>
    <w:p>
      <w:pPr>
        <w:pStyle w:val="BodyText"/>
      </w:pPr>
      <w:r>
        <w:t xml:space="preserve">Specifically, this paper addresses the following three research questions (RQ1–RQ3). First (RQ1), to what extent and in what forms does convergence between fabrication-process and bonding technologies occur in hybrid bonding technology? Second (RQ2), how has cross-stage technology convergence changed over time? Third (RQ3), how has the center of cross-stage technology convergence been reorganized between core and peripheral technologies over time?</w:t>
      </w:r>
    </w:p>
    <w:p>
      <w:pPr>
        <w:pStyle w:val="BodyText"/>
      </w:pPr>
      <w:r>
        <w:t xml:space="preserve">By answering these three research questions, this paper makes the following contributions. First, it extends the analytical scope of technology convergence research from convergence between industries or technological fields to technology convergence between different stages of the manufacturing process within the same industry. In doing so, it shows empirically that technology convergence occurs not only at industry boundaries but also at the technological boundaries of production processes.</w:t>
      </w:r>
      <w:r>
        <w:t xml:space="preserve"> </w:t>
      </w:r>
      <w:r>
        <w:rPr>
          <w:highlight w:val="yellow"/>
        </w:rPr>
        <w:t xml:space="preserve">In knowledge terms, it extends the study of knowledge boundaries to vertically separated process domains within a single industry.</w:t>
      </w:r>
      <w:r>
        <w:t xml:space="preserve"> </w:t>
      </w:r>
      <w:r>
        <w:t xml:space="preserve">Second, it analyzes technology convergence not as a static combination but as a dynamic process that changes over time. The patterns of formation, diffusion, and reconfiguration observed in hybrid bonding patents show that technology convergence does not necessarily expand continuously and that the composition of convergence by type can change as a technology develops.</w:t>
      </w:r>
      <w:r>
        <w:t xml:space="preserve"> </w:t>
      </w:r>
      <w:r>
        <w:rPr>
          <w:highlight w:val="yellow"/>
        </w:rPr>
        <w:t xml:space="preserve">That is, the intensity and form of cross-stage knowledge integration are reorganized nonlinearly as the technology evolves.</w:t>
      </w:r>
      <w:r>
        <w:t xml:space="preserve"> </w:t>
      </w:r>
      <w:r>
        <w:t xml:space="preserve">Third, it attends not only to quantitative changes in technology convergence but also to shifts in its structural center. By analyzing how the relationship between core bonding technologies and fabrication-process technologies varies over time, it provides empirical grounds for understanding the dynamic unfolding of technology convergence in terms of the core–periphery relationship of technological architecture and the technology cycle.</w:t>
      </w:r>
      <w:r>
        <w:t xml:space="preserve"> </w:t>
      </w:r>
      <w:r>
        <w:rPr>
          <w:highlight w:val="yellow"/>
        </w:rPr>
        <w:t xml:space="preserve">The results also suggest that, as the core design becomes entrenched, knowledge integration does not disappear but relocates from the core interface to the peripheral processes that implement it.</w:t>
      </w:r>
    </w:p>
    <w:p>
      <w:pPr>
        <w:pStyle w:val="BodyText"/>
      </w:pPr>
      <w:r>
        <w:t xml:space="preserve">The remainder of this paper is organized as follows. Section 2 reviews the theoretical background, and Section 3 provides an overview of hybrid bonding technology and the industry. Section 4 describes the data, measurement, and analytical methods, and Section 5 presents the results for the three research questions. Section 6 discusses the theoretical and practical implications and the limitations of the study, and Section 7 concludes.</w:t>
      </w:r>
    </w:p>
    <w:bookmarkEnd w:id="10"/>
    <w:bookmarkStart w:id="15" w:name="theoretical-background"/>
    <w:p>
      <w:pPr>
        <w:pStyle w:val="Heading2"/>
      </w:pPr>
      <w:r>
        <w:t xml:space="preserve">2. Theoretical background</w:t>
      </w:r>
    </w:p>
    <w:bookmarkStart w:id="11" w:name="technology-convergence"/>
    <w:p>
      <w:pPr>
        <w:pStyle w:val="Heading3"/>
      </w:pPr>
      <w:r>
        <w:t xml:space="preserve">2.1 Technology convergence</w:t>
      </w:r>
    </w:p>
    <w:p>
      <w:pPr>
        <w:pStyle w:val="FirstParagraph"/>
      </w:pPr>
      <w:r>
        <w:t xml:space="preserve">The idea that a technology developed in one domain spreads beyond its boundaries into other domains has a long lineage. Analyzing the emergence of the nineteenth-century machine tool industry, Rosenberg (1963) used the term technological convergence for the process by which firms came to recognize that machining techniques developed for firearms or sewing machines could also be applied to other products. Kodama (1992) later conceptualized technology fusion as the process of combining previously separate technological fields to create capabilities that none of them possessed alone.</w:t>
      </w:r>
      <w:r>
        <w:t xml:space="preserve"> </w:t>
      </w:r>
      <w:r>
        <w:rPr>
          <w:highlight w:val="yellow"/>
        </w:rPr>
        <w:t xml:space="preserve">From a knowledge-based perspective, such a combination amounts to the integration of previously separate bodies of specialized knowledge (Grant, 1996), and each invention can be seen as a new combination of existing knowledge components (Fleming, 2001).</w:t>
      </w:r>
      <w:r>
        <w:t xml:space="preserve"> </w:t>
      </w:r>
      <w:r>
        <w:t xml:space="preserve">Hacklin et al. (2010) proposed a stage model in which convergence proceeds from the convergence of knowledge through the convergence of technologies and applications to the convergence of industries, and, in earlier work, they argued that these stages form coevolutionary cycles through mutual feedback (Hacklin et al., 2009). Curran and Leker (2011) further proposed a method for observing these stages with patent indicators. Through these discussions, technology convergence research has become established as a distinct research stream in technology and innovation management (Geum et al., 2016; Sick &amp; Bröring, 2022), and empirical studies on the drivers of convergence have also begun to accumulate (Whang, 2018). Among them, Caviggioli (2016) analyzed the characteristics of the technological fields in which convergence is likely to occur, and Hwang (2020) used data on Korean information and communication technology firms to analyze the relationship between types of collaboration and convergence.</w:t>
      </w:r>
    </w:p>
    <w:p>
      <w:pPr>
        <w:pStyle w:val="BodyText"/>
      </w:pPr>
      <w:r>
        <w:t xml:space="preserve">This prior research shares three features, which form the starting point of this study. First, its focus lies on overlaps between different industries or technological fields. Canonical cases such as telecommunications and computing, food and pharmaceuticals, and nanotechnology and biotechnology all involve firms from different industries discovering that their knowledge bases overlap (Bröring et al., 2006; Gambardella &amp; Torrisi, 1998; No &amp; Park, 2010). Second, convergence is generally measured with field-level indicators that aggregate co-classifications or citations between two fields (Cho &amp; Kim, 2014; Choi et al., 2022; Curran et al., 2010; Song et al., 2017). Such indicators show whether and when two fields converge, but they cannot explain which inventions embody convergence or what characteristics such inventions have, because differences among individual patents are hidden in the average. Third, whereas theory views convergence as a staged process moving from knowledge through technologies and applications to industries (Hacklin et al., 2010), empirical studies have largely been confined to confirming, as a trend, whether the degree of convergence has increased. In other words, which technologies combine as convergence proceeds, and how the content and center of convergence change, have received relatively little attention. Organized around these three features, the following subsections review cross-stage technology convergence within the value chain (Section 2.2), the dynamic unfolding of technology convergence (Section 2.3), and the patent-based measurement of technology convergence (Section 2.4).</w:t>
      </w:r>
    </w:p>
    <w:bookmarkEnd w:id="11"/>
    <w:bookmarkStart w:id="12" w:name="Xc8620981630c470932b146b5692290e4a164f55"/>
    <w:p>
      <w:pPr>
        <w:pStyle w:val="Heading3"/>
      </w:pPr>
      <w:r>
        <w:t xml:space="preserve">2.2 Cross-stage technology convergence within the value chain</w:t>
      </w:r>
    </w:p>
    <w:p>
      <w:pPr>
        <w:pStyle w:val="FirstParagraph"/>
      </w:pPr>
      <w:r>
        <w:t xml:space="preserve">With regard to the first feature of prior research, the boundaries at which convergence occurs do not exist only between industries. Within a single industry, there are other boundaries that separate the stages of the value chain, and the semiconductor industry is an appropriate case for examining them because these boundaries have long been an object of research on vertical specialization. Langlois and Steinmueller (1999) traced how competitive advantage shifted among firms and countries as the structure of the industry changed, and Macher and Mowery (2004) analyzed how fabless firms, foundries, and specialized assembly and test firms emerged as design was separated from fabrication and fabrication from assembly. Brown and Linden (2009) described how this structure has been reshaped through successive crises. According to Kapoor (2013), even as specialization advanced, some firms retained capabilities spanning multiple stages; these firms responded differently to technological transitions, and their choices shaped the architecture of the industry. In a study of the DRAM industry, Kapoor and Adner (2012) further showed that when components and systems are interdependent, firms benefit from possessing knowledge beyond the scope of what they produce themselves.</w:t>
      </w:r>
    </w:p>
    <w:p>
      <w:pPr>
        <w:pStyle w:val="BodyText"/>
      </w:pPr>
      <w:r>
        <w:t xml:space="preserve">Research on vertical specialization has thus explained the formation and reorganization of the division of labor between process stages, and it connects with technology convergence research through the following logic. Industry architecture is the template that defines who does what and how value is distributed (Jacobides et al., 2006), and it enables specialization when the interfaces between process stages are stable.</w:t>
      </w:r>
      <w:r>
        <w:t xml:space="preserve"> </w:t>
      </w:r>
      <w:r>
        <w:rPr>
          <w:highlight w:val="yellow"/>
        </w:rPr>
        <w:t xml:space="preserve">Henderson and Clark (1990), studying the semiconductor photolithographic alignment equipment industry, distinguished knowledge of components from architectural knowledge of how components are linked and showed that changes in these linkages erode the value of established architectural knowledge.</w:t>
      </w:r>
      <w:r>
        <w:t xml:space="preserve"> </w:t>
      </w:r>
      <w:r>
        <w:t xml:space="preserve">When a new technology makes the performance of one stage depend on the knowledge of another, however, the interface becomes unstable, and firms must acquire or integrate knowledge from the other side of the boundary. Such a combination of knowledge first appears at the level of invention: a single invention begins to incorporate the technologies of both stages, and patent co-classification can be regarded as a trace of this expansion of knowledge boundaries. Hybrid bonding is precisely a technology that makes the performance of one stage depend on the knowledge of another. Because its yield depends on fabrication capabilities that belong to the front end, such as planarization, surface chemistry, and alignment, the interface between fabrication and packaging is no longer stable. As a result, convergence occurs not between two industries but between two stages of a single industry. This phenomenon was anticipated in research on the limits of scaling (Arden et al., 2010; Iyer, 2016; Khan et al., 2018) and has been documented technically in packaging engineering research (Lau, 2021, 2022), but few methods have been proposed for observing it in the record of invention.</w:t>
      </w:r>
    </w:p>
    <w:bookmarkEnd w:id="12"/>
    <w:bookmarkStart w:id="13" w:name="Xc70623bcf07ad9e39543379114c322c595802d6"/>
    <w:p>
      <w:pPr>
        <w:pStyle w:val="Heading3"/>
      </w:pPr>
      <w:r>
        <w:t xml:space="preserve">2.3 The dynamic unfolding of technology convergence</w:t>
      </w:r>
    </w:p>
    <w:p>
      <w:pPr>
        <w:pStyle w:val="FirstParagraph"/>
      </w:pPr>
      <w:r>
        <w:t xml:space="preserve">As the third feature of prior research identified in Section 2.1 suggests, the cross-stage convergence discussed above needs to be understood not as a fixed state but as a process that unfolds over time. Convergence is not a one-time event but proceeds through several stages (Hacklin et al., 2010). Furthermore, according to the technology cycle model (Anderson &amp; Tushman, 1990), a new technology passes through an era of ferment in which multiple designs compete before converging on a single dominant design. When the two perspectives are combined, cross-stage convergence can also be expected to take different forms depending on the developmental stage of the technology. While the technology is forming, process inventions that make direct bonding possible will predominate; as the technology diffuses, cases in which process knowledge is combined with bonding inventions will increase. Once a single design approach has become established as the dominant design, the combination of the two technologies will shift toward the peripheral processes required for end-use products.</w:t>
      </w:r>
    </w:p>
    <w:p>
      <w:pPr>
        <w:pStyle w:val="BodyText"/>
      </w:pPr>
      <w:r>
        <w:t xml:space="preserve">This perspective can also be applied to the technological development of hybrid bonding. According to stage models of convergence (Hacklin et al., 2010; Jeong et al., 2015), the form of convergence changes as a technology develops. Early hybrid bonding inventions concerned the process steps that made direct bonding possible, such as surface preparation, low-temperature annealing, and planarization, and were therefore often classified as process inventions. As the use of hybrid bonding later expanded from wafer-level bonding for image sensors and 3D NAND to die-level bonding for high-bandwidth memory (HBM) and logic, the focus of invention shifted to bonded structures and stacking (Lau, 2021). Accordingly, bonding inventions can be expected to account for a growing share relative to fabrication-process inventions among more recent filings.</w:t>
      </w:r>
    </w:p>
    <w:p>
      <w:pPr>
        <w:pStyle w:val="BodyText"/>
      </w:pPr>
      <w:r>
        <w:t xml:space="preserve">Moreover, changes in convergence may appear not only in the composition of application types but also in the relationships among the elements that make up a technology. A complex technology consists of core elements that are closely linked to other elements and peripheral elements that are not, and when the design of a core element changes, the other elements linked to it must change as well (Murmann &amp; Frenken, 2006). The core of hybrid bonding is a connection scheme in which bonding pads are bonded directly to one another without bumps or solder (Lau, 2021). The extent to which inventions dealing with this core element also incorporate knowledge from the other side of the boundary is likely to vary with the developmental stage of the technology.</w:t>
      </w:r>
    </w:p>
    <w:p>
      <w:pPr>
        <w:pStyle w:val="BodyText"/>
      </w:pPr>
      <w:r>
        <w:t xml:space="preserve">This variation can be explained from the perspective of the technology cycle model. In the era of ferment immediately after a new technology emerges, multiple designs compete, and the interfaces between the core element and the other elements are not yet settled. Once a dominant design has been established, however, the interfaces become entrenched, and subsequent invention shifts to incremental innovation that improves the established design (Anderson &amp; Tushman, 1990). While the interfaces remain unsettled, inventing the direct connection of bonding pads requires dealing with fabrication-process knowledge such as surface planarization and wafer bonding. Once the interfaces have become entrenched, by contrast, such knowledge is taken as a given condition, and the core technologies can be invented within the bonding domain. Brusoni et al. (2001) attributed the need for firms to possess knowledge beyond the scope of what they produce to unpredictable interdependencies among components. By the same logic, as interdependencies become predictable, the need for a single invention to incorporate knowledge from the other side of the boundary decreases. Because hybrid bonding was first commercialized in wafer-level bonding for image sensors and 3D NAND and its use was later extended to die-level bonding (Lau, 2021, 2022), later filings are more likely to belong to a stage in which the design of the core technologies has become entrenched. Applications containing the core technologies can therefore be expected to incorporate fabrication-process knowledge more often than other bonding applications while the technology is forming, but this difference should diminish over time. The core technologies are identified through the technology cluster and technology network analyses in Section 4.4.</w:t>
      </w:r>
    </w:p>
    <w:p>
      <w:pPr>
        <w:pStyle w:val="BodyText"/>
      </w:pPr>
      <w:r>
        <w:rPr>
          <w:b/>
          <w:bCs/>
        </w:rPr>
        <w:t xml:space="preserve">Building on this discussion, this study analyzes how the level and form of cross-stage convergence change over time and how the center of convergence shifts between core and peripheral technologies.</w:t>
      </w:r>
    </w:p>
    <w:bookmarkEnd w:id="13"/>
    <w:bookmarkStart w:id="14" w:name="X4b525ae9205b76f1a9bba441ce181a0d277998d"/>
    <w:p>
      <w:pPr>
        <w:pStyle w:val="Heading3"/>
      </w:pPr>
      <w:r>
        <w:t xml:space="preserve">2.4 Patent-based measurement of technology convergence</w:t>
      </w:r>
    </w:p>
    <w:p>
      <w:pPr>
        <w:pStyle w:val="FirstParagraph"/>
      </w:pPr>
      <w:r>
        <w:t xml:space="preserve">Empirically analyzing the level and form of the cross-stage convergence discussed above, and their change, requires an appropriate measurement method. Patents are the most widely used data for measuring convergence because classification symbols place each invention in one or more technological fields (Curran &amp; Leker, 2011). Prior studies have generally measured convergence with field-level indices that count the patents to which symbols of two fields are jointly assigned (Cho &amp; Kim, 2014; Jeong et al., 2015; Kwon et al., 2020; Lee et al., 2015; Yun &amp; Geum, 2019). Other studies have used patent text to compensate for the limitation that classification systems reflect inventions only after the fact (Preschitschek et al., 2013; Zhu &amp; Motohashi, 2022).</w:t>
      </w:r>
    </w:p>
    <w:p>
      <w:pPr>
        <w:pStyle w:val="BodyText"/>
      </w:pPr>
      <w:r>
        <w:t xml:space="preserve">Of these two streams, this study belongs to the former in that it uses co-classification as a signal of convergence, but it differs in its unit of analysis. Instead of aggregating co-classification at the field level, this study classifies individual patents into three co-classification types: bonding-only, to which only bonding and interconnect symbols (H01L24) are assigned; process-only, to which only fabrication-process symbols (H01L21) are assigned; and integrated, to which both are assigned. Of these, the integrated type corresponds to patents that cross the boundary between process stages. Because this classification is defined at the level of the individual patent, it can be analyzed with standard discrete choice models, and it preserves the differences between patents that are averaged away in aggregate indices. This is intended to address the second feature of prior research noted in Section 2.1, namely, the limitation that field-level indicators can hardly explain differences among individual inventions. Note, however, that because CPC symbols are assigned by examiners according to the technical content of an invention, co-classification is a proxy for the joint presence of technologies from the two domains in an invention, not a measure of the legal scope of the claims.</w:t>
      </w:r>
      <w:r>
        <w:t xml:space="preserve"> </w:t>
      </w:r>
      <w:r>
        <w:rPr>
          <w:highlight w:val="yellow"/>
        </w:rPr>
        <w:t xml:space="preserve">In this sense, co-classification is an observable trace of invention-level knowledge integration, not a measure of knowledge transfer between organizations.</w:t>
      </w:r>
      <w:r>
        <w:t xml:space="preserve"> </w:t>
      </w:r>
      <w:r>
        <w:t xml:space="preserve">This point is revisited in Section 4.2.</w:t>
      </w:r>
    </w:p>
    <w:p>
      <w:pPr>
        <w:pStyle w:val="BodyText"/>
      </w:pPr>
      <w:r>
        <w:t xml:space="preserve">The identification of the core technologies of hybrid bonding and the construction of the variables that explain the co-classification types draw on the following two strands of patent research. The first is research on technology networks. If classification symbols are treated as nodes and pairs of symbols assigned to the same patent as links, the structure of the combinations among technological elements can be represented as a network (Sternitzke et al., 2008). The frequency with which two symbols are assigned together reflects the knowledge relatedness between the two technologies (Breschi et al., 2003), and a set of symbols that many patents share and that are strongly linked to one another, that is, a technology cluster, reveals the core elements of the technology. Using this approach, this study identifies the core technologies of hybrid bonding (Section 4.4) and analyzes whether patents containing them cross the boundary between process stages. The second is research on patent scope. Lerner (1994) measured patent scope by the number of classes a patent covers and showed that scope has economic value, and in the semiconductor industry, firms are known to build broader patent portfolios when markets for technology are more fragmented (Hall &amp; Ziedonis, 2001; Ziedonis, 2004). The technological scope used in this study follows this tradition but is a measure limited to the number of CPC subgroups within the two classes.</w:t>
      </w:r>
    </w:p>
    <w:p>
      <w:pPr>
        <w:pStyle w:val="BodyText"/>
      </w:pPr>
      <w:r>
        <w:t xml:space="preserve">This technological scope is also closely related to the concept of technology convergence, because Kodama’s (1992) technology fusion and Rosenberg’s (1963) technological convergence both presuppose inventions that span two or more technological domains. From this perspective, applications that include more diverse technical elements (CPC subgroups) within the two classes should be more likely to be assigned symbols of both domains. This relationship, however, also has a mechanical aspect, because technological scope and the co-classification type are derived from the same set of CPC symbols and an integrated application by definition carries at least one symbol from each class, so its scope is at least two. This definitional difference in the minimum number of symbols is examined in an exploratory manner in Section 5.4 using the type-minimum-adjusted CPC scope.</w:t>
      </w:r>
      <w:r>
        <w:t xml:space="preserve"> </w:t>
      </w:r>
      <w:r>
        <w:rPr>
          <w:b/>
          <w:bCs/>
        </w:rPr>
        <w:t xml:space="preserve">Accordingly, along with the level of cross-stage convergence, this study analyzes the relationship between technological diversity and the integrated type.</w:t>
      </w:r>
    </w:p>
    <w:bookmarkEnd w:id="14"/>
    <w:bookmarkEnd w:id="15"/>
    <w:bookmarkStart w:id="24" w:name="X3b5a51ca40ed4e153820a65c6c03fb06a4e29cd"/>
    <w:p>
      <w:pPr>
        <w:pStyle w:val="Heading2"/>
      </w:pPr>
      <w:r>
        <w:t xml:space="preserve">3. Research context: Hybrid bonding technology and industry</w:t>
      </w:r>
    </w:p>
    <w:p>
      <w:pPr>
        <w:pStyle w:val="FirstParagraph"/>
      </w:pPr>
      <w:r>
        <w:t xml:space="preserve">Before the cross-stage technology convergence discussed in Section 2 is analyzed empirically, this section examines the technical characteristics of hybrid bonding, the object of analysis (Section 3.1), as well as the interdependence between fabrication-process and bonding technologies and related industry trends (Section 3.2).</w:t>
      </w:r>
    </w:p>
    <w:bookmarkStart w:id="19" w:name="Xb944755ea22cd65ccbf06357f846789f4c05037"/>
    <w:p>
      <w:pPr>
        <w:pStyle w:val="Heading3"/>
      </w:pPr>
      <w:r>
        <w:t xml:space="preserve">3.1 Technical characteristics of hybrid bonding</w:t>
      </w:r>
    </w:p>
    <w:p>
      <w:pPr>
        <w:pStyle w:val="FirstParagraph"/>
      </w:pPr>
      <w:r>
        <w:t xml:space="preserve">Hybrid bonding is a technology that brings together two planar surfaces with copper pads embedded in a dielectric, first bonds the dielectric at room temperature, and then bonds the copper pads through low-temperature annealing, thereby forming permanent electrical connections. Because no solder bumps are used, the interconnect pitch shrinks to below 10 µm, a pitch that is difficult to achieve with microbump flip-chip technology, and to below 1 µm at the research stage (Lau, 2021, 2022). Depending on what is bonded, the technology takes two main forms. Wafer-to-wafer (W2W) bonding joins entire wafers and was first commercialized in CMOS image sensors and 3D NAND. Die-to-wafer (D2W) bonding joins individual dies to a wafer and is required for chiplets, HBM, and 3D logic. Figure 1 organizes the configuration of hybrid bonding into four tiers: enabling processes, bonding configurations, device structures, and applications.</w:t>
      </w:r>
    </w:p>
    <w:p>
      <w:pPr>
        <w:pStyle w:val="BodyText"/>
        <w:keepNext/>
      </w:pPr>
      <w:r>
        <w:drawing>
          <wp:inline>
            <wp:extent cx="5334000" cy="4741333"/>
            <wp:effectExtent b="0" l="0" r="0" t="0"/>
            <wp:docPr descr="" title="" id="17" name="Picture"/>
            <a:graphic>
              <a:graphicData uri="http://schemas.openxmlformats.org/drawingml/2006/picture">
                <pic:pic>
                  <pic:nvPicPr>
                    <pic:cNvPr descr="figures/fig_framework_psp_en_v64.png" id="18" name="Picture"/>
                    <pic:cNvPicPr>
                      <a:picLocks noChangeArrowheads="1" noChangeAspect="1"/>
                    </pic:cNvPicPr>
                  </pic:nvPicPr>
                  <pic:blipFill>
                    <a:blip r:embed="rId1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sz w:val="20"/>
          <w:szCs w:val="20"/>
        </w:rPr>
        <w:t xml:space="preserve">Figure 1.</w:t>
      </w:r>
      <w:r>
        <w:rPr>
          <w:sz w:val="20"/>
          <w:szCs w:val="20"/>
        </w:rPr>
        <w:t xml:space="preserve"> </w:t>
      </w:r>
      <w:r>
        <w:rPr>
          <w:sz w:val="20"/>
          <w:szCs w:val="20"/>
        </w:rPr>
        <w:t xml:space="preserve">Enabling processes, bonding configurations, device structures, and applications of hybrid bonding (prepared by the authors on the basis of the technical descriptions in Lau (2021, 2022); CMP, chemical mechanical polishing).</w:t>
      </w:r>
    </w:p>
    <w:bookmarkEnd w:id="19"/>
    <w:bookmarkStart w:id="23" w:name="X9605e434bd8303d02c160cbd9e67e73462de90a"/>
    <w:p>
      <w:pPr>
        <w:pStyle w:val="Heading3"/>
      </w:pPr>
      <w:r>
        <w:t xml:space="preserve">3.2 Interdependence between fabrication-process and bonding technologies</w:t>
      </w:r>
    </w:p>
    <w:p>
      <w:pPr>
        <w:pStyle w:val="FirstParagraph"/>
      </w:pPr>
      <w:r>
        <w:t xml:space="preserve">Because of these technical characteristics, fabrication-process and bonding technologies are closely interdependent in hybrid bonding. In both W2W and D2W bonding, the steps that determine yield, namely chemical mechanical polishing (CMP) to sub-nanometer surface roughness, plasma surface activation, particle control, and precise alignment, belong to the semiconductor fabrication-process class (H01L21) of the CPC (Section 4.1, Table 1). Accordingly, the enabling processes in Figure 1 correspond mainly to the fabrication-process class (H01L21), and the bonding configurations and interconnect structures correspond mainly to the bonding and interconnect class (H01L24). This interdependence is also evident in the actual process flow. Figure 2 shows the process flow of D2W hybrid bonding: before the dies are singulated and bonded, interlayer dielectric deposition, damascene etching, copper barrier and seed deposition, copper plating, and CMP are performed in sequence, all of which are processes and equipment that have been used in the front end.</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Figure 2.</w:t>
      </w:r>
      <w:r>
        <w:rPr>
          <w:sz w:val="20"/>
          <w:szCs w:val="20"/>
        </w:rPr>
        <w:t xml:space="preserve"> </w:t>
      </w:r>
      <w:r>
        <w:rPr>
          <w:sz w:val="20"/>
          <w:szCs w:val="20"/>
        </w:rPr>
        <w:t xml:space="preserve">Process flow of die-to-wafer (D2W) hybrid bonding and the equipment used at each step (source: Applied Materials, 2025).</w:t>
      </w:r>
    </w:p>
    <w:p>
      <w:pPr>
        <w:pStyle w:val="BodyText"/>
      </w:pPr>
      <w:r>
        <w:t xml:space="preserve">The industry landscape also reflects this technological interdependence. An independent industry analysis of hybrid bonding patents identifies TSMC, Adeia, YMTC, Intel, and Samsung as the applicants leading patent activity (KnowMade, 2024). That licensing firms holding foundational technologies, foundries operating their own advanced packaging, and memory manufacturers jointly lead patent activity shows that bonding technology is no longer the exclusive domain of back-end specialists. These technological and industrial characteristics suggest that hybrid bonding is a suitable case for analyzing cross-stage technology convergence. The next section presents the data and methods used to analyze it empirically.</w:t>
      </w:r>
    </w:p>
    <w:bookmarkEnd w:id="23"/>
    <w:bookmarkEnd w:id="24"/>
    <w:bookmarkStart w:id="36" w:name="data-and-methods"/>
    <w:p>
      <w:pPr>
        <w:pStyle w:val="Heading2"/>
      </w:pPr>
      <w:r>
        <w:t xml:space="preserve">4. Data and methods</w:t>
      </w:r>
    </w:p>
    <w:bookmarkStart w:id="25" w:name="data-collection"/>
    <w:p>
      <w:pPr>
        <w:pStyle w:val="Heading3"/>
      </w:pPr>
      <w:r>
        <w:t xml:space="preserve">4.1 Data collection</w:t>
      </w:r>
    </w:p>
    <w:p>
      <w:pPr>
        <w:pStyle w:val="FirstParagraph"/>
      </w:pPr>
      <w:r>
        <w:t xml:space="preserve">The data for this study were extracted from the 2025 edition of PATSTAT Global of the EPO (European Patent Office, 2025). Applications carrying at least one symbol of the CPC H01L21 (semiconductor fabrication processes) or H01L24 (semiconductor bonding and interconnect technology) classes were first retrieved as candidates, and only those whose titles contained at least one keyword related to hybrid bonding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 or</w:t>
      </w:r>
      <w:r>
        <w:t xml:space="preserve"> </w:t>
      </w:r>
      <w:r>
        <w:rPr>
          <w:i/>
          <w:iCs/>
        </w:rPr>
        <w:t xml:space="preserve">metal-oxide bond</w:t>
      </w:r>
      <w:r>
        <w:t xml:space="preserve">) were then selected (Table 1). The resulting sample consists of 5,277 application–CPC pairs, or 928 applications filed between 1968 and 2024. The sample is therefore not the universe of hybrid bonding patents but the set of related applications identified by this search query; applications whose titles do not contain a relevant term are not included. This broad sample was also designed to capture not only contemporary hybrid bonding but also the early direct bonding precursor technologies that formed its technological basis. Because symbols outside the two classes were not retained at the extraction stage, the regression data contain only 262 subgroup symbols (full symbols, including the detailed number after the slash, e.g., H01L 21/603): 202 of the H01L21 class and 60 of the H01L24 class. The technology cluster and technology network tables in Section 4.4, however, are based on a separate tabulation by the authors of all CPC symbols assigned to the same 928 applications (including the bonding indexing codes H01L2224 and the device assembly class H01L25) and are not used in the regression analyses. The unit of analysis is the individual patent application in PATSTAT; when the same invention was filed at several offices, each application is included as a separate observation.</w:t>
      </w:r>
    </w:p>
    <w:p>
      <w:pPr>
        <w:pStyle w:val="BodyText"/>
        <w:keepNext/>
      </w:pPr>
      <w:r>
        <w:rPr>
          <w:b/>
          <w:bCs/>
          <w:sz w:val="20"/>
          <w:szCs w:val="20"/>
        </w:rPr>
        <w:t xml:space="preserve">Table 1.</w:t>
      </w:r>
      <w:r>
        <w:rPr>
          <w:sz w:val="20"/>
          <w:szCs w:val="20"/>
        </w:rPr>
        <w:t xml:space="preserve"> </w:t>
      </w:r>
      <w:r>
        <w:rPr>
          <w:sz w:val="20"/>
          <w:szCs w:val="20"/>
        </w:rPr>
        <w:t xml:space="preserve">Search strategy for patents related to hybrid bonding.</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67"/>
        <w:gridCol w:w="1600"/>
        <w:gridCol w:w="4801"/>
      </w:tblGrid>
      <w:tr>
        <w:trPr>
          <w:tblHeader w:val="on"/>
          <w:cantSplit/>
        </w:trPr>
        <w:tc>
          <w:tcPr>
            <w:tcW w:type="dxa" w:w="2667"/>
            <w:tcBorders>
              <w:bottom w:val="single" w:sz="4" w:space="0" w:color="000000"/>
            </w:tcBorders>
          </w:tcPr>
          <w:p>
            <w:pPr>
              <w:pStyle w:val="Compact"/>
              <w:spacing w:before="20" w:after="20" w:line="240" w:lineRule="auto"/>
              <w:keepNext/>
            </w:pPr>
            <w:r>
              <w:rPr>
                <w:sz w:val="18"/>
                <w:szCs w:val="18"/>
              </w:rPr>
              <w:t xml:space="preserve">Step</w:t>
            </w:r>
          </w:p>
        </w:tc>
        <w:tc>
          <w:tcPr>
            <w:tcW w:type="dxa" w:w="1600"/>
            <w:tcBorders>
              <w:bottom w:val="single" w:sz="4" w:space="0" w:color="000000"/>
            </w:tcBorders>
          </w:tcPr>
          <w:p>
            <w:pPr>
              <w:pStyle w:val="Compact"/>
              <w:spacing w:before="20" w:after="20" w:line="240" w:lineRule="auto"/>
              <w:keepNext/>
            </w:pPr>
            <w:r>
              <w:rPr>
                <w:sz w:val="18"/>
                <w:szCs w:val="18"/>
              </w:rPr>
              <w:t xml:space="preserve">Condition</w:t>
            </w:r>
          </w:p>
        </w:tc>
        <w:tc>
          <w:tcPr>
            <w:tcW w:type="dxa" w:w="4801"/>
            <w:tcBorders>
              <w:bottom w:val="single" w:sz="4" w:space="0" w:color="000000"/>
            </w:tcBorders>
          </w:tcPr>
          <w:p>
            <w:pPr>
              <w:pStyle w:val="Compact"/>
              <w:spacing w:before="20" w:after="20" w:line="240" w:lineRule="auto"/>
              <w:keepNext/>
            </w:pPr>
            <w:r>
              <w:rPr>
                <w:sz w:val="18"/>
                <w:szCs w:val="18"/>
              </w:rPr>
              <w:t xml:space="preserve">Content</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H01L21</w:t>
            </w:r>
          </w:p>
        </w:tc>
        <w:tc>
          <w:tcPr>
            <w:tcW w:type="dxa" w:w="4801"/>
          </w:tcPr>
          <w:p>
            <w:pPr>
              <w:pStyle w:val="Compact"/>
              <w:spacing w:before="20" w:after="20" w:line="240" w:lineRule="auto"/>
              <w:keepNext/>
            </w:pPr>
            <w:r>
              <w:rPr>
                <w:sz w:val="18"/>
                <w:szCs w:val="18"/>
              </w:rPr>
              <w:t xml:space="preserve">Semiconductor fabrication-process technology, including direct wafer bonding (21/18, 21/20), device isolation, interconnects, and through-substrate vias (21/76), substrate and insulating-layer treatment (21/02), and chemical mechanical polishing (21/30–21/32); also includes packaging-stage fabrication processes (21/48, 21/50–21/58, 21/60, 21/78) and processing apparatus (21/67–21/68)</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H01L24</w:t>
            </w:r>
          </w:p>
        </w:tc>
        <w:tc>
          <w:tcPr>
            <w:tcW w:type="dxa" w:w="4801"/>
          </w:tcPr>
          <w:p>
            <w:pPr>
              <w:pStyle w:val="Compact"/>
              <w:spacing w:before="20" w:after="20" w:line="240" w:lineRule="auto"/>
              <w:keepNext/>
            </w:pPr>
            <w:r>
              <w:rPr>
                <w:sz w:val="18"/>
                <w:szCs w:val="18"/>
              </w:rPr>
              <w:t xml:space="preserve">Connector structures for connecting or disconnecting semiconductor or solid-state bodies, bump, layer, and wire connections, and related connecting methods and apparatus</w:t>
            </w:r>
          </w:p>
        </w:tc>
      </w:tr>
      <w:tr>
        <w:trPr>
          <w:cantSplit/>
        </w:trPr>
        <w:tc>
          <w:tcPr>
            <w:tcW w:type="dxa" w:w="2667"/>
          </w:tcPr>
          <w:p>
            <w:pPr>
              <w:pStyle w:val="Compact"/>
              <w:spacing w:before="20" w:after="20" w:line="240" w:lineRule="auto"/>
              <w:keepNext/>
            </w:pPr>
            <w:r>
              <w:rPr>
                <w:sz w:val="18"/>
                <w:szCs w:val="18"/>
              </w:rPr>
              <w:t xml:space="preserve">Step 2: Keyword</w:t>
            </w:r>
          </w:p>
        </w:tc>
        <w:tc>
          <w:tcPr>
            <w:tcW w:type="dxa" w:w="1600"/>
          </w:tcPr>
          <w:p>
            <w:pPr>
              <w:pStyle w:val="Compact"/>
              <w:spacing w:before="20" w:after="20" w:line="240" w:lineRule="auto"/>
              <w:keepNext/>
            </w:pPr>
            <w:r>
              <w:rPr>
                <w:sz w:val="18"/>
                <w:szCs w:val="18"/>
              </w:rPr>
              <w:t xml:space="preserve">Title</w:t>
            </w:r>
          </w:p>
        </w:tc>
        <w:tc>
          <w:tcPr>
            <w:tcW w:type="dxa" w:w="4801"/>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 and</w:t>
            </w:r>
            <w:r>
              <w:rPr>
                <w:sz w:val="18"/>
                <w:szCs w:val="18"/>
              </w:rPr>
              <w:t xml:space="preserve"> </w:t>
            </w:r>
            <w:r>
              <w:rPr>
                <w:i/>
                <w:iCs/>
                <w:sz w:val="18"/>
                <w:szCs w:val="18"/>
              </w:rPr>
              <w:t xml:space="preserve">metal-oxide bond</w:t>
            </w:r>
          </w:p>
        </w:tc>
      </w:tr>
    </w:tbl>
    <w:p>
      <w:pPr>
        <w:pStyle w:val="BodyText"/>
      </w:pPr>
      <w:r>
        <w:rPr>
          <w:i/>
          <w:iCs/>
          <w:sz w:val="20"/>
          <w:szCs w:val="20"/>
        </w:rPr>
        <w:t xml:space="preserve">Note:</w:t>
      </w:r>
      <w:r>
        <w:rPr>
          <w:sz w:val="20"/>
          <w:szCs w:val="20"/>
        </w:rPr>
        <w:t xml:space="preserve"> </w:t>
      </w:r>
      <w:r>
        <w:rPr>
          <w:sz w:val="20"/>
          <w:szCs w:val="20"/>
        </w:rPr>
        <w:t xml:space="preserve">Step 1 requires at least one of the two classes, and Step 2 at least one of the keywords; both conditions must be met. The indexing codes of the two classes (e.g., H01L2224) were also used in the search, but because only the symbols of the classes proper were retained in the extracted records, indexing codes are not included in the calculation of technological scope.</w:t>
      </w:r>
    </w:p>
    <w:p>
      <w:pPr>
        <w:pStyle w:val="BodyText"/>
      </w:pPr>
      <w:r>
        <w:t xml:space="preserve">Three characteristics of the data constructed in this way need to be noted before the analysis. First,</w:t>
      </w:r>
      <w:r>
        <w:t xml:space="preserve"> </w:t>
      </w:r>
      <w:r>
        <w:rPr>
          <w:i/>
          <w:iCs/>
        </w:rPr>
        <w:t xml:space="preserve">hybrid bonding</w:t>
      </w:r>
      <w:r>
        <w:t xml:space="preserve"> </w:t>
      </w:r>
      <w:r>
        <w:t xml:space="preserve">is a relatively precise search term, whereas</w:t>
      </w:r>
      <w:r>
        <w:t xml:space="preserve"> </w:t>
      </w:r>
      <w:r>
        <w:rPr>
          <w:i/>
          <w:iCs/>
        </w:rPr>
        <w:t xml:space="preserve">direct bonding</w:t>
      </w:r>
      <w:r>
        <w:t xml:space="preserve"> </w:t>
      </w:r>
      <w:r>
        <w:t xml:space="preserve">has a broad range of meanings. There are 467 applications whose titles contain</w:t>
      </w:r>
      <w:r>
        <w:t xml:space="preserve"> </w:t>
      </w:r>
      <w:r>
        <w:rPr>
          <w:i/>
          <w:iCs/>
        </w:rPr>
        <w:t xml:space="preserve">hybrid bonding</w:t>
      </w:r>
      <w:r>
        <w:t xml:space="preserve">, and the results re-estimated with this sample (hereafter the</w:t>
      </w:r>
      <w:r>
        <w:t xml:space="preserve"> </w:t>
      </w:r>
      <w:r>
        <w:rPr>
          <w:i/>
          <w:iCs/>
        </w:rPr>
        <w:t xml:space="preserve">hybrid bonding</w:t>
      </w:r>
      <w:r>
        <w:t xml:space="preserve"> </w:t>
      </w:r>
      <w:r>
        <w:t xml:space="preserve">sample) are reported in Section 5.4. Second, the keyword filter alone cannot screen out irrelevant uses of the search terms. Most such applications use</w:t>
      </w:r>
      <w:r>
        <w:t xml:space="preserve"> </w:t>
      </w:r>
      <w:r>
        <w:rPr>
          <w:i/>
          <w:iCs/>
        </w:rPr>
        <w:t xml:space="preserve">direct bonding</w:t>
      </w:r>
      <w:r>
        <w:t xml:space="preserve"> </w:t>
      </w:r>
      <w:r>
        <w:t xml:space="preserve">in a different sense, as in direct bonded copper (DBC) substrates (copper bonded to a ceramic substrate), copper alloys, and power modules; a few use</w:t>
      </w:r>
      <w:r>
        <w:t xml:space="preserve"> </w:t>
      </w:r>
      <w:r>
        <w:rPr>
          <w:i/>
          <w:iCs/>
        </w:rPr>
        <w:t xml:space="preserve">hybrid bonding</w:t>
      </w:r>
      <w:r>
        <w:t xml:space="preserve"> </w:t>
      </w:r>
      <w:r>
        <w:t xml:space="preserve">in the sense of chemical bonding or bonding sheets for power modules. These applications, identified from their titles,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 results re-estimated without them are also reported in Section 5.4 (see Appendix B for the criteria and distribution). Third, because the extracted records do not include PATSTAT’s patent family identifiers, duplicates at the family level cannot be removed directly, so the same invention filed at several offices is counted as several applications. As a sensitivity analysis, applications with identical titles are treated as one duplicate group, and the results obtained by keeping only the earliest application in each title group are reported in Section 5.4. The 928 applications comprise 473 unique titles, of which 149 were filed at two or more offices.</w:t>
      </w:r>
    </w:p>
    <w:bookmarkEnd w:id="25"/>
    <w:bookmarkStart w:id="26" w:name="operational-definitions-and-measurement"/>
    <w:p>
      <w:pPr>
        <w:pStyle w:val="Heading3"/>
      </w:pPr>
      <w:r>
        <w:t xml:space="preserve">4.2 Operational definitions and measurement</w:t>
      </w:r>
    </w:p>
    <w:p>
      <w:pPr>
        <w:pStyle w:val="FirstParagraph"/>
      </w:pPr>
      <w:r>
        <w:t xml:space="preserve">Measuring cross-stage technology convergence with the data constructed above first requires distinguishing among the theoretical concept, the observed phenomenon, and the operational indicator (Table 2). In this study, the theoretical concept is cross-stage technology convergence, the observed phenomenon is the inclusion of fabrication-process technology and bonding and interconnect technology in a single application, and the operational indicator is the co-classification of H01L21 and H01L24. H01L21 is not, however, regarded as the front end itself, nor H01L24 as the back end itself. This is because, in addition to wafer fabrication, H01L21 also covers processing apparatus and packaging-stage fabrication processes such as the manufacture of package parts, mounting and encapsulation, lead attachment, and dicing; H01L24 likewise does not coincide with the boundary of the back-end industry in the organizational sense. The co-classification of the two classes can nevertheless serve as a proxy because many of the wafer preparation, surface treatment, planarization, and related fabrication processes that determine the performance of hybrid bonding are included in H01L21, whereas bonding and interconnect technologies are concentrated in H01L24. The 1,636 H01L21 symbol records in the sample consist of 905 for wafer fabrication (all other H01L21 subgroups; 55.3%), 328 for processing apparatus (20.0%), and 403 for packaging-stage processes (24.6%). The results re-estimated under a narrow definition that excludes packaging-stage processes from fabrication processes are presented in Section 5.4; the conclusions of the regression analyses were unchanged.</w:t>
      </w:r>
    </w:p>
    <w:p>
      <w:pPr>
        <w:pStyle w:val="BodyText"/>
        <w:keepNext/>
      </w:pPr>
      <w:r>
        <w:rPr>
          <w:b/>
          <w:bCs/>
          <w:sz w:val="20"/>
          <w:szCs w:val="20"/>
        </w:rPr>
        <w:t xml:space="preserve">Table 2.</w:t>
      </w:r>
      <w:r>
        <w:rPr>
          <w:sz w:val="20"/>
          <w:szCs w:val="20"/>
        </w:rPr>
        <w:t xml:space="preserve"> </w:t>
      </w:r>
      <w:r>
        <w:rPr>
          <w:sz w:val="20"/>
          <w:szCs w:val="20"/>
        </w:rPr>
        <w:t xml:space="preserve">Definitions at each conceptual level and their role in this study.</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454"/>
        <w:gridCol w:w="3628"/>
        <w:gridCol w:w="2987"/>
      </w:tblGrid>
      <w:tr>
        <w:trPr>
          <w:tblHeader w:val="on"/>
          <w:cantSplit/>
        </w:trPr>
        <w:tc>
          <w:tcPr>
            <w:tcW w:type="dxa" w:w="2454"/>
            <w:tcBorders>
              <w:bottom w:val="single" w:sz="4" w:space="0" w:color="000000"/>
            </w:tcBorders>
          </w:tcPr>
          <w:p>
            <w:pPr>
              <w:pStyle w:val="Compact"/>
              <w:spacing w:before="20" w:after="20" w:line="240" w:lineRule="auto"/>
              <w:keepNext/>
            </w:pPr>
            <w:r>
              <w:rPr>
                <w:sz w:val="18"/>
                <w:szCs w:val="18"/>
              </w:rPr>
              <w:t xml:space="preserve">Level</w:t>
            </w:r>
          </w:p>
        </w:tc>
        <w:tc>
          <w:tcPr>
            <w:tcW w:type="dxa" w:w="3628"/>
            <w:tcBorders>
              <w:bottom w:val="single" w:sz="4" w:space="0" w:color="000000"/>
            </w:tcBorders>
          </w:tcPr>
          <w:p>
            <w:pPr>
              <w:pStyle w:val="Compact"/>
              <w:spacing w:before="20" w:after="20" w:line="240" w:lineRule="auto"/>
              <w:keepNext/>
            </w:pPr>
            <w:r>
              <w:rPr>
                <w:sz w:val="18"/>
                <w:szCs w:val="18"/>
              </w:rPr>
              <w:t xml:space="preserve">Concept</w:t>
            </w:r>
          </w:p>
        </w:tc>
        <w:tc>
          <w:tcPr>
            <w:tcW w:type="dxa" w:w="2987"/>
            <w:tcBorders>
              <w:bottom w:val="single" w:sz="4" w:space="0" w:color="000000"/>
            </w:tcBorders>
          </w:tcPr>
          <w:p>
            <w:pPr>
              <w:pStyle w:val="Compact"/>
              <w:spacing w:before="20" w:after="20" w:line="240" w:lineRule="auto"/>
              <w:keepNext/>
            </w:pPr>
            <w:r>
              <w:rPr>
                <w:sz w:val="18"/>
                <w:szCs w:val="18"/>
              </w:rPr>
              <w:t xml:space="preserve">Role in this study</w:t>
            </w:r>
          </w:p>
        </w:tc>
      </w:tr>
      <w:tr>
        <w:trPr>
          <w:cantSplit/>
        </w:trPr>
        <w:tc>
          <w:tcPr>
            <w:tcW w:type="dxa" w:w="2454"/>
          </w:tcPr>
          <w:p>
            <w:pPr>
              <w:pStyle w:val="Compact"/>
              <w:spacing w:before="20" w:after="20" w:line="240" w:lineRule="auto"/>
              <w:keepNext/>
            </w:pPr>
            <w:r>
              <w:rPr>
                <w:sz w:val="18"/>
                <w:szCs w:val="18"/>
              </w:rPr>
              <w:t xml:space="preserve">Technological system</w:t>
            </w:r>
          </w:p>
        </w:tc>
        <w:tc>
          <w:tcPr>
            <w:tcW w:type="dxa" w:w="3628"/>
          </w:tcPr>
          <w:p>
            <w:pPr>
              <w:pStyle w:val="Compact"/>
              <w:spacing w:before="20" w:after="20" w:line="240" w:lineRule="auto"/>
              <w:keepNext/>
            </w:pPr>
            <w:r>
              <w:rPr>
                <w:sz w:val="18"/>
                <w:szCs w:val="18"/>
              </w:rPr>
              <w:t xml:space="preserve">Cross-stage technology convergence</w:t>
            </w:r>
          </w:p>
        </w:tc>
        <w:tc>
          <w:tcPr>
            <w:tcW w:type="dxa" w:w="2987"/>
          </w:tcPr>
          <w:p>
            <w:pPr>
              <w:pStyle w:val="Compact"/>
              <w:spacing w:before="20" w:after="20" w:line="240" w:lineRule="auto"/>
              <w:keepNext/>
            </w:pPr>
            <w:r>
              <w:rPr>
                <w:sz w:val="18"/>
                <w:szCs w:val="18"/>
              </w:rPr>
              <w:t xml:space="preserve">Core theoretical phenomenon</w:t>
            </w:r>
          </w:p>
        </w:tc>
      </w:tr>
      <w:tr>
        <w:trPr>
          <w:cantSplit/>
        </w:trPr>
        <w:tc>
          <w:tcPr>
            <w:tcW w:type="dxa" w:w="2454"/>
          </w:tcPr>
          <w:p>
            <w:pPr>
              <w:pStyle w:val="Compact"/>
              <w:spacing w:before="20" w:after="20" w:line="240" w:lineRule="auto"/>
              <w:keepNext/>
            </w:pPr>
            <w:r>
              <w:rPr>
                <w:sz w:val="18"/>
                <w:szCs w:val="18"/>
              </w:rPr>
              <w:t xml:space="preserve">Invention</w:t>
            </w:r>
          </w:p>
        </w:tc>
        <w:tc>
          <w:tcPr>
            <w:tcW w:type="dxa" w:w="3628"/>
          </w:tcPr>
          <w:p>
            <w:pPr>
              <w:pStyle w:val="Compact"/>
              <w:spacing w:before="20" w:after="20" w:line="240" w:lineRule="auto"/>
              <w:keepNext/>
            </w:pPr>
            <w:r>
              <w:rPr>
                <w:sz w:val="18"/>
                <w:szCs w:val="18"/>
              </w:rPr>
              <w:t xml:space="preserve">Boundary-spanning invention</w:t>
            </w:r>
          </w:p>
        </w:tc>
        <w:tc>
          <w:tcPr>
            <w:tcW w:type="dxa" w:w="2987"/>
          </w:tcPr>
          <w:p>
            <w:pPr>
              <w:pStyle w:val="Compact"/>
              <w:spacing w:before="20" w:after="20" w:line="240" w:lineRule="auto"/>
              <w:keepNext/>
            </w:pPr>
            <w:r>
              <w:rPr>
                <w:sz w:val="18"/>
                <w:szCs w:val="18"/>
              </w:rPr>
              <w:t xml:space="preserve">Object of analysis</w:t>
            </w:r>
          </w:p>
        </w:tc>
      </w:tr>
      <w:tr>
        <w:trPr>
          <w:cantSplit/>
        </w:trPr>
        <w:tc>
          <w:tcPr>
            <w:tcW w:type="dxa" w:w="2454"/>
          </w:tcPr>
          <w:p>
            <w:pPr>
              <w:pStyle w:val="Compact"/>
              <w:spacing w:before="20" w:after="20" w:line="240" w:lineRule="auto"/>
              <w:keepNext/>
            </w:pPr>
            <w:r>
              <w:rPr>
                <w:sz w:val="18"/>
                <w:szCs w:val="18"/>
              </w:rPr>
              <w:t xml:space="preserve">Measurement</w:t>
            </w:r>
          </w:p>
        </w:tc>
        <w:tc>
          <w:tcPr>
            <w:tcW w:type="dxa" w:w="3628"/>
          </w:tcPr>
          <w:p>
            <w:pPr>
              <w:pStyle w:val="Compact"/>
              <w:spacing w:before="20" w:after="20" w:line="240" w:lineRule="auto"/>
              <w:keepNext/>
            </w:pPr>
            <w:r>
              <w:rPr>
                <w:sz w:val="18"/>
                <w:szCs w:val="18"/>
              </w:rPr>
              <w:t xml:space="preserve">H01L21–H01L24 co-classification</w:t>
            </w:r>
          </w:p>
        </w:tc>
        <w:tc>
          <w:tcPr>
            <w:tcW w:type="dxa" w:w="2987"/>
          </w:tcPr>
          <w:p>
            <w:pPr>
              <w:pStyle w:val="Compact"/>
              <w:spacing w:before="20" w:after="20" w:line="240" w:lineRule="auto"/>
              <w:keepNext/>
            </w:pPr>
            <w:r>
              <w:rPr>
                <w:sz w:val="18"/>
                <w:szCs w:val="18"/>
              </w:rPr>
              <w:t xml:space="preserve">Operational indicator (proxy)</w:t>
            </w:r>
          </w:p>
        </w:tc>
      </w:tr>
      <w:tr>
        <w:trPr>
          <w:cantSplit/>
        </w:trPr>
        <w:tc>
          <w:tcPr>
            <w:tcW w:type="dxa" w:w="2454"/>
          </w:tcPr>
          <w:p>
            <w:pPr>
              <w:pStyle w:val="Compact"/>
              <w:spacing w:before="20" w:after="20" w:line="240" w:lineRule="auto"/>
              <w:keepNext/>
            </w:pPr>
            <w:r>
              <w:rPr>
                <w:sz w:val="18"/>
                <w:szCs w:val="18"/>
              </w:rPr>
              <w:t xml:space="preserve">Patent attribute</w:t>
            </w:r>
          </w:p>
        </w:tc>
        <w:tc>
          <w:tcPr>
            <w:tcW w:type="dxa" w:w="3628"/>
          </w:tcPr>
          <w:p>
            <w:pPr>
              <w:pStyle w:val="Compact"/>
              <w:spacing w:before="20" w:after="20" w:line="240" w:lineRule="auto"/>
              <w:keepNext/>
            </w:pPr>
            <w:r>
              <w:rPr>
                <w:sz w:val="18"/>
                <w:szCs w:val="18"/>
              </w:rPr>
              <w:t xml:space="preserve">Number of CPC subgroups within the two classes</w:t>
            </w:r>
          </w:p>
        </w:tc>
        <w:tc>
          <w:tcPr>
            <w:tcW w:type="dxa" w:w="2987"/>
          </w:tcPr>
          <w:p>
            <w:pPr>
              <w:pStyle w:val="Compact"/>
              <w:spacing w:before="20" w:after="20" w:line="240" w:lineRule="auto"/>
              <w:keepNext/>
            </w:pPr>
            <w:r>
              <w:rPr>
                <w:sz w:val="18"/>
                <w:szCs w:val="18"/>
              </w:rPr>
              <w:t xml:space="preserve">Technological diversity (within-class technological scope)</w:t>
            </w:r>
          </w:p>
        </w:tc>
      </w:tr>
      <w:tr>
        <w:trPr>
          <w:cantSplit/>
        </w:trPr>
        <w:tc>
          <w:tcPr>
            <w:tcW w:type="dxa" w:w="2454"/>
          </w:tcPr>
          <w:p>
            <w:pPr>
              <w:pStyle w:val="Compact"/>
              <w:spacing w:before="20" w:after="20" w:line="240" w:lineRule="auto"/>
              <w:keepNext/>
            </w:pPr>
            <w:r>
              <w:rPr>
                <w:sz w:val="18"/>
                <w:szCs w:val="18"/>
              </w:rPr>
              <w:t xml:space="preserve">Technological structure</w:t>
            </w:r>
          </w:p>
        </w:tc>
        <w:tc>
          <w:tcPr>
            <w:tcW w:type="dxa" w:w="3628"/>
          </w:tcPr>
          <w:p>
            <w:pPr>
              <w:pStyle w:val="Compact"/>
              <w:spacing w:before="20" w:after="20" w:line="240" w:lineRule="auto"/>
              <w:keepNext/>
            </w:pPr>
            <w:r>
              <w:rPr>
                <w:sz w:val="18"/>
                <w:szCs w:val="18"/>
              </w:rPr>
              <w:t xml:space="preserve">Core technologies (H01L24 symbols assigned to 200 or more applications)</w:t>
            </w:r>
          </w:p>
        </w:tc>
        <w:tc>
          <w:tcPr>
            <w:tcW w:type="dxa" w:w="2987"/>
          </w:tcPr>
          <w:p>
            <w:pPr>
              <w:pStyle w:val="Compact"/>
              <w:spacing w:before="20" w:after="20" w:line="240" w:lineRule="auto"/>
              <w:keepNext/>
            </w:pPr>
            <w:r>
              <w:rPr>
                <w:sz w:val="18"/>
                <w:szCs w:val="18"/>
              </w:rPr>
              <w:t xml:space="preserve">Identified through the technology cluster and network (Section 4.4)</w:t>
            </w:r>
          </w:p>
        </w:tc>
      </w:tr>
    </w:tbl>
    <w:p>
      <w:pPr>
        <w:pStyle w:val="BodyText"/>
      </w:pPr>
      <w:r>
        <w:t xml:space="preserve">CPC symbols are assigned by examiners according to the technical content of an invention and do not always match the wording of the claims. Hereafter, therefore, statements that an application</w:t>
      </w:r>
      <w:r>
        <w:t xml:space="preserve"> </w:t>
      </w:r>
      <w:r>
        <w:t xml:space="preserve">“contains”</w:t>
      </w:r>
      <w:r>
        <w:t xml:space="preserve"> </w:t>
      </w:r>
      <w:r>
        <w:t xml:space="preserve">a certain technology or</w:t>
      </w:r>
      <w:r>
        <w:t xml:space="preserve"> </w:t>
      </w:r>
      <w:r>
        <w:t xml:space="preserve">“is classified”</w:t>
      </w:r>
      <w:r>
        <w:t xml:space="preserve"> </w:t>
      </w:r>
      <w:r>
        <w:t xml:space="preserve">in it mean that a symbol of the corresponding class has been assigned to the application; they are not statements about the legal scope of the claims.</w:t>
      </w:r>
    </w:p>
    <w:bookmarkEnd w:id="26"/>
    <w:bookmarkStart w:id="30" w:name="definition-of-variables"/>
    <w:p>
      <w:pPr>
        <w:pStyle w:val="Heading3"/>
      </w:pPr>
      <w:r>
        <w:t xml:space="preserve">4.3 Definition of variables</w:t>
      </w:r>
    </w:p>
    <w:p>
      <w:pPr>
        <w:pStyle w:val="FirstParagraph"/>
      </w:pPr>
      <w:r>
        <w:t xml:space="preserve">Following these operational definitions, the variables used in the analysis are defined as shown in Table 3. Technological scope (breadth) is the number of distinct subgroup symbols of the H01L21 and H01L24 classes assigned to an application. It applies, within the two classes, Lerner’s (1994) approach of measuring patent scope by the number of classification symbols; it represents the diversity of the technical elements (CPC subgroups) assigned to an application within the two classes and measures neither the extent to which the application extends into fields beyond semiconductors nor the legal scope of its claims. However, the co-classification type and technological scope are derived from the same CPC information and are therefore mechanically linked: an integrated application by definition carries at least one H01L21 symbol and at least one H01L24 symbol, so its minimum breadth is two, whereas the minimum breadth of a single-class type is one. To mitigate this difference in mechanical minimums, a type-minimum-adjusted CPC scope was constructed separately by subtracting one symbol for each class that an application carries (breadth_adj = breadth − I[has H01L21] − I[has H01L24], where I[·] is an indicator function that equals 1 if the condition holds and 0 otherwise). For example, an integrated application with two H01L21 symbols and one H01L24 symbol has a breadth of 3 and a breadth_adj of 1, and a bonding-only application with only four H01L24 symbols has a breadth of 4 and a breadth_adj of 3. The variable breadth_adj measures the additional CPC diversity that remains after the minimum classification information establishing the type is excluded; because it reflects the type information of the dependent variable, it is used only as an exploratory robustness indicator. The co-classification type (tech_cat) classifies each application as bonding-only (only H01L24 symbols), integrated (symbols of both classes), or process-only (only H01L21 symbols); the integrated type, to which symbols of both classes are assigned together, is the measure of boundary spanning. Fabrication-process classification (has_process) is an indicator that equals 1 if an application carries at least one H01L21 symbol and 0 otherwise; it thus pools the integrated and process-only types. Filing year (yc) is the number of years elapsed since 1968, the first filing year in the sample, and filing period (period) has three categories: 1968–2014, grouped into a single period because filings were sparse, and 2015–2019 and 2020–2024 thereafter. Core technology (core) equals 1 if an application carries at least one of the four core bonding symbols identified in Section 4.4 (24/03, 24/05, 24/08, and 24/80). Filing office (ccode) is the patent office or filing route through which an application was filed and has eight levels. Because filing periods and technological composition differ across filing offices, filing office is included as a control variable in all models; its coefficients, however, are not interpreted, because differences between offices are not the subject of this study.</w:t>
      </w:r>
    </w:p>
    <w:p>
      <w:pPr>
        <w:pStyle w:val="BodyText"/>
        <w:keepNext/>
      </w:pPr>
      <w:r>
        <w:rPr>
          <w:b/>
          <w:bCs/>
          <w:sz w:val="20"/>
          <w:szCs w:val="20"/>
        </w:rPr>
        <w:t xml:space="preserve">Table 3.</w:t>
      </w:r>
      <w:r>
        <w:rPr>
          <w:sz w:val="20"/>
          <w:szCs w:val="20"/>
        </w:rPr>
        <w:t xml:space="preserve"> </w:t>
      </w:r>
      <w:r>
        <w:rPr>
          <w:sz w:val="20"/>
          <w:szCs w:val="20"/>
        </w:rPr>
        <w:t xml:space="preserve">Variable definitions.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94"/>
        <w:gridCol w:w="3150"/>
        <w:gridCol w:w="1466"/>
        <w:gridCol w:w="3258"/>
      </w:tblGrid>
      <w:tr>
        <w:trPr>
          <w:tblHeader w:val="on"/>
          <w:cantSplit/>
        </w:trPr>
        <w:tc>
          <w:tcPr>
            <w:tcW w:type="dxa" w:w="1194"/>
            <w:tcBorders>
              <w:bottom w:val="single" w:sz="4" w:space="0" w:color="000000"/>
            </w:tcBorders>
          </w:tcPr>
          <w:p>
            <w:pPr>
              <w:pStyle w:val="Compact"/>
              <w:spacing w:before="20" w:after="20" w:line="240" w:lineRule="auto"/>
              <w:keepNext/>
            </w:pPr>
            <w:r>
              <w:rPr>
                <w:sz w:val="14"/>
                <w:szCs w:val="14"/>
              </w:rPr>
              <w:t xml:space="preserve">Variable</w:t>
            </w:r>
          </w:p>
        </w:tc>
        <w:tc>
          <w:tcPr>
            <w:tcW w:type="dxa" w:w="3150"/>
            <w:tcBorders>
              <w:bottom w:val="single" w:sz="4" w:space="0" w:color="000000"/>
            </w:tcBorders>
          </w:tcPr>
          <w:p>
            <w:pPr>
              <w:pStyle w:val="Compact"/>
              <w:spacing w:before="20" w:after="20" w:line="240" w:lineRule="auto"/>
              <w:keepNext/>
            </w:pPr>
            <w:r>
              <w:rPr>
                <w:sz w:val="14"/>
                <w:szCs w:val="14"/>
              </w:rPr>
              <w:t xml:space="preserve">Definition</w:t>
            </w:r>
          </w:p>
        </w:tc>
        <w:tc>
          <w:tcPr>
            <w:tcW w:type="dxa" w:w="1466"/>
            <w:tcBorders>
              <w:bottom w:val="single" w:sz="4" w:space="0" w:color="000000"/>
            </w:tcBorders>
          </w:tcPr>
          <w:p>
            <w:pPr>
              <w:pStyle w:val="Compact"/>
              <w:spacing w:before="20" w:after="20" w:line="240" w:lineRule="auto"/>
              <w:keepNext/>
            </w:pPr>
            <w:r>
              <w:rPr>
                <w:sz w:val="14"/>
                <w:szCs w:val="14"/>
              </w:rPr>
              <w:t xml:space="preserve">Type</w:t>
            </w:r>
          </w:p>
        </w:tc>
        <w:tc>
          <w:tcPr>
            <w:tcW w:type="dxa" w:w="3258"/>
            <w:tcBorders>
              <w:bottom w:val="single" w:sz="4" w:space="0" w:color="000000"/>
            </w:tcBorders>
          </w:tcPr>
          <w:p>
            <w:pPr>
              <w:pStyle w:val="Compact"/>
              <w:spacing w:before="20" w:after="20" w:line="240" w:lineRule="auto"/>
              <w:keepNext/>
            </w:pPr>
            <w:r>
              <w:rPr>
                <w:sz w:val="14"/>
                <w:szCs w:val="14"/>
              </w:rPr>
              <w:t xml:space="preserve">Interpretive caveat</w:t>
            </w:r>
          </w:p>
        </w:tc>
      </w:tr>
      <w:tr>
        <w:trPr>
          <w:cantSplit/>
        </w:trPr>
        <w:tc>
          <w:tcPr>
            <w:tcW w:type="dxa" w:w="1194"/>
          </w:tcPr>
          <w:p>
            <w:pPr>
              <w:pStyle w:val="Compact"/>
              <w:spacing w:before="20" w:after="20" w:line="240" w:lineRule="auto"/>
              <w:keepNext/>
            </w:pPr>
            <w:r>
              <w:rPr>
                <w:sz w:val="14"/>
                <w:szCs w:val="14"/>
              </w:rPr>
              <w:t xml:space="preserve">breadth</w:t>
            </w:r>
          </w:p>
        </w:tc>
        <w:tc>
          <w:tcPr>
            <w:tcW w:type="dxa" w:w="3150"/>
          </w:tcPr>
          <w:p>
            <w:pPr>
              <w:pStyle w:val="Compact"/>
              <w:spacing w:before="20" w:after="20" w:line="240" w:lineRule="auto"/>
              <w:keepNext/>
            </w:pPr>
            <w:r>
              <w:rPr>
                <w:sz w:val="14"/>
                <w:szCs w:val="14"/>
              </w:rPr>
              <w:t xml:space="preserve">Number of distinct CPC subgroups of the H01L21 and H01L24 classes assigned to an application (within-class CPC scope)</w:t>
            </w:r>
          </w:p>
        </w:tc>
        <w:tc>
          <w:tcPr>
            <w:tcW w:type="dxa" w:w="1466"/>
          </w:tcPr>
          <w:p>
            <w:pPr>
              <w:pStyle w:val="Compact"/>
              <w:spacing w:before="20" w:after="20" w:line="240" w:lineRule="auto"/>
              <w:keepNext/>
            </w:pPr>
            <w:r>
              <w:rPr>
                <w:sz w:val="14"/>
                <w:szCs w:val="14"/>
              </w:rPr>
              <w:t xml:space="preserve">Count, 1–21</w:t>
            </w:r>
          </w:p>
        </w:tc>
        <w:tc>
          <w:tcPr>
            <w:tcW w:type="dxa" w:w="3258"/>
          </w:tcPr>
          <w:p>
            <w:pPr>
              <w:pStyle w:val="Compact"/>
              <w:spacing w:before="20" w:after="20" w:line="240" w:lineRule="auto"/>
              <w:keepNext/>
            </w:pPr>
            <w:r>
              <w:rPr>
                <w:sz w:val="14"/>
                <w:szCs w:val="14"/>
              </w:rPr>
              <w:t xml:space="preserve">Technological diversity within the two classes, not total CPC scope or the legal scope of the claims</w:t>
            </w:r>
          </w:p>
        </w:tc>
      </w:tr>
      <w:tr>
        <w:trPr>
          <w:cantSplit/>
        </w:trPr>
        <w:tc>
          <w:tcPr>
            <w:tcW w:type="dxa" w:w="1194"/>
          </w:tcPr>
          <w:p>
            <w:pPr>
              <w:pStyle w:val="Compact"/>
              <w:spacing w:before="20" w:after="20" w:line="240" w:lineRule="auto"/>
              <w:keepNext/>
            </w:pPr>
            <w:r>
              <w:rPr>
                <w:sz w:val="14"/>
                <w:szCs w:val="14"/>
              </w:rPr>
              <w:t xml:space="preserve">breadth_adj</w:t>
            </w:r>
          </w:p>
        </w:tc>
        <w:tc>
          <w:tcPr>
            <w:tcW w:type="dxa" w:w="3150"/>
          </w:tcPr>
          <w:p>
            <w:pPr>
              <w:pStyle w:val="Compact"/>
              <w:spacing w:before="20" w:after="20" w:line="240" w:lineRule="auto"/>
              <w:keepNext/>
            </w:pPr>
            <w:r>
              <w:rPr>
                <w:sz w:val="14"/>
                <w:szCs w:val="14"/>
              </w:rPr>
              <w:t xml:space="preserve">Type-minimum-adjusted CPC scope: number of additional CPC subgroups remaining after one symbol is subtracted for each class the application carries (breadth − 1 for single-class types and breadth − 2 for the integrated type; Section 5.4)</w:t>
            </w:r>
          </w:p>
        </w:tc>
        <w:tc>
          <w:tcPr>
            <w:tcW w:type="dxa" w:w="1466"/>
          </w:tcPr>
          <w:p>
            <w:pPr>
              <w:pStyle w:val="Compact"/>
              <w:spacing w:before="20" w:after="20" w:line="240" w:lineRule="auto"/>
              <w:keepNext/>
            </w:pPr>
            <w:r>
              <w:rPr>
                <w:sz w:val="14"/>
                <w:szCs w:val="14"/>
              </w:rPr>
              <w:t xml:space="preserve">Count, 0–19</w:t>
            </w:r>
          </w:p>
        </w:tc>
        <w:tc>
          <w:tcPr>
            <w:tcW w:type="dxa" w:w="3258"/>
          </w:tcPr>
          <w:p>
            <w:pPr>
              <w:pStyle w:val="Compact"/>
              <w:spacing w:before="20" w:after="20" w:line="240" w:lineRule="auto"/>
              <w:keepNext/>
            </w:pPr>
            <w:r>
              <w:rPr>
                <w:sz w:val="14"/>
                <w:szCs w:val="14"/>
              </w:rPr>
              <w:t xml:space="preserve">Exploratory indicator that mitigates the mechanical difference in the minimum number of CPC symbols by type; not an independent measure of scope because it uses type information</w:t>
            </w:r>
          </w:p>
        </w:tc>
      </w:tr>
      <w:tr>
        <w:trPr>
          <w:cantSplit/>
        </w:trPr>
        <w:tc>
          <w:tcPr>
            <w:tcW w:type="dxa" w:w="1194"/>
          </w:tcPr>
          <w:p>
            <w:pPr>
              <w:pStyle w:val="Compact"/>
              <w:spacing w:before="20" w:after="20" w:line="240" w:lineRule="auto"/>
              <w:keepNext/>
            </w:pPr>
            <w:r>
              <w:rPr>
                <w:sz w:val="14"/>
                <w:szCs w:val="14"/>
              </w:rPr>
              <w:t xml:space="preserve">tech_cat</w:t>
            </w:r>
          </w:p>
        </w:tc>
        <w:tc>
          <w:tcPr>
            <w:tcW w:type="dxa" w:w="3150"/>
          </w:tcPr>
          <w:p>
            <w:pPr>
              <w:pStyle w:val="Compact"/>
              <w:spacing w:before="20" w:after="20" w:line="240" w:lineRule="auto"/>
              <w:keepNext/>
            </w:pPr>
            <w:r>
              <w:rPr>
                <w:sz w:val="14"/>
                <w:szCs w:val="14"/>
              </w:rPr>
              <w:t xml:space="preserve">Co-classification type: bonding-only (H01L24 only) / integrated (both) / process-only (H01L21 only)</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Combination of classifications</w:t>
            </w:r>
          </w:p>
        </w:tc>
      </w:tr>
      <w:tr>
        <w:trPr>
          <w:cantSplit/>
        </w:trPr>
        <w:tc>
          <w:tcPr>
            <w:tcW w:type="dxa" w:w="1194"/>
          </w:tcPr>
          <w:p>
            <w:pPr>
              <w:pStyle w:val="Compact"/>
              <w:spacing w:before="20" w:after="20" w:line="240" w:lineRule="auto"/>
              <w:keepNext/>
            </w:pPr>
            <w:r>
              <w:rPr>
                <w:sz w:val="14"/>
                <w:szCs w:val="14"/>
              </w:rPr>
              <w:t xml:space="preserve">has_process</w:t>
            </w:r>
          </w:p>
        </w:tc>
        <w:tc>
          <w:tcPr>
            <w:tcW w:type="dxa" w:w="3150"/>
          </w:tcPr>
          <w:p>
            <w:pPr>
              <w:pStyle w:val="Compact"/>
              <w:spacing w:before="20" w:after="20" w:line="240" w:lineRule="auto"/>
              <w:keepNext/>
            </w:pPr>
            <w:r>
              <w:rPr>
                <w:sz w:val="14"/>
                <w:szCs w:val="14"/>
              </w:rPr>
              <w:t xml:space="preserve">1 if the application carries at least one H01L21 symbol (fabrication-process classification),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Classification related to fabrication processes, not the front end itself</w:t>
            </w:r>
          </w:p>
        </w:tc>
      </w:tr>
      <w:tr>
        <w:trPr>
          <w:cantSplit/>
        </w:trPr>
        <w:tc>
          <w:tcPr>
            <w:tcW w:type="dxa" w:w="1194"/>
          </w:tcPr>
          <w:p>
            <w:pPr>
              <w:pStyle w:val="Compact"/>
              <w:spacing w:before="20" w:after="20" w:line="240" w:lineRule="auto"/>
              <w:keepNext/>
            </w:pPr>
            <w:r>
              <w:rPr>
                <w:sz w:val="14"/>
                <w:szCs w:val="14"/>
              </w:rPr>
              <w:t xml:space="preserve">yc</w:t>
            </w:r>
          </w:p>
        </w:tc>
        <w:tc>
          <w:tcPr>
            <w:tcW w:type="dxa" w:w="3150"/>
          </w:tcPr>
          <w:p>
            <w:pPr>
              <w:pStyle w:val="Compact"/>
              <w:spacing w:before="20" w:after="20" w:line="240" w:lineRule="auto"/>
              <w:keepNext/>
            </w:pPr>
            <w:r>
              <w:rPr>
                <w:sz w:val="14"/>
                <w:szCs w:val="14"/>
              </w:rPr>
              <w:t xml:space="preserve">Filing year (years elapsed since 1968 = 0); sample mean 49.7 (2017.7)</w:t>
            </w:r>
          </w:p>
        </w:tc>
        <w:tc>
          <w:tcPr>
            <w:tcW w:type="dxa" w:w="1466"/>
          </w:tcPr>
          <w:p>
            <w:pPr>
              <w:pStyle w:val="Compact"/>
              <w:spacing w:before="20" w:after="20" w:line="240" w:lineRule="auto"/>
              <w:keepNext/>
            </w:pPr>
            <w:r>
              <w:rPr>
                <w:sz w:val="14"/>
                <w:szCs w:val="14"/>
              </w:rPr>
              <w:t xml:space="preserve">Integer, 0–56</w:t>
            </w:r>
          </w:p>
        </w:tc>
        <w:tc>
          <w:tcPr>
            <w:tcW w:type="dxa" w:w="3258"/>
          </w:tcPr>
          <w:p>
            <w:pPr>
              <w:pStyle w:val="Compact"/>
              <w:spacing w:before="20" w:after="20" w:line="240" w:lineRule="auto"/>
              <w:keepNext/>
            </w:pPr>
            <w:r>
              <w:rPr>
                <w:sz w:val="14"/>
                <w:szCs w:val="14"/>
              </w:rPr>
              <w:t xml:space="preserve">Not a direct measure of technological maturity</w:t>
            </w:r>
          </w:p>
        </w:tc>
      </w:tr>
      <w:tr>
        <w:trPr>
          <w:cantSplit/>
        </w:trPr>
        <w:tc>
          <w:tcPr>
            <w:tcW w:type="dxa" w:w="1194"/>
          </w:tcPr>
          <w:p>
            <w:pPr>
              <w:pStyle w:val="Compact"/>
              <w:spacing w:before="20" w:after="20" w:line="240" w:lineRule="auto"/>
              <w:keepNext/>
            </w:pPr>
            <w:r>
              <w:rPr>
                <w:sz w:val="14"/>
                <w:szCs w:val="14"/>
              </w:rPr>
              <w:t xml:space="preserve">period</w:t>
            </w:r>
          </w:p>
        </w:tc>
        <w:tc>
          <w:tcPr>
            <w:tcW w:type="dxa" w:w="3150"/>
          </w:tcPr>
          <w:p>
            <w:pPr>
              <w:pStyle w:val="Compact"/>
              <w:spacing w:before="20" w:after="20" w:line="240" w:lineRule="auto"/>
              <w:keepNext/>
            </w:pPr>
            <w:r>
              <w:rPr>
                <w:sz w:val="14"/>
                <w:szCs w:val="14"/>
              </w:rPr>
              <w:t xml:space="preserve">Filing period: 1968–2014 (reference), 2015–2019, 2020–2024</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The first period is longer than the two later periods</w:t>
            </w:r>
          </w:p>
        </w:tc>
      </w:tr>
      <w:tr>
        <w:trPr>
          <w:cantSplit/>
        </w:trPr>
        <w:tc>
          <w:tcPr>
            <w:tcW w:type="dxa" w:w="1194"/>
          </w:tcPr>
          <w:p>
            <w:pPr>
              <w:pStyle w:val="Compact"/>
              <w:spacing w:before="20" w:after="20" w:line="240" w:lineRule="auto"/>
              <w:keepNext/>
            </w:pPr>
            <w:r>
              <w:rPr>
                <w:sz w:val="14"/>
                <w:szCs w:val="14"/>
              </w:rPr>
              <w:t xml:space="preserve">core</w:t>
            </w:r>
          </w:p>
        </w:tc>
        <w:tc>
          <w:tcPr>
            <w:tcW w:type="dxa" w:w="3150"/>
          </w:tcPr>
          <w:p>
            <w:pPr>
              <w:pStyle w:val="Compact"/>
              <w:spacing w:before="20" w:after="20" w:line="240" w:lineRule="auto"/>
              <w:keepNext/>
            </w:pPr>
            <w:r>
              <w:rPr>
                <w:sz w:val="14"/>
                <w:szCs w:val="14"/>
              </w:rPr>
              <w:t xml:space="preserve">1 if the application carries at least one core bonding symbol (24/03, 24/05, 24/08, 24/80),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Defined only for applications with H01L24 symbols (N = 763)</w:t>
            </w:r>
          </w:p>
        </w:tc>
      </w:tr>
      <w:tr>
        <w:trPr>
          <w:cantSplit/>
        </w:trPr>
        <w:tc>
          <w:tcPr>
            <w:tcW w:type="dxa" w:w="1194"/>
          </w:tcPr>
          <w:p>
            <w:pPr>
              <w:pStyle w:val="Compact"/>
              <w:spacing w:before="20" w:after="20" w:line="240" w:lineRule="auto"/>
              <w:keepNext/>
            </w:pPr>
            <w:r>
              <w:rPr>
                <w:sz w:val="14"/>
                <w:szCs w:val="14"/>
              </w:rPr>
              <w:t xml:space="preserve">ccode</w:t>
            </w:r>
          </w:p>
        </w:tc>
        <w:tc>
          <w:tcPr>
            <w:tcW w:type="dxa" w:w="3150"/>
          </w:tcPr>
          <w:p>
            <w:pPr>
              <w:pStyle w:val="Compact"/>
              <w:spacing w:before="20" w:after="20" w:line="240" w:lineRule="auto"/>
              <w:keepNext/>
            </w:pPr>
            <w:r>
              <w:rPr>
                <w:sz w:val="14"/>
                <w:szCs w:val="14"/>
              </w:rPr>
              <w:t xml:space="preserve">Filing office or route: US (reference), CN, KR, TW, JP, EP, WO (PCT), other</w:t>
            </w:r>
          </w:p>
        </w:tc>
        <w:tc>
          <w:tcPr>
            <w:tcW w:type="dxa" w:w="1466"/>
          </w:tcPr>
          <w:p>
            <w:pPr>
              <w:pStyle w:val="Compact"/>
              <w:spacing w:before="20" w:after="20" w:line="240" w:lineRule="auto"/>
              <w:keepNext/>
            </w:pPr>
            <w:r>
              <w:rPr>
                <w:sz w:val="14"/>
                <w:szCs w:val="14"/>
              </w:rPr>
              <w:t xml:space="preserve">Categorical, 8</w:t>
            </w:r>
          </w:p>
        </w:tc>
        <w:tc>
          <w:tcPr>
            <w:tcW w:type="dxa" w:w="3258"/>
          </w:tcPr>
          <w:p>
            <w:pPr>
              <w:pStyle w:val="Compact"/>
              <w:spacing w:before="20" w:after="20" w:line="240" w:lineRule="auto"/>
              <w:keepNext/>
            </w:pPr>
            <w:r>
              <w:rPr>
                <w:sz w:val="14"/>
                <w:szCs w:val="14"/>
              </w:rPr>
              <w:t xml:space="preserve">Control variable (not interpreted)</w:t>
            </w:r>
          </w:p>
        </w:tc>
      </w:tr>
    </w:tbl>
    <w:p>
      <w:pPr>
        <w:pStyle w:val="BodyText"/>
      </w:pPr>
      <w:r>
        <w:t xml:space="preserve">The descriptive statistics of the main variables are as follows. Technological scope averages 5.69 symbols (standard deviation 4.07, range 1–21) and differs by type: 7.89 for integrated, 4.16 for bonding-only, and 3.15 for process-only applications. By filing office, there are 382 applications at the US office, 175 at the Chinese office, 113 through the Patent Cooperation Treaty (PCT) route, 83 at the EPO, 75 at the Taiwanese office, 58 at the Korean office, 26 at the Japanese office, and 16 at other offices. Figure 3 shows the number of applications by year: applications were rare before 2010 but surged in the late 2010s and peaked around 2022. By type, there are 425 integrated (45.8%), 338 bonding-only (36.4%), and 165 process-only (17.8%) applications, and 590 applications (63.6%) carry fabrication-process symbols.</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en_v64.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Figure 3.</w:t>
      </w:r>
      <w:r>
        <w:rPr>
          <w:sz w:val="20"/>
          <w:szCs w:val="20"/>
        </w:rPr>
        <w:t xml:space="preserve"> </w:t>
      </w:r>
      <w:r>
        <w:rPr>
          <w:sz w:val="20"/>
          <w:szCs w:val="20"/>
        </w:rPr>
        <w:t xml:space="preserve">Number of applications related to hybrid bonding by filing year, 1968–2024 (N = 928). The decline in 2023–2024 is likely to have been affected by the lag between filing and publication.</w:t>
      </w:r>
    </w:p>
    <w:bookmarkEnd w:id="30"/>
    <w:bookmarkStart w:id="34" w:name="Xdc28f74b307698f0ba495998cf480403d2f4017"/>
    <w:p>
      <w:pPr>
        <w:pStyle w:val="Heading3"/>
      </w:pPr>
      <w:r>
        <w:t xml:space="preserve">4.4 Identification of core technologies: Technology cluster and technology network</w:t>
      </w:r>
    </w:p>
    <w:p>
      <w:pPr>
        <w:pStyle w:val="FirstParagraph"/>
      </w:pPr>
      <w:r>
        <w:t xml:space="preserve">To measure core technology (core), one of the variables defined above, and to analyze shifts in the structural center of convergence, the core technologies of hybrid bonding must first be specified. This section therefore identifies them with two methods. The technology cluster method looks for the symbols that many applications share, that is, the essential elements of the technology, and the technology network method treats pairs of symbols assigned to the same application as links to capture how the elements combine (Breschi et al., 2003; Sternitzke et al., 2008).</w:t>
      </w:r>
    </w:p>
    <w:p>
      <w:pPr>
        <w:pStyle w:val="BodyText"/>
      </w:pPr>
      <w:r>
        <w:rPr>
          <w:b/>
          <w:bCs/>
        </w:rPr>
        <w:t xml:space="preserve">Technology cluster.</w:t>
      </w:r>
      <w:r>
        <w:t xml:space="preserve"> </w:t>
      </w:r>
      <w:r>
        <w:t xml:space="preserve">Table 4 lists the 11 symbols, among all CPC symbols assigned to the 928 applications, that are assigned to 200 or more applications; the description of each symbol summarizes its official CPC definition. The symbols assigned to the most applications are 24/80, connection methods using bonding pads (</w:t>
      </w:r>
      <w:r>
        <w:t xml:space="preserve">“bonding areas”</w:t>
      </w:r>
      <w:r>
        <w:t xml:space="preserve"> </w:t>
      </w:r>
      <w:r>
        <w:t xml:space="preserve">in CPC terminology; 529 applications, 57.0%), and 24/08, the structure of bonding pads after connection (513 applications, 55.3%), followed by 2224/80895, direct bonding between electrically conductive surfaces (504 applications), and 2224/80896, direct bonding between electrically insulating surfaces (488 applications). Read together, these symbols describe hybrid bonding within the classification system itself:</w:t>
      </w:r>
      <w:r>
        <w:t xml:space="preserve"> </w:t>
      </w:r>
      <w:r>
        <w:rPr>
          <w:b/>
          <w:bCs/>
        </w:rPr>
        <w:t xml:space="preserve">hybrid bonding is a technology that forms copper-based bonding pads (2224/05647) flush with the surface (2224/80357) and directly bonds the metal (2224/80895) and the dielectric (2224/80896) together (24/08, 24/80) to stack chips vertically without bumps (2224/08145, 25/0657).</w:t>
      </w:r>
      <w:r>
        <w:t xml:space="preserve"> </w:t>
      </w:r>
      <w:r>
        <w:t xml:space="preserve">What distinguishes hybrid bonding from other bonding methods is the combination in which metal–metal direct bonding and dielectric–dielectric direct bonding are assigned together to a single application.</w:t>
      </w:r>
    </w:p>
    <w:p>
      <w:pPr>
        <w:pStyle w:val="BodyText"/>
        <w:keepNext/>
      </w:pPr>
      <w:r>
        <w:rPr>
          <w:b/>
          <w:bCs/>
          <w:sz w:val="20"/>
          <w:szCs w:val="20"/>
        </w:rPr>
        <w:t xml:space="preserve">Table 4.</w:t>
      </w:r>
      <w:r>
        <w:rPr>
          <w:sz w:val="20"/>
          <w:szCs w:val="20"/>
        </w:rPr>
        <w:t xml:space="preserve"> </w:t>
      </w:r>
      <w:r>
        <w:rPr>
          <w:sz w:val="20"/>
          <w:szCs w:val="20"/>
        </w:rPr>
        <w:t xml:space="preserve">Technology cluster: CPC symbols assigned to 200 or more applications (N = 928; shares are relative to the 928 applications).</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42"/>
        <w:gridCol w:w="2015"/>
        <w:gridCol w:w="2888"/>
        <w:gridCol w:w="1612"/>
        <w:gridCol w:w="671"/>
        <w:gridCol w:w="1343"/>
      </w:tblGrid>
      <w:tr>
        <w:trPr>
          <w:tblHeader w:val="on"/>
          <w:cantSplit/>
        </w:trPr>
        <w:tc>
          <w:tcPr>
            <w:tcW w:type="dxa" w:w="542"/>
            <w:tcBorders>
              <w:bottom w:val="single" w:sz="4" w:space="0" w:color="000000"/>
            </w:tcBorders>
          </w:tcPr>
          <w:p>
            <w:pPr>
              <w:pStyle w:val="Compact"/>
              <w:spacing w:before="20" w:after="20" w:line="240" w:lineRule="auto"/>
              <w:jc w:val="right"/>
              <w:keepNext/>
            </w:pPr>
            <w:r>
              <w:rPr>
                <w:sz w:val="13"/>
                <w:szCs w:val="13"/>
              </w:rPr>
              <w:t xml:space="preserve">Rank</w:t>
            </w:r>
          </w:p>
        </w:tc>
        <w:tc>
          <w:tcPr>
            <w:tcW w:type="dxa" w:w="2015"/>
            <w:tcBorders>
              <w:bottom w:val="single" w:sz="4" w:space="0" w:color="000000"/>
            </w:tcBorders>
          </w:tcPr>
          <w:p>
            <w:pPr>
              <w:pStyle w:val="Compact"/>
              <w:spacing w:before="20" w:after="20" w:line="240" w:lineRule="auto"/>
              <w:keepNext/>
            </w:pPr>
            <w:r>
              <w:rPr>
                <w:sz w:val="13"/>
                <w:szCs w:val="13"/>
              </w:rPr>
              <w:t xml:space="preserve">CPC symbol</w:t>
            </w:r>
          </w:p>
        </w:tc>
        <w:tc>
          <w:tcPr>
            <w:tcW w:type="dxa" w:w="2888"/>
            <w:tcBorders>
              <w:bottom w:val="single" w:sz="4" w:space="0" w:color="000000"/>
            </w:tcBorders>
          </w:tcPr>
          <w:p>
            <w:pPr>
              <w:pStyle w:val="Compact"/>
              <w:spacing w:before="20" w:after="20" w:line="240" w:lineRule="auto"/>
              <w:keepNext/>
            </w:pPr>
            <w:r>
              <w:rPr>
                <w:sz w:val="13"/>
                <w:szCs w:val="13"/>
              </w:rPr>
              <w:t xml:space="preserve">Official definition (summary)</w:t>
            </w:r>
          </w:p>
        </w:tc>
        <w:tc>
          <w:tcPr>
            <w:tcW w:type="dxa" w:w="1612"/>
            <w:tcBorders>
              <w:bottom w:val="single" w:sz="4" w:space="0" w:color="000000"/>
            </w:tcBorders>
          </w:tcPr>
          <w:p>
            <w:pPr>
              <w:pStyle w:val="Compact"/>
              <w:spacing w:before="20" w:after="20" w:line="240" w:lineRule="auto"/>
              <w:jc w:val="right"/>
              <w:keepNext/>
            </w:pPr>
            <w:r>
              <w:rPr>
                <w:sz w:val="13"/>
                <w:szCs w:val="13"/>
              </w:rPr>
              <w:t xml:space="preserve">Applications</w:t>
            </w:r>
          </w:p>
        </w:tc>
        <w:tc>
          <w:tcPr>
            <w:tcW w:type="dxa" w:w="671"/>
            <w:tcBorders>
              <w:bottom w:val="single" w:sz="4" w:space="0" w:color="000000"/>
            </w:tcBorders>
          </w:tcPr>
          <w:p>
            <w:pPr>
              <w:pStyle w:val="Compact"/>
              <w:spacing w:before="20" w:after="20" w:line="240" w:lineRule="auto"/>
              <w:jc w:val="right"/>
              <w:keepNext/>
            </w:pPr>
            <w:r>
              <w:rPr>
                <w:sz w:val="13"/>
                <w:szCs w:val="13"/>
              </w:rPr>
              <w:t xml:space="preserve">Share (%)</w:t>
            </w:r>
          </w:p>
        </w:tc>
        <w:tc>
          <w:tcPr>
            <w:tcW w:type="dxa" w:w="1343"/>
            <w:tcBorders>
              <w:bottom w:val="single" w:sz="4" w:space="0" w:color="000000"/>
            </w:tcBorders>
          </w:tcPr>
          <w:p>
            <w:pPr>
              <w:pStyle w:val="Compact"/>
              <w:spacing w:before="20" w:after="20" w:line="240" w:lineRule="auto"/>
              <w:jc w:val="center"/>
              <w:keepNext/>
            </w:pPr>
            <w:r>
              <w:rPr>
                <w:sz w:val="13"/>
                <w:szCs w:val="13"/>
              </w:rPr>
              <w:t xml:space="preserve">In regression data</w:t>
            </w:r>
          </w:p>
        </w:tc>
      </w:tr>
      <w:tr>
        <w:trPr>
          <w:cantSplit/>
        </w:trPr>
        <w:tc>
          <w:tcPr>
            <w:tcW w:type="dxa" w:w="542"/>
          </w:tcPr>
          <w:p>
            <w:pPr>
              <w:pStyle w:val="Compact"/>
              <w:spacing w:before="20" w:after="20" w:line="240" w:lineRule="auto"/>
              <w:jc w:val="right"/>
              <w:keepNext/>
            </w:pPr>
            <w:r>
              <w:rPr>
                <w:sz w:val="13"/>
                <w:szCs w:val="13"/>
              </w:rPr>
              <w:t xml:space="preserve">1</w:t>
            </w:r>
          </w:p>
        </w:tc>
        <w:tc>
          <w:tcPr>
            <w:tcW w:type="dxa" w:w="2015"/>
          </w:tcPr>
          <w:p>
            <w:pPr>
              <w:pStyle w:val="Compact"/>
              <w:spacing w:before="20" w:after="20" w:line="240" w:lineRule="auto"/>
              <w:keepNext/>
            </w:pPr>
            <w:r>
              <w:rPr>
                <w:sz w:val="13"/>
                <w:szCs w:val="13"/>
              </w:rPr>
              <w:t xml:space="preserve">H01L 24/80</w:t>
            </w:r>
          </w:p>
        </w:tc>
        <w:tc>
          <w:tcPr>
            <w:tcW w:type="dxa" w:w="2888"/>
          </w:tcPr>
          <w:p>
            <w:pPr>
              <w:pStyle w:val="Compact"/>
              <w:spacing w:before="20" w:after="20" w:line="240" w:lineRule="auto"/>
              <w:keepNext/>
            </w:pPr>
            <w:r>
              <w:rPr>
                <w:sz w:val="13"/>
                <w:szCs w:val="13"/>
              </w:rPr>
              <w:t xml:space="preserve">Connection methods using bonding pads</w:t>
            </w:r>
          </w:p>
        </w:tc>
        <w:tc>
          <w:tcPr>
            <w:tcW w:type="dxa" w:w="1612"/>
          </w:tcPr>
          <w:p>
            <w:pPr>
              <w:pStyle w:val="Compact"/>
              <w:spacing w:before="20" w:after="20" w:line="240" w:lineRule="auto"/>
              <w:jc w:val="right"/>
              <w:keepNext/>
            </w:pPr>
            <w:r>
              <w:rPr>
                <w:sz w:val="13"/>
                <w:szCs w:val="13"/>
              </w:rPr>
              <w:t xml:space="preserve">529</w:t>
            </w:r>
          </w:p>
        </w:tc>
        <w:tc>
          <w:tcPr>
            <w:tcW w:type="dxa" w:w="671"/>
          </w:tcPr>
          <w:p>
            <w:pPr>
              <w:pStyle w:val="Compact"/>
              <w:spacing w:before="20" w:after="20" w:line="240" w:lineRule="auto"/>
              <w:jc w:val="right"/>
              <w:keepNext/>
            </w:pPr>
            <w:r>
              <w:rPr>
                <w:sz w:val="13"/>
                <w:szCs w:val="13"/>
              </w:rPr>
              <w:t xml:space="preserve">57.0</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2</w:t>
            </w:r>
          </w:p>
        </w:tc>
        <w:tc>
          <w:tcPr>
            <w:tcW w:type="dxa" w:w="2015"/>
          </w:tcPr>
          <w:p>
            <w:pPr>
              <w:pStyle w:val="Compact"/>
              <w:spacing w:before="20" w:after="20" w:line="240" w:lineRule="auto"/>
              <w:keepNext/>
            </w:pPr>
            <w:r>
              <w:rPr>
                <w:sz w:val="13"/>
                <w:szCs w:val="13"/>
              </w:rPr>
              <w:t xml:space="preserve">H01L 24/08</w:t>
            </w:r>
          </w:p>
        </w:tc>
        <w:tc>
          <w:tcPr>
            <w:tcW w:type="dxa" w:w="2888"/>
          </w:tcPr>
          <w:p>
            <w:pPr>
              <w:pStyle w:val="Compact"/>
              <w:spacing w:before="20" w:after="20" w:line="240" w:lineRule="auto"/>
              <w:keepNext/>
            </w:pPr>
            <w:r>
              <w:rPr>
                <w:sz w:val="13"/>
                <w:szCs w:val="13"/>
              </w:rPr>
              <w:t xml:space="preserve">Structure, shape, material, or disposition of an individual bonding pad after connection</w:t>
            </w:r>
          </w:p>
        </w:tc>
        <w:tc>
          <w:tcPr>
            <w:tcW w:type="dxa" w:w="1612"/>
          </w:tcPr>
          <w:p>
            <w:pPr>
              <w:pStyle w:val="Compact"/>
              <w:spacing w:before="20" w:after="20" w:line="240" w:lineRule="auto"/>
              <w:jc w:val="right"/>
              <w:keepNext/>
            </w:pPr>
            <w:r>
              <w:rPr>
                <w:sz w:val="13"/>
                <w:szCs w:val="13"/>
              </w:rPr>
              <w:t xml:space="preserve">513</w:t>
            </w:r>
          </w:p>
        </w:tc>
        <w:tc>
          <w:tcPr>
            <w:tcW w:type="dxa" w:w="671"/>
          </w:tcPr>
          <w:p>
            <w:pPr>
              <w:pStyle w:val="Compact"/>
              <w:spacing w:before="20" w:after="20" w:line="240" w:lineRule="auto"/>
              <w:jc w:val="right"/>
              <w:keepNext/>
            </w:pPr>
            <w:r>
              <w:rPr>
                <w:sz w:val="13"/>
                <w:szCs w:val="13"/>
              </w:rPr>
              <w:t xml:space="preserve">55.3</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3</w:t>
            </w:r>
          </w:p>
        </w:tc>
        <w:tc>
          <w:tcPr>
            <w:tcW w:type="dxa" w:w="2015"/>
          </w:tcPr>
          <w:p>
            <w:pPr>
              <w:pStyle w:val="Compact"/>
              <w:spacing w:before="20" w:after="20" w:line="240" w:lineRule="auto"/>
              <w:keepNext/>
            </w:pPr>
            <w:r>
              <w:rPr>
                <w:sz w:val="13"/>
                <w:szCs w:val="13"/>
              </w:rPr>
              <w:t xml:space="preserve">H01L 2224/80895</w:t>
            </w:r>
          </w:p>
        </w:tc>
        <w:tc>
          <w:tcPr>
            <w:tcW w:type="dxa" w:w="2888"/>
          </w:tcPr>
          <w:p>
            <w:pPr>
              <w:pStyle w:val="Compact"/>
              <w:spacing w:before="20" w:after="20" w:line="240" w:lineRule="auto"/>
              <w:keepNext/>
            </w:pPr>
            <w:r>
              <w:rPr>
                <w:sz w:val="13"/>
                <w:szCs w:val="13"/>
              </w:rPr>
              <w:t xml:space="preserve">Direct bonding between electrically conductive surfaces (e.g., copper–copper)</w:t>
            </w:r>
          </w:p>
        </w:tc>
        <w:tc>
          <w:tcPr>
            <w:tcW w:type="dxa" w:w="1612"/>
          </w:tcPr>
          <w:p>
            <w:pPr>
              <w:pStyle w:val="Compact"/>
              <w:spacing w:before="20" w:after="20" w:line="240" w:lineRule="auto"/>
              <w:jc w:val="right"/>
              <w:keepNext/>
            </w:pPr>
            <w:r>
              <w:rPr>
                <w:sz w:val="13"/>
                <w:szCs w:val="13"/>
              </w:rPr>
              <w:t xml:space="preserve">504</w:t>
            </w:r>
          </w:p>
        </w:tc>
        <w:tc>
          <w:tcPr>
            <w:tcW w:type="dxa" w:w="671"/>
          </w:tcPr>
          <w:p>
            <w:pPr>
              <w:pStyle w:val="Compact"/>
              <w:spacing w:before="20" w:after="20" w:line="240" w:lineRule="auto"/>
              <w:jc w:val="right"/>
              <w:keepNext/>
            </w:pPr>
            <w:r>
              <w:rPr>
                <w:sz w:val="13"/>
                <w:szCs w:val="13"/>
              </w:rPr>
              <w:t xml:space="preserve">54.3</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4</w:t>
            </w:r>
          </w:p>
        </w:tc>
        <w:tc>
          <w:tcPr>
            <w:tcW w:type="dxa" w:w="2015"/>
          </w:tcPr>
          <w:p>
            <w:pPr>
              <w:pStyle w:val="Compact"/>
              <w:spacing w:before="20" w:after="20" w:line="240" w:lineRule="auto"/>
              <w:keepNext/>
            </w:pPr>
            <w:r>
              <w:rPr>
                <w:sz w:val="13"/>
                <w:szCs w:val="13"/>
              </w:rPr>
              <w:t xml:space="preserve">H01L 2224/80896</w:t>
            </w:r>
          </w:p>
        </w:tc>
        <w:tc>
          <w:tcPr>
            <w:tcW w:type="dxa" w:w="2888"/>
          </w:tcPr>
          <w:p>
            <w:pPr>
              <w:pStyle w:val="Compact"/>
              <w:spacing w:before="20" w:after="20" w:line="240" w:lineRule="auto"/>
              <w:keepNext/>
            </w:pPr>
            <w:r>
              <w:rPr>
                <w:sz w:val="13"/>
                <w:szCs w:val="13"/>
              </w:rPr>
              <w:t xml:space="preserve">Direct bonding between electrically insulating surfaces (e.g., oxide or nitride layers)</w:t>
            </w:r>
          </w:p>
        </w:tc>
        <w:tc>
          <w:tcPr>
            <w:tcW w:type="dxa" w:w="1612"/>
          </w:tcPr>
          <w:p>
            <w:pPr>
              <w:pStyle w:val="Compact"/>
              <w:spacing w:before="20" w:after="20" w:line="240" w:lineRule="auto"/>
              <w:jc w:val="right"/>
              <w:keepNext/>
            </w:pPr>
            <w:r>
              <w:rPr>
                <w:sz w:val="13"/>
                <w:szCs w:val="13"/>
              </w:rPr>
              <w:t xml:space="preserve">488</w:t>
            </w:r>
          </w:p>
        </w:tc>
        <w:tc>
          <w:tcPr>
            <w:tcW w:type="dxa" w:w="671"/>
          </w:tcPr>
          <w:p>
            <w:pPr>
              <w:pStyle w:val="Compact"/>
              <w:spacing w:before="20" w:after="20" w:line="240" w:lineRule="auto"/>
              <w:jc w:val="right"/>
              <w:keepNext/>
            </w:pPr>
            <w:r>
              <w:rPr>
                <w:sz w:val="13"/>
                <w:szCs w:val="13"/>
              </w:rPr>
              <w:t xml:space="preserve">52.6</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5</w:t>
            </w:r>
          </w:p>
        </w:tc>
        <w:tc>
          <w:tcPr>
            <w:tcW w:type="dxa" w:w="2015"/>
          </w:tcPr>
          <w:p>
            <w:pPr>
              <w:pStyle w:val="Compact"/>
              <w:spacing w:before="20" w:after="20" w:line="240" w:lineRule="auto"/>
              <w:keepNext/>
            </w:pPr>
            <w:r>
              <w:rPr>
                <w:sz w:val="13"/>
                <w:szCs w:val="13"/>
              </w:rPr>
              <w:t xml:space="preserve">H01L 2224/08145</w:t>
            </w:r>
          </w:p>
        </w:tc>
        <w:tc>
          <w:tcPr>
            <w:tcW w:type="dxa" w:w="2888"/>
          </w:tcPr>
          <w:p>
            <w:pPr>
              <w:pStyle w:val="Compact"/>
              <w:spacing w:before="20" w:after="20" w:line="240" w:lineRule="auto"/>
              <w:keepNext/>
            </w:pPr>
            <w:r>
              <w:rPr>
                <w:sz w:val="13"/>
                <w:szCs w:val="13"/>
              </w:rPr>
              <w:t xml:space="preserve">Bonding between stacked chips whose bonding pads are connected directly (bumpless)</w:t>
            </w:r>
          </w:p>
        </w:tc>
        <w:tc>
          <w:tcPr>
            <w:tcW w:type="dxa" w:w="1612"/>
          </w:tcPr>
          <w:p>
            <w:pPr>
              <w:pStyle w:val="Compact"/>
              <w:spacing w:before="20" w:after="20" w:line="240" w:lineRule="auto"/>
              <w:jc w:val="right"/>
              <w:keepNext/>
            </w:pPr>
            <w:r>
              <w:rPr>
                <w:sz w:val="13"/>
                <w:szCs w:val="13"/>
              </w:rPr>
              <w:t xml:space="preserve">436</w:t>
            </w:r>
          </w:p>
        </w:tc>
        <w:tc>
          <w:tcPr>
            <w:tcW w:type="dxa" w:w="671"/>
          </w:tcPr>
          <w:p>
            <w:pPr>
              <w:pStyle w:val="Compact"/>
              <w:spacing w:before="20" w:after="20" w:line="240" w:lineRule="auto"/>
              <w:jc w:val="right"/>
              <w:keepNext/>
            </w:pPr>
            <w:r>
              <w:rPr>
                <w:sz w:val="13"/>
                <w:szCs w:val="13"/>
              </w:rPr>
              <w:t xml:space="preserve">47.0</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6</w:t>
            </w:r>
          </w:p>
        </w:tc>
        <w:tc>
          <w:tcPr>
            <w:tcW w:type="dxa" w:w="2015"/>
          </w:tcPr>
          <w:p>
            <w:pPr>
              <w:pStyle w:val="Compact"/>
              <w:spacing w:before="20" w:after="20" w:line="240" w:lineRule="auto"/>
              <w:keepNext/>
            </w:pPr>
            <w:r>
              <w:rPr>
                <w:sz w:val="13"/>
                <w:szCs w:val="13"/>
              </w:rPr>
              <w:t xml:space="preserve">H01L 25/50</w:t>
            </w:r>
          </w:p>
        </w:tc>
        <w:tc>
          <w:tcPr>
            <w:tcW w:type="dxa" w:w="2888"/>
          </w:tcPr>
          <w:p>
            <w:pPr>
              <w:pStyle w:val="Compact"/>
              <w:spacing w:before="20" w:after="20" w:line="240" w:lineRule="auto"/>
              <w:keepNext/>
            </w:pPr>
            <w:r>
              <w:rPr>
                <w:sz w:val="13"/>
                <w:szCs w:val="13"/>
              </w:rPr>
              <w:t xml:space="preserve">Multistep manufacturing processes of device assemblies</w:t>
            </w:r>
          </w:p>
        </w:tc>
        <w:tc>
          <w:tcPr>
            <w:tcW w:type="dxa" w:w="1612"/>
          </w:tcPr>
          <w:p>
            <w:pPr>
              <w:pStyle w:val="Compact"/>
              <w:spacing w:before="20" w:after="20" w:line="240" w:lineRule="auto"/>
              <w:jc w:val="right"/>
              <w:keepNext/>
            </w:pPr>
            <w:r>
              <w:rPr>
                <w:sz w:val="13"/>
                <w:szCs w:val="13"/>
              </w:rPr>
              <w:t xml:space="preserve">363</w:t>
            </w:r>
          </w:p>
        </w:tc>
        <w:tc>
          <w:tcPr>
            <w:tcW w:type="dxa" w:w="671"/>
          </w:tcPr>
          <w:p>
            <w:pPr>
              <w:pStyle w:val="Compact"/>
              <w:spacing w:before="20" w:after="20" w:line="240" w:lineRule="auto"/>
              <w:jc w:val="right"/>
              <w:keepNext/>
            </w:pPr>
            <w:r>
              <w:rPr>
                <w:sz w:val="13"/>
                <w:szCs w:val="13"/>
              </w:rPr>
              <w:t xml:space="preserve">39.1</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7</w:t>
            </w:r>
          </w:p>
        </w:tc>
        <w:tc>
          <w:tcPr>
            <w:tcW w:type="dxa" w:w="2015"/>
          </w:tcPr>
          <w:p>
            <w:pPr>
              <w:pStyle w:val="Compact"/>
              <w:spacing w:before="20" w:after="20" w:line="240" w:lineRule="auto"/>
              <w:keepNext/>
            </w:pPr>
            <w:r>
              <w:rPr>
                <w:sz w:val="13"/>
                <w:szCs w:val="13"/>
              </w:rPr>
              <w:t xml:space="preserve">H01L 24/05</w:t>
            </w:r>
          </w:p>
        </w:tc>
        <w:tc>
          <w:tcPr>
            <w:tcW w:type="dxa" w:w="2888"/>
          </w:tcPr>
          <w:p>
            <w:pPr>
              <w:pStyle w:val="Compact"/>
              <w:spacing w:before="20" w:after="20" w:line="240" w:lineRule="auto"/>
              <w:keepNext/>
            </w:pPr>
            <w:r>
              <w:rPr>
                <w:sz w:val="13"/>
                <w:szCs w:val="13"/>
              </w:rPr>
              <w:t xml:space="preserve">Structure, shape, material, or disposition of an individual bonding pad before connection</w:t>
            </w:r>
          </w:p>
        </w:tc>
        <w:tc>
          <w:tcPr>
            <w:tcW w:type="dxa" w:w="1612"/>
          </w:tcPr>
          <w:p>
            <w:pPr>
              <w:pStyle w:val="Compact"/>
              <w:spacing w:before="20" w:after="20" w:line="240" w:lineRule="auto"/>
              <w:jc w:val="right"/>
              <w:keepNext/>
            </w:pPr>
            <w:r>
              <w:rPr>
                <w:sz w:val="13"/>
                <w:szCs w:val="13"/>
              </w:rPr>
              <w:t xml:space="preserve">350</w:t>
            </w:r>
          </w:p>
        </w:tc>
        <w:tc>
          <w:tcPr>
            <w:tcW w:type="dxa" w:w="671"/>
          </w:tcPr>
          <w:p>
            <w:pPr>
              <w:pStyle w:val="Compact"/>
              <w:spacing w:before="20" w:after="20" w:line="240" w:lineRule="auto"/>
              <w:jc w:val="right"/>
              <w:keepNext/>
            </w:pPr>
            <w:r>
              <w:rPr>
                <w:sz w:val="13"/>
                <w:szCs w:val="13"/>
              </w:rPr>
              <w:t xml:space="preserve">37.7</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8</w:t>
            </w:r>
          </w:p>
        </w:tc>
        <w:tc>
          <w:tcPr>
            <w:tcW w:type="dxa" w:w="2015"/>
          </w:tcPr>
          <w:p>
            <w:pPr>
              <w:pStyle w:val="Compact"/>
              <w:spacing w:before="20" w:after="20" w:line="240" w:lineRule="auto"/>
              <w:keepNext/>
            </w:pPr>
            <w:r>
              <w:rPr>
                <w:sz w:val="13"/>
                <w:szCs w:val="13"/>
              </w:rPr>
              <w:t xml:space="preserve">H01L 25/0657</w:t>
            </w:r>
          </w:p>
        </w:tc>
        <w:tc>
          <w:tcPr>
            <w:tcW w:type="dxa" w:w="2888"/>
          </w:tcPr>
          <w:p>
            <w:pPr>
              <w:pStyle w:val="Compact"/>
              <w:spacing w:before="20" w:after="20" w:line="240" w:lineRule="auto"/>
              <w:keepNext/>
            </w:pPr>
            <w:r>
              <w:rPr>
                <w:sz w:val="13"/>
                <w:szCs w:val="13"/>
              </w:rPr>
              <w:t xml:space="preserve">Stacked arrangements of devices</w:t>
            </w:r>
          </w:p>
        </w:tc>
        <w:tc>
          <w:tcPr>
            <w:tcW w:type="dxa" w:w="1612"/>
          </w:tcPr>
          <w:p>
            <w:pPr>
              <w:pStyle w:val="Compact"/>
              <w:spacing w:before="20" w:after="20" w:line="240" w:lineRule="auto"/>
              <w:jc w:val="right"/>
              <w:keepNext/>
            </w:pPr>
            <w:r>
              <w:rPr>
                <w:sz w:val="13"/>
                <w:szCs w:val="13"/>
              </w:rPr>
              <w:t xml:space="preserve">274</w:t>
            </w:r>
          </w:p>
        </w:tc>
        <w:tc>
          <w:tcPr>
            <w:tcW w:type="dxa" w:w="671"/>
          </w:tcPr>
          <w:p>
            <w:pPr>
              <w:pStyle w:val="Compact"/>
              <w:spacing w:before="20" w:after="20" w:line="240" w:lineRule="auto"/>
              <w:jc w:val="right"/>
              <w:keepNext/>
            </w:pPr>
            <w:r>
              <w:rPr>
                <w:sz w:val="13"/>
                <w:szCs w:val="13"/>
              </w:rPr>
              <w:t xml:space="preserve">29.5</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9</w:t>
            </w:r>
          </w:p>
        </w:tc>
        <w:tc>
          <w:tcPr>
            <w:tcW w:type="dxa" w:w="2015"/>
          </w:tcPr>
          <w:p>
            <w:pPr>
              <w:pStyle w:val="Compact"/>
              <w:spacing w:before="20" w:after="20" w:line="240" w:lineRule="auto"/>
              <w:keepNext/>
            </w:pPr>
            <w:r>
              <w:rPr>
                <w:sz w:val="13"/>
                <w:szCs w:val="13"/>
              </w:rPr>
              <w:t xml:space="preserve">H01L 2224/05647</w:t>
            </w:r>
          </w:p>
        </w:tc>
        <w:tc>
          <w:tcPr>
            <w:tcW w:type="dxa" w:w="2888"/>
          </w:tcPr>
          <w:p>
            <w:pPr>
              <w:pStyle w:val="Compact"/>
              <w:spacing w:before="20" w:after="20" w:line="240" w:lineRule="auto"/>
              <w:keepNext/>
            </w:pPr>
            <w:r>
              <w:rPr>
                <w:sz w:val="13"/>
                <w:szCs w:val="13"/>
              </w:rPr>
              <w:t xml:space="preserve">Bonding pads with copper as the principal constituent</w:t>
            </w:r>
          </w:p>
        </w:tc>
        <w:tc>
          <w:tcPr>
            <w:tcW w:type="dxa" w:w="1612"/>
          </w:tcPr>
          <w:p>
            <w:pPr>
              <w:pStyle w:val="Compact"/>
              <w:spacing w:before="20" w:after="20" w:line="240" w:lineRule="auto"/>
              <w:jc w:val="right"/>
              <w:keepNext/>
            </w:pPr>
            <w:r>
              <w:rPr>
                <w:sz w:val="13"/>
                <w:szCs w:val="13"/>
              </w:rPr>
              <w:t xml:space="preserve">239</w:t>
            </w:r>
          </w:p>
        </w:tc>
        <w:tc>
          <w:tcPr>
            <w:tcW w:type="dxa" w:w="671"/>
          </w:tcPr>
          <w:p>
            <w:pPr>
              <w:pStyle w:val="Compact"/>
              <w:spacing w:before="20" w:after="20" w:line="240" w:lineRule="auto"/>
              <w:jc w:val="right"/>
              <w:keepNext/>
            </w:pPr>
            <w:r>
              <w:rPr>
                <w:sz w:val="13"/>
                <w:szCs w:val="13"/>
              </w:rPr>
              <w:t xml:space="preserve">25.8</w:t>
            </w:r>
          </w:p>
        </w:tc>
        <w:tc>
          <w:tcPr>
            <w:tcW w:type="dxa" w:w="1343"/>
          </w:tcPr>
          <w:p>
            <w:pPr>
              <w:pStyle w:val="Compact"/>
              <w:spacing w:before="20" w:after="20" w:line="240" w:lineRule="auto"/>
              <w:jc w:val="center"/>
              <w:keepNext/>
            </w:pPr>
            <w:r>
              <w:rPr>
                <w:sz w:val="13"/>
                <w:szCs w:val="13"/>
              </w:rPr>
              <w:t xml:space="preserve">No</w:t>
            </w:r>
          </w:p>
        </w:tc>
      </w:tr>
      <w:tr>
        <w:trPr>
          <w:cantSplit/>
        </w:trPr>
        <w:tc>
          <w:tcPr>
            <w:tcW w:type="dxa" w:w="542"/>
          </w:tcPr>
          <w:p>
            <w:pPr>
              <w:pStyle w:val="Compact"/>
              <w:spacing w:before="20" w:after="20" w:line="240" w:lineRule="auto"/>
              <w:jc w:val="right"/>
              <w:keepNext/>
            </w:pPr>
            <w:r>
              <w:rPr>
                <w:sz w:val="13"/>
                <w:szCs w:val="13"/>
              </w:rPr>
              <w:t xml:space="preserve">10</w:t>
            </w:r>
          </w:p>
        </w:tc>
        <w:tc>
          <w:tcPr>
            <w:tcW w:type="dxa" w:w="2015"/>
          </w:tcPr>
          <w:p>
            <w:pPr>
              <w:pStyle w:val="Compact"/>
              <w:spacing w:before="20" w:after="20" w:line="240" w:lineRule="auto"/>
              <w:keepNext/>
            </w:pPr>
            <w:r>
              <w:rPr>
                <w:sz w:val="13"/>
                <w:szCs w:val="13"/>
              </w:rPr>
              <w:t xml:space="preserve">H01L 24/03</w:t>
            </w:r>
          </w:p>
        </w:tc>
        <w:tc>
          <w:tcPr>
            <w:tcW w:type="dxa" w:w="2888"/>
          </w:tcPr>
          <w:p>
            <w:pPr>
              <w:pStyle w:val="Compact"/>
              <w:spacing w:before="20" w:after="20" w:line="240" w:lineRule="auto"/>
              <w:keepNext/>
            </w:pPr>
            <w:r>
              <w:rPr>
                <w:sz w:val="13"/>
                <w:szCs w:val="13"/>
              </w:rPr>
              <w:t xml:space="preserve">Manufacturing methods of bonding pads</w:t>
            </w:r>
          </w:p>
        </w:tc>
        <w:tc>
          <w:tcPr>
            <w:tcW w:type="dxa" w:w="1612"/>
          </w:tcPr>
          <w:p>
            <w:pPr>
              <w:pStyle w:val="Compact"/>
              <w:spacing w:before="20" w:after="20" w:line="240" w:lineRule="auto"/>
              <w:jc w:val="right"/>
              <w:keepNext/>
            </w:pPr>
            <w:r>
              <w:rPr>
                <w:sz w:val="13"/>
                <w:szCs w:val="13"/>
              </w:rPr>
              <w:t xml:space="preserve">222</w:t>
            </w:r>
          </w:p>
        </w:tc>
        <w:tc>
          <w:tcPr>
            <w:tcW w:type="dxa" w:w="671"/>
          </w:tcPr>
          <w:p>
            <w:pPr>
              <w:pStyle w:val="Compact"/>
              <w:spacing w:before="20" w:after="20" w:line="240" w:lineRule="auto"/>
              <w:jc w:val="right"/>
              <w:keepNext/>
            </w:pPr>
            <w:r>
              <w:rPr>
                <w:sz w:val="13"/>
                <w:szCs w:val="13"/>
              </w:rPr>
              <w:t xml:space="preserve">23.9</w:t>
            </w:r>
          </w:p>
        </w:tc>
        <w:tc>
          <w:tcPr>
            <w:tcW w:type="dxa" w:w="1343"/>
          </w:tcPr>
          <w:p>
            <w:pPr>
              <w:pStyle w:val="Compact"/>
              <w:spacing w:before="20" w:after="20" w:line="240" w:lineRule="auto"/>
              <w:jc w:val="center"/>
              <w:keepNext/>
            </w:pPr>
            <w:r>
              <w:rPr>
                <w:sz w:val="13"/>
                <w:szCs w:val="13"/>
              </w:rPr>
              <w:t xml:space="preserve">Yes</w:t>
            </w:r>
          </w:p>
        </w:tc>
      </w:tr>
      <w:tr>
        <w:trPr>
          <w:cantSplit/>
        </w:trPr>
        <w:tc>
          <w:tcPr>
            <w:tcW w:type="dxa" w:w="542"/>
          </w:tcPr>
          <w:p>
            <w:pPr>
              <w:pStyle w:val="Compact"/>
              <w:spacing w:before="20" w:after="20" w:line="240" w:lineRule="auto"/>
              <w:jc w:val="right"/>
              <w:keepNext/>
            </w:pPr>
            <w:r>
              <w:rPr>
                <w:sz w:val="13"/>
                <w:szCs w:val="13"/>
              </w:rPr>
              <w:t xml:space="preserve">11</w:t>
            </w:r>
          </w:p>
        </w:tc>
        <w:tc>
          <w:tcPr>
            <w:tcW w:type="dxa" w:w="2015"/>
          </w:tcPr>
          <w:p>
            <w:pPr>
              <w:pStyle w:val="Compact"/>
              <w:spacing w:before="20" w:after="20" w:line="240" w:lineRule="auto"/>
              <w:keepNext/>
            </w:pPr>
            <w:r>
              <w:rPr>
                <w:sz w:val="13"/>
                <w:szCs w:val="13"/>
              </w:rPr>
              <w:t xml:space="preserve">H01L 2224/80357</w:t>
            </w:r>
          </w:p>
        </w:tc>
        <w:tc>
          <w:tcPr>
            <w:tcW w:type="dxa" w:w="2888"/>
          </w:tcPr>
          <w:p>
            <w:pPr>
              <w:pStyle w:val="Compact"/>
              <w:spacing w:before="20" w:after="20" w:line="240" w:lineRule="auto"/>
              <w:keepNext/>
            </w:pPr>
            <w:r>
              <w:rPr>
                <w:sz w:val="13"/>
                <w:szCs w:val="13"/>
              </w:rPr>
              <w:t xml:space="preserve">Bonding interface flush with the surface</w:t>
            </w:r>
          </w:p>
        </w:tc>
        <w:tc>
          <w:tcPr>
            <w:tcW w:type="dxa" w:w="1612"/>
          </w:tcPr>
          <w:p>
            <w:pPr>
              <w:pStyle w:val="Compact"/>
              <w:spacing w:before="20" w:after="20" w:line="240" w:lineRule="auto"/>
              <w:jc w:val="right"/>
              <w:keepNext/>
            </w:pPr>
            <w:r>
              <w:rPr>
                <w:sz w:val="13"/>
                <w:szCs w:val="13"/>
              </w:rPr>
              <w:t xml:space="preserve">205</w:t>
            </w:r>
          </w:p>
        </w:tc>
        <w:tc>
          <w:tcPr>
            <w:tcW w:type="dxa" w:w="671"/>
          </w:tcPr>
          <w:p>
            <w:pPr>
              <w:pStyle w:val="Compact"/>
              <w:spacing w:before="20" w:after="20" w:line="240" w:lineRule="auto"/>
              <w:jc w:val="right"/>
              <w:keepNext/>
            </w:pPr>
            <w:r>
              <w:rPr>
                <w:sz w:val="13"/>
                <w:szCs w:val="13"/>
              </w:rPr>
              <w:t xml:space="preserve">22.1</w:t>
            </w:r>
          </w:p>
        </w:tc>
        <w:tc>
          <w:tcPr>
            <w:tcW w:type="dxa" w:w="1343"/>
          </w:tcPr>
          <w:p>
            <w:pPr>
              <w:pStyle w:val="Compact"/>
              <w:spacing w:before="20" w:after="20" w:line="240" w:lineRule="auto"/>
              <w:jc w:val="center"/>
              <w:keepNext/>
            </w:pPr>
            <w:r>
              <w:rPr>
                <w:sz w:val="13"/>
                <w:szCs w:val="13"/>
              </w:rPr>
              <w:t xml:space="preserve">No</w:t>
            </w:r>
          </w:p>
        </w:tc>
      </w:tr>
    </w:tbl>
    <w:p>
      <w:pPr>
        <w:pStyle w:val="BodyText"/>
      </w:pPr>
      <w:r>
        <w:rPr>
          <w:i/>
          <w:iCs/>
          <w:sz w:val="20"/>
          <w:szCs w:val="20"/>
        </w:rPr>
        <w:t xml:space="preserve">Note:</w:t>
      </w:r>
      <w:r>
        <w:rPr>
          <w:sz w:val="20"/>
          <w:szCs w:val="20"/>
        </w:rPr>
        <w:t xml:space="preserve"> </w:t>
      </w:r>
      <w:r>
        <w:rPr>
          <w:sz w:val="20"/>
          <w:szCs w:val="20"/>
        </w:rPr>
        <w:t xml:space="preserve">“Yes”</w:t>
      </w:r>
      <w:r>
        <w:rPr>
          <w:sz w:val="20"/>
          <w:szCs w:val="20"/>
        </w:rPr>
        <w:t xml:space="preserve"> </w:t>
      </w:r>
      <w:r>
        <w:rPr>
          <w:sz w:val="20"/>
          <w:szCs w:val="20"/>
        </w:rPr>
        <w:t xml:space="preserve">in the last column marks symbols included in the H01L21 and H01L24 symbol records used in the regression analyses; the application counts for these four symbols are identical when recounted from the regression data.</w:t>
      </w:r>
      <w:r>
        <w:rPr>
          <w:sz w:val="20"/>
          <w:szCs w:val="20"/>
        </w:rPr>
        <w:t xml:space="preserve"> </w:t>
      </w:r>
      <w:r>
        <w:rPr>
          <w:sz w:val="20"/>
          <w:szCs w:val="20"/>
        </w:rPr>
        <w:t xml:space="preserve">“No”</w:t>
      </w:r>
      <w:r>
        <w:rPr>
          <w:sz w:val="20"/>
          <w:szCs w:val="20"/>
        </w:rPr>
        <w:t xml:space="preserve"> </w:t>
      </w:r>
      <w:r>
        <w:rPr>
          <w:sz w:val="20"/>
          <w:szCs w:val="20"/>
        </w:rPr>
        <w:t xml:space="preserve">marks indexing codes (H01L2224) and the device assembly class (H01L25), whose counts come from a separate tabulation of all CPC symbols of the same applications.</w:t>
      </w:r>
    </w:p>
    <w:p>
      <w:pPr>
        <w:pStyle w:val="BodyText"/>
      </w:pPr>
      <w:r>
        <w:rPr>
          <w:b/>
          <w:bCs/>
        </w:rPr>
        <w:t xml:space="preserve">Technology network.</w:t>
      </w:r>
      <w:r>
        <w:t xml:space="preserve"> </w:t>
      </w:r>
      <w:r>
        <w:t xml:space="preserve">Whereas the technology cluster shows the frequency of individual symbols, the technology network shows how symbols combine. The technology network consists of CPC symbols as nodes and of undirected links between any two different symbols assigned to the same application, and the weight of a link is the number of applications to which both symbols are assigned. Table 5 presents the ten pairs with the largest weights. The strongest link is the pair formed by the direct bonding of conductive surfaces and the direct bonding of insulating surfaces (460 applications), so the principle of hybrid bonding, which bonds both the metal and the dielectric, is directly reflected in the strength of the link. The remaining nine pairs are likewise all combinations of two of the five symbols 24/08, 24/80, 2224/80895, 2224/80896, and 2224/08145. In short, the core technologies of hybrid bonding are concentrated in a small number of closely linked bonding symbols.</w:t>
      </w:r>
    </w:p>
    <w:p>
      <w:pPr>
        <w:pStyle w:val="BodyText"/>
        <w:keepNext/>
      </w:pPr>
      <w:r>
        <w:rPr>
          <w:b/>
          <w:bCs/>
          <w:sz w:val="20"/>
          <w:szCs w:val="20"/>
        </w:rPr>
        <w:t xml:space="preserve">Table 5.</w:t>
      </w:r>
      <w:r>
        <w:rPr>
          <w:sz w:val="20"/>
          <w:szCs w:val="20"/>
        </w:rPr>
        <w:t xml:space="preserve"> </w:t>
      </w:r>
      <w:r>
        <w:rPr>
          <w:sz w:val="20"/>
          <w:szCs w:val="20"/>
        </w:rPr>
        <w:t xml:space="preserve">Technology network: Symbol pairs most frequently assigned together (N = 928; top 10 pairs).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36"/>
        <w:gridCol w:w="3659"/>
        <w:gridCol w:w="2864"/>
        <w:gridCol w:w="1909"/>
      </w:tblGrid>
      <w:tr>
        <w:trPr>
          <w:tblHeader w:val="on"/>
          <w:cantSplit/>
        </w:trPr>
        <w:tc>
          <w:tcPr>
            <w:tcW w:type="dxa" w:w="636"/>
            <w:tcBorders>
              <w:bottom w:val="single" w:sz="4" w:space="0" w:color="000000"/>
            </w:tcBorders>
          </w:tcPr>
          <w:p>
            <w:pPr>
              <w:pStyle w:val="Compact"/>
              <w:spacing w:before="20" w:after="20" w:line="240" w:lineRule="auto"/>
              <w:jc w:val="right"/>
              <w:keepNext/>
            </w:pPr>
            <w:r>
              <w:rPr>
                <w:sz w:val="16"/>
                <w:szCs w:val="16"/>
              </w:rPr>
              <w:t xml:space="preserve">Rank</w:t>
            </w:r>
          </w:p>
        </w:tc>
        <w:tc>
          <w:tcPr>
            <w:tcW w:type="dxa" w:w="3659"/>
            <w:tcBorders>
              <w:bottom w:val="single" w:sz="4" w:space="0" w:color="000000"/>
            </w:tcBorders>
          </w:tcPr>
          <w:p>
            <w:pPr>
              <w:pStyle w:val="Compact"/>
              <w:spacing w:before="20" w:after="20" w:line="240" w:lineRule="auto"/>
              <w:keepNext/>
            </w:pPr>
            <w:r>
              <w:rPr>
                <w:sz w:val="16"/>
                <w:szCs w:val="16"/>
              </w:rPr>
              <w:t xml:space="preserve">Symbol pair</w:t>
            </w:r>
          </w:p>
        </w:tc>
        <w:tc>
          <w:tcPr>
            <w:tcW w:type="dxa" w:w="2864"/>
            <w:tcBorders>
              <w:bottom w:val="single" w:sz="4" w:space="0" w:color="000000"/>
            </w:tcBorders>
          </w:tcPr>
          <w:p>
            <w:pPr>
              <w:pStyle w:val="Compact"/>
              <w:spacing w:before="20" w:after="20" w:line="240" w:lineRule="auto"/>
              <w:keepNext/>
            </w:pPr>
            <w:r>
              <w:rPr>
                <w:sz w:val="16"/>
                <w:szCs w:val="16"/>
              </w:rPr>
              <w:t xml:space="preserve">Content</w:t>
            </w:r>
          </w:p>
        </w:tc>
        <w:tc>
          <w:tcPr>
            <w:tcW w:type="dxa" w:w="1909"/>
            <w:tcBorders>
              <w:bottom w:val="single" w:sz="4" w:space="0" w:color="000000"/>
            </w:tcBorders>
          </w:tcPr>
          <w:p>
            <w:pPr>
              <w:pStyle w:val="Compact"/>
              <w:spacing w:before="20" w:after="20" w:line="240" w:lineRule="auto"/>
              <w:jc w:val="right"/>
              <w:keepNext/>
            </w:pPr>
            <w:r>
              <w:rPr>
                <w:sz w:val="16"/>
                <w:szCs w:val="16"/>
              </w:rPr>
              <w:t xml:space="preserve">Applications</w:t>
            </w:r>
          </w:p>
        </w:tc>
      </w:tr>
      <w:tr>
        <w:trPr>
          <w:cantSplit/>
        </w:trPr>
        <w:tc>
          <w:tcPr>
            <w:tcW w:type="dxa" w:w="636"/>
          </w:tcPr>
          <w:p>
            <w:pPr>
              <w:pStyle w:val="Compact"/>
              <w:spacing w:before="20" w:after="20" w:line="240" w:lineRule="auto"/>
              <w:jc w:val="right"/>
              <w:keepNext/>
            </w:pPr>
            <w:r>
              <w:rPr>
                <w:sz w:val="16"/>
                <w:szCs w:val="16"/>
              </w:rPr>
              <w:t xml:space="preserve">1</w:t>
            </w:r>
          </w:p>
        </w:tc>
        <w:tc>
          <w:tcPr>
            <w:tcW w:type="dxa" w:w="3659"/>
          </w:tcPr>
          <w:p>
            <w:pPr>
              <w:pStyle w:val="Compact"/>
              <w:spacing w:before="20" w:after="20" w:line="240" w:lineRule="auto"/>
              <w:keepNext/>
            </w:pPr>
            <w:r>
              <w:rPr>
                <w:sz w:val="16"/>
                <w:szCs w:val="16"/>
              </w:rPr>
              <w:t xml:space="preserve">2224/80895 – 2224/80896</w:t>
            </w:r>
          </w:p>
        </w:tc>
        <w:tc>
          <w:tcPr>
            <w:tcW w:type="dxa" w:w="2864"/>
          </w:tcPr>
          <w:p>
            <w:pPr>
              <w:pStyle w:val="Compact"/>
              <w:spacing w:before="20" w:after="20" w:line="240" w:lineRule="auto"/>
              <w:keepNext/>
            </w:pPr>
            <w:r>
              <w:rPr>
                <w:sz w:val="16"/>
                <w:szCs w:val="16"/>
              </w:rPr>
              <w:t xml:space="preserve">Direct bonding of conductive surfaces – direct bonding of insulating surfaces</w:t>
            </w:r>
          </w:p>
        </w:tc>
        <w:tc>
          <w:tcPr>
            <w:tcW w:type="dxa" w:w="1909"/>
          </w:tcPr>
          <w:p>
            <w:pPr>
              <w:pStyle w:val="Compact"/>
              <w:spacing w:before="20" w:after="20" w:line="240" w:lineRule="auto"/>
              <w:jc w:val="right"/>
              <w:keepNext/>
            </w:pPr>
            <w:r>
              <w:rPr>
                <w:sz w:val="16"/>
                <w:szCs w:val="16"/>
              </w:rPr>
              <w:t xml:space="preserve">460</w:t>
            </w:r>
          </w:p>
        </w:tc>
      </w:tr>
      <w:tr>
        <w:trPr>
          <w:cantSplit/>
        </w:trPr>
        <w:tc>
          <w:tcPr>
            <w:tcW w:type="dxa" w:w="636"/>
          </w:tcPr>
          <w:p>
            <w:pPr>
              <w:pStyle w:val="Compact"/>
              <w:spacing w:before="20" w:after="20" w:line="240" w:lineRule="auto"/>
              <w:jc w:val="right"/>
              <w:keepNext/>
            </w:pPr>
            <w:r>
              <w:rPr>
                <w:sz w:val="16"/>
                <w:szCs w:val="16"/>
              </w:rPr>
              <w:t xml:space="preserve">2</w:t>
            </w:r>
          </w:p>
        </w:tc>
        <w:tc>
          <w:tcPr>
            <w:tcW w:type="dxa" w:w="3659"/>
          </w:tcPr>
          <w:p>
            <w:pPr>
              <w:pStyle w:val="Compact"/>
              <w:spacing w:before="20" w:after="20" w:line="240" w:lineRule="auto"/>
              <w:keepNext/>
            </w:pPr>
            <w:r>
              <w:rPr>
                <w:sz w:val="16"/>
                <w:szCs w:val="16"/>
              </w:rPr>
              <w:t xml:space="preserve">24/08 – 24/80</w:t>
            </w:r>
          </w:p>
        </w:tc>
        <w:tc>
          <w:tcPr>
            <w:tcW w:type="dxa" w:w="2864"/>
          </w:tcPr>
          <w:p>
            <w:pPr>
              <w:pStyle w:val="Compact"/>
              <w:spacing w:before="20" w:after="20" w:line="240" w:lineRule="auto"/>
              <w:keepNext/>
            </w:pPr>
            <w:r>
              <w:rPr>
                <w:sz w:val="16"/>
                <w:szCs w:val="16"/>
              </w:rPr>
              <w:t xml:space="preserve">Bonding pad after connection – connection methods using bonding pads</w:t>
            </w:r>
          </w:p>
        </w:tc>
        <w:tc>
          <w:tcPr>
            <w:tcW w:type="dxa" w:w="1909"/>
          </w:tcPr>
          <w:p>
            <w:pPr>
              <w:pStyle w:val="Compact"/>
              <w:spacing w:before="20" w:after="20" w:line="240" w:lineRule="auto"/>
              <w:jc w:val="right"/>
              <w:keepNext/>
            </w:pPr>
            <w:r>
              <w:rPr>
                <w:sz w:val="16"/>
                <w:szCs w:val="16"/>
              </w:rPr>
              <w:t xml:space="preserve">439</w:t>
            </w:r>
          </w:p>
        </w:tc>
      </w:tr>
      <w:tr>
        <w:trPr>
          <w:cantSplit/>
        </w:trPr>
        <w:tc>
          <w:tcPr>
            <w:tcW w:type="dxa" w:w="636"/>
          </w:tcPr>
          <w:p>
            <w:pPr>
              <w:pStyle w:val="Compact"/>
              <w:spacing w:before="20" w:after="20" w:line="240" w:lineRule="auto"/>
              <w:jc w:val="right"/>
              <w:keepNext/>
            </w:pPr>
            <w:r>
              <w:rPr>
                <w:sz w:val="16"/>
                <w:szCs w:val="16"/>
              </w:rPr>
              <w:t xml:space="preserve">3</w:t>
            </w:r>
          </w:p>
        </w:tc>
        <w:tc>
          <w:tcPr>
            <w:tcW w:type="dxa" w:w="3659"/>
          </w:tcPr>
          <w:p>
            <w:pPr>
              <w:pStyle w:val="Compact"/>
              <w:spacing w:before="20" w:after="20" w:line="240" w:lineRule="auto"/>
              <w:keepNext/>
            </w:pPr>
            <w:r>
              <w:rPr>
                <w:sz w:val="16"/>
                <w:szCs w:val="16"/>
              </w:rPr>
              <w:t xml:space="preserve">24/80 – 2224/80895</w:t>
            </w:r>
          </w:p>
        </w:tc>
        <w:tc>
          <w:tcPr>
            <w:tcW w:type="dxa" w:w="2864"/>
          </w:tcPr>
          <w:p>
            <w:pPr>
              <w:pStyle w:val="Compact"/>
              <w:spacing w:before="20" w:after="20" w:line="240" w:lineRule="auto"/>
              <w:keepNext/>
            </w:pPr>
            <w:r>
              <w:rPr>
                <w:sz w:val="16"/>
                <w:szCs w:val="16"/>
              </w:rPr>
              <w:t xml:space="preserve">Connection methods using bonding pads – direct bonding of conductive surfaces</w:t>
            </w:r>
          </w:p>
        </w:tc>
        <w:tc>
          <w:tcPr>
            <w:tcW w:type="dxa" w:w="1909"/>
          </w:tcPr>
          <w:p>
            <w:pPr>
              <w:pStyle w:val="Compact"/>
              <w:spacing w:before="20" w:after="20" w:line="240" w:lineRule="auto"/>
              <w:jc w:val="right"/>
              <w:keepNext/>
            </w:pPr>
            <w:r>
              <w:rPr>
                <w:sz w:val="16"/>
                <w:szCs w:val="16"/>
              </w:rPr>
              <w:t xml:space="preserve">434</w:t>
            </w:r>
          </w:p>
        </w:tc>
      </w:tr>
      <w:tr>
        <w:trPr>
          <w:cantSplit/>
        </w:trPr>
        <w:tc>
          <w:tcPr>
            <w:tcW w:type="dxa" w:w="636"/>
          </w:tcPr>
          <w:p>
            <w:pPr>
              <w:pStyle w:val="Compact"/>
              <w:spacing w:before="20" w:after="20" w:line="240" w:lineRule="auto"/>
              <w:jc w:val="right"/>
              <w:keepNext/>
            </w:pPr>
            <w:r>
              <w:rPr>
                <w:sz w:val="16"/>
                <w:szCs w:val="16"/>
              </w:rPr>
              <w:t xml:space="preserve">4</w:t>
            </w:r>
          </w:p>
        </w:tc>
        <w:tc>
          <w:tcPr>
            <w:tcW w:type="dxa" w:w="3659"/>
          </w:tcPr>
          <w:p>
            <w:pPr>
              <w:pStyle w:val="Compact"/>
              <w:spacing w:before="20" w:after="20" w:line="240" w:lineRule="auto"/>
              <w:keepNext/>
            </w:pPr>
            <w:r>
              <w:rPr>
                <w:sz w:val="16"/>
                <w:szCs w:val="16"/>
              </w:rPr>
              <w:t xml:space="preserve">24/08 – 2224/80895</w:t>
            </w:r>
          </w:p>
        </w:tc>
        <w:tc>
          <w:tcPr>
            <w:tcW w:type="dxa" w:w="2864"/>
          </w:tcPr>
          <w:p>
            <w:pPr>
              <w:pStyle w:val="Compact"/>
              <w:spacing w:before="20" w:after="20" w:line="240" w:lineRule="auto"/>
              <w:keepNext/>
            </w:pPr>
            <w:r>
              <w:rPr>
                <w:sz w:val="16"/>
                <w:szCs w:val="16"/>
              </w:rPr>
              <w:t xml:space="preserve">Bonding pad after connection – direct bonding of conductive surfaces</w:t>
            </w:r>
          </w:p>
        </w:tc>
        <w:tc>
          <w:tcPr>
            <w:tcW w:type="dxa" w:w="1909"/>
          </w:tcPr>
          <w:p>
            <w:pPr>
              <w:pStyle w:val="Compact"/>
              <w:spacing w:before="20" w:after="20" w:line="240" w:lineRule="auto"/>
              <w:jc w:val="right"/>
              <w:keepNext/>
            </w:pPr>
            <w:r>
              <w:rPr>
                <w:sz w:val="16"/>
                <w:szCs w:val="16"/>
              </w:rPr>
              <w:t xml:space="preserve">420</w:t>
            </w:r>
          </w:p>
        </w:tc>
      </w:tr>
      <w:tr>
        <w:trPr>
          <w:cantSplit/>
        </w:trPr>
        <w:tc>
          <w:tcPr>
            <w:tcW w:type="dxa" w:w="636"/>
          </w:tcPr>
          <w:p>
            <w:pPr>
              <w:pStyle w:val="Compact"/>
              <w:spacing w:before="20" w:after="20" w:line="240" w:lineRule="auto"/>
              <w:jc w:val="right"/>
              <w:keepNext/>
            </w:pPr>
            <w:r>
              <w:rPr>
                <w:sz w:val="16"/>
                <w:szCs w:val="16"/>
              </w:rPr>
              <w:t xml:space="preserve">5</w:t>
            </w:r>
          </w:p>
        </w:tc>
        <w:tc>
          <w:tcPr>
            <w:tcW w:type="dxa" w:w="3659"/>
          </w:tcPr>
          <w:p>
            <w:pPr>
              <w:pStyle w:val="Compact"/>
              <w:spacing w:before="20" w:after="20" w:line="240" w:lineRule="auto"/>
              <w:keepNext/>
            </w:pPr>
            <w:r>
              <w:rPr>
                <w:sz w:val="16"/>
                <w:szCs w:val="16"/>
              </w:rPr>
              <w:t xml:space="preserve">24/80 – 2224/80896</w:t>
            </w:r>
          </w:p>
        </w:tc>
        <w:tc>
          <w:tcPr>
            <w:tcW w:type="dxa" w:w="2864"/>
          </w:tcPr>
          <w:p>
            <w:pPr>
              <w:pStyle w:val="Compact"/>
              <w:spacing w:before="20" w:after="20" w:line="240" w:lineRule="auto"/>
              <w:keepNext/>
            </w:pPr>
            <w:r>
              <w:rPr>
                <w:sz w:val="16"/>
                <w:szCs w:val="16"/>
              </w:rPr>
              <w:t xml:space="preserve">Connection methods using bonding pads – direct bonding of insulating surfaces</w:t>
            </w:r>
          </w:p>
        </w:tc>
        <w:tc>
          <w:tcPr>
            <w:tcW w:type="dxa" w:w="1909"/>
          </w:tcPr>
          <w:p>
            <w:pPr>
              <w:pStyle w:val="Compact"/>
              <w:spacing w:before="20" w:after="20" w:line="240" w:lineRule="auto"/>
              <w:jc w:val="right"/>
              <w:keepNext/>
            </w:pPr>
            <w:r>
              <w:rPr>
                <w:sz w:val="16"/>
                <w:szCs w:val="16"/>
              </w:rPr>
              <w:t xml:space="preserve">418</w:t>
            </w:r>
          </w:p>
        </w:tc>
      </w:tr>
      <w:tr>
        <w:trPr>
          <w:cantSplit/>
        </w:trPr>
        <w:tc>
          <w:tcPr>
            <w:tcW w:type="dxa" w:w="636"/>
          </w:tcPr>
          <w:p>
            <w:pPr>
              <w:pStyle w:val="Compact"/>
              <w:spacing w:before="20" w:after="20" w:line="240" w:lineRule="auto"/>
              <w:jc w:val="right"/>
              <w:keepNext/>
            </w:pPr>
            <w:r>
              <w:rPr>
                <w:sz w:val="16"/>
                <w:szCs w:val="16"/>
              </w:rPr>
              <w:t xml:space="preserve">6</w:t>
            </w:r>
          </w:p>
        </w:tc>
        <w:tc>
          <w:tcPr>
            <w:tcW w:type="dxa" w:w="3659"/>
          </w:tcPr>
          <w:p>
            <w:pPr>
              <w:pStyle w:val="Compact"/>
              <w:spacing w:before="20" w:after="20" w:line="240" w:lineRule="auto"/>
              <w:keepNext/>
            </w:pPr>
            <w:r>
              <w:rPr>
                <w:sz w:val="16"/>
                <w:szCs w:val="16"/>
              </w:rPr>
              <w:t xml:space="preserve">24/08 – 2224/80896</w:t>
            </w:r>
          </w:p>
        </w:tc>
        <w:tc>
          <w:tcPr>
            <w:tcW w:type="dxa" w:w="2864"/>
          </w:tcPr>
          <w:p>
            <w:pPr>
              <w:pStyle w:val="Compact"/>
              <w:spacing w:before="20" w:after="20" w:line="240" w:lineRule="auto"/>
              <w:keepNext/>
            </w:pPr>
            <w:r>
              <w:rPr>
                <w:sz w:val="16"/>
                <w:szCs w:val="16"/>
              </w:rPr>
              <w:t xml:space="preserve">Bonding pad after connection – direct bonding of insulating surfaces</w:t>
            </w:r>
          </w:p>
        </w:tc>
        <w:tc>
          <w:tcPr>
            <w:tcW w:type="dxa" w:w="1909"/>
          </w:tcPr>
          <w:p>
            <w:pPr>
              <w:pStyle w:val="Compact"/>
              <w:spacing w:before="20" w:after="20" w:line="240" w:lineRule="auto"/>
              <w:jc w:val="right"/>
              <w:keepNext/>
            </w:pPr>
            <w:r>
              <w:rPr>
                <w:sz w:val="16"/>
                <w:szCs w:val="16"/>
              </w:rPr>
              <w:t xml:space="preserve">395</w:t>
            </w:r>
          </w:p>
        </w:tc>
      </w:tr>
      <w:tr>
        <w:trPr>
          <w:cantSplit/>
        </w:trPr>
        <w:tc>
          <w:tcPr>
            <w:tcW w:type="dxa" w:w="636"/>
          </w:tcPr>
          <w:p>
            <w:pPr>
              <w:pStyle w:val="Compact"/>
              <w:spacing w:before="20" w:after="20" w:line="240" w:lineRule="auto"/>
              <w:jc w:val="right"/>
              <w:keepNext/>
            </w:pPr>
            <w:r>
              <w:rPr>
                <w:sz w:val="16"/>
                <w:szCs w:val="16"/>
              </w:rPr>
              <w:t xml:space="preserve">7</w:t>
            </w:r>
          </w:p>
        </w:tc>
        <w:tc>
          <w:tcPr>
            <w:tcW w:type="dxa" w:w="3659"/>
          </w:tcPr>
          <w:p>
            <w:pPr>
              <w:pStyle w:val="Compact"/>
              <w:spacing w:before="20" w:after="20" w:line="240" w:lineRule="auto"/>
              <w:keepNext/>
            </w:pPr>
            <w:r>
              <w:rPr>
                <w:sz w:val="16"/>
                <w:szCs w:val="16"/>
              </w:rPr>
              <w:t xml:space="preserve">24/08 – 2224/08145</w:t>
            </w:r>
          </w:p>
        </w:tc>
        <w:tc>
          <w:tcPr>
            <w:tcW w:type="dxa" w:w="2864"/>
          </w:tcPr>
          <w:p>
            <w:pPr>
              <w:pStyle w:val="Compact"/>
              <w:spacing w:before="20" w:after="20" w:line="240" w:lineRule="auto"/>
              <w:keepNext/>
            </w:pPr>
            <w:r>
              <w:rPr>
                <w:sz w:val="16"/>
                <w:szCs w:val="16"/>
              </w:rPr>
              <w:t xml:space="preserve">Bonding pad after connection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8</w:t>
            </w:r>
          </w:p>
        </w:tc>
        <w:tc>
          <w:tcPr>
            <w:tcW w:type="dxa" w:w="3659"/>
          </w:tcPr>
          <w:p>
            <w:pPr>
              <w:pStyle w:val="Compact"/>
              <w:spacing w:before="20" w:after="20" w:line="240" w:lineRule="auto"/>
              <w:keepNext/>
            </w:pPr>
            <w:r>
              <w:rPr>
                <w:sz w:val="16"/>
                <w:szCs w:val="16"/>
              </w:rPr>
              <w:t xml:space="preserve">24/80 – 2224/08145</w:t>
            </w:r>
          </w:p>
        </w:tc>
        <w:tc>
          <w:tcPr>
            <w:tcW w:type="dxa" w:w="2864"/>
          </w:tcPr>
          <w:p>
            <w:pPr>
              <w:pStyle w:val="Compact"/>
              <w:spacing w:before="20" w:after="20" w:line="240" w:lineRule="auto"/>
              <w:keepNext/>
            </w:pPr>
            <w:r>
              <w:rPr>
                <w:sz w:val="16"/>
                <w:szCs w:val="16"/>
              </w:rPr>
              <w:t xml:space="preserve">Connection methods using bonding pads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9</w:t>
            </w:r>
          </w:p>
        </w:tc>
        <w:tc>
          <w:tcPr>
            <w:tcW w:type="dxa" w:w="3659"/>
          </w:tcPr>
          <w:p>
            <w:pPr>
              <w:pStyle w:val="Compact"/>
              <w:spacing w:before="20" w:after="20" w:line="240" w:lineRule="auto"/>
              <w:keepNext/>
            </w:pPr>
            <w:r>
              <w:rPr>
                <w:sz w:val="16"/>
                <w:szCs w:val="16"/>
              </w:rPr>
              <w:t xml:space="preserve">2224/08145 – 2224/80895</w:t>
            </w:r>
          </w:p>
        </w:tc>
        <w:tc>
          <w:tcPr>
            <w:tcW w:type="dxa" w:w="2864"/>
          </w:tcPr>
          <w:p>
            <w:pPr>
              <w:pStyle w:val="Compact"/>
              <w:spacing w:before="20" w:after="20" w:line="240" w:lineRule="auto"/>
              <w:keepNext/>
            </w:pPr>
            <w:r>
              <w:rPr>
                <w:sz w:val="16"/>
                <w:szCs w:val="16"/>
              </w:rPr>
              <w:t xml:space="preserve">Bumpless bonding of stacked chips – direct bonding of conductive surfaces</w:t>
            </w:r>
          </w:p>
        </w:tc>
        <w:tc>
          <w:tcPr>
            <w:tcW w:type="dxa" w:w="1909"/>
          </w:tcPr>
          <w:p>
            <w:pPr>
              <w:pStyle w:val="Compact"/>
              <w:spacing w:before="20" w:after="20" w:line="240" w:lineRule="auto"/>
              <w:jc w:val="right"/>
              <w:keepNext/>
            </w:pPr>
            <w:r>
              <w:rPr>
                <w:sz w:val="16"/>
                <w:szCs w:val="16"/>
              </w:rPr>
              <w:t xml:space="preserve">379</w:t>
            </w:r>
          </w:p>
        </w:tc>
      </w:tr>
      <w:tr>
        <w:trPr>
          <w:cantSplit/>
        </w:trPr>
        <w:tc>
          <w:tcPr>
            <w:tcW w:type="dxa" w:w="636"/>
          </w:tcPr>
          <w:p>
            <w:pPr>
              <w:pStyle w:val="Compact"/>
              <w:spacing w:before="20" w:after="20" w:line="240" w:lineRule="auto"/>
              <w:jc w:val="right"/>
              <w:keepNext/>
            </w:pPr>
            <w:r>
              <w:rPr>
                <w:sz w:val="16"/>
                <w:szCs w:val="16"/>
              </w:rPr>
              <w:t xml:space="preserve">10</w:t>
            </w:r>
          </w:p>
        </w:tc>
        <w:tc>
          <w:tcPr>
            <w:tcW w:type="dxa" w:w="3659"/>
          </w:tcPr>
          <w:p>
            <w:pPr>
              <w:pStyle w:val="Compact"/>
              <w:spacing w:before="20" w:after="20" w:line="240" w:lineRule="auto"/>
              <w:keepNext/>
            </w:pPr>
            <w:r>
              <w:rPr>
                <w:sz w:val="16"/>
                <w:szCs w:val="16"/>
              </w:rPr>
              <w:t xml:space="preserve">2224/08145 – 2224/80896</w:t>
            </w:r>
          </w:p>
        </w:tc>
        <w:tc>
          <w:tcPr>
            <w:tcW w:type="dxa" w:w="2864"/>
          </w:tcPr>
          <w:p>
            <w:pPr>
              <w:pStyle w:val="Compact"/>
              <w:spacing w:before="20" w:after="20" w:line="240" w:lineRule="auto"/>
              <w:keepNext/>
            </w:pPr>
            <w:r>
              <w:rPr>
                <w:sz w:val="16"/>
                <w:szCs w:val="16"/>
              </w:rPr>
              <w:t xml:space="preserve">Bumpless bonding of stacked chips – direct bonding of insulating surfaces</w:t>
            </w:r>
          </w:p>
        </w:tc>
        <w:tc>
          <w:tcPr>
            <w:tcW w:type="dxa" w:w="1909"/>
          </w:tcPr>
          <w:p>
            <w:pPr>
              <w:pStyle w:val="Compact"/>
              <w:spacing w:before="20" w:after="20" w:line="240" w:lineRule="auto"/>
              <w:jc w:val="right"/>
              <w:keepNext/>
            </w:pPr>
            <w:r>
              <w:rPr>
                <w:sz w:val="16"/>
                <w:szCs w:val="16"/>
              </w:rPr>
              <w:t xml:space="preserve">368</w:t>
            </w:r>
          </w:p>
        </w:tc>
      </w:tr>
    </w:tbl>
    <w:p>
      <w:pPr>
        <w:pStyle w:val="BodyText"/>
      </w:pPr>
      <w:r>
        <w:rPr>
          <w:i/>
          <w:iCs/>
          <w:sz w:val="20"/>
          <w:szCs w:val="20"/>
        </w:rPr>
        <w:t xml:space="preserve">Note:</w:t>
      </w:r>
      <w:r>
        <w:rPr>
          <w:sz w:val="20"/>
          <w:szCs w:val="20"/>
        </w:rPr>
        <w:t xml:space="preserve"> </w:t>
      </w:r>
      <w:r>
        <w:rPr>
          <w:sz w:val="20"/>
          <w:szCs w:val="20"/>
        </w:rPr>
        <w:t xml:space="preserve">The prefix H01L is omitted from the symbols. The application count for the second-ranked pair (24/08 – 24/80) is identical when recounted from the regression data.</w:t>
      </w:r>
    </w:p>
    <w:p>
      <w:pPr>
        <w:pStyle w:val="BodyText"/>
      </w:pPr>
      <w:r>
        <w:rPr>
          <w:b/>
          <w:bCs/>
        </w:rPr>
        <w:t xml:space="preserve">Core technologies in the regression data.</w:t>
      </w:r>
      <w:r>
        <w:t xml:space="preserve"> </w:t>
      </w:r>
      <w:r>
        <w:t xml:space="preserve">Because indexing codes are not included in the regression data, the core technologies used in the analysis are selected from among the H01L24 (bonding and interconnect classification) symbols in the regression data. Figure 4 shows the network of symbols assigned to 30 or more applications in the regression data. The four H01L24 symbols assigned to 200 or more applications in Table 4 (24/80, 24/08, 24/05, and 24/03) are also the four symbols with the greatest connection strength in this network (3,235, 3,140, 2,518, and 1,778; the connection strength of a symbol is the sum of the numbers of applications in which it is assigned together with other symbols). The six pairs formed by these four symbols (186–439 applications) are also the six strongest links in the entire network. Connection strengths and the rankings of links were calculated over all symbols and links in the regression data, regardless of the display threshold of the figure. Connection using layer connectors (24/83), the fifth most frequent symbol by number of applications, is assigned to 164 applications and thus falls short of the 200-application threshold. In the CPC scheme, all four symbols belong to the groups concerning bonding pads. Symbols 24/03 and 24/05 cover the manufacture of bonding pads and their structure before connection, and 24/08 and 24/80 cover the structure after bonding pads have been connected to one another without separate connectors such as bumps, layers, or wires, and the corresponding connection methods. Under the parent group of connection methods (24/80), methods using bump (24/81), layer (24/83), and wire (24/85) connectors are classified separately as subgroups. This study therefore defines these four symbols as the core technologies of hybrid bonding.</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en_v64.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Figure 4.</w:t>
      </w:r>
      <w:r>
        <w:rPr>
          <w:sz w:val="20"/>
          <w:szCs w:val="20"/>
        </w:rPr>
        <w:t xml:space="preserve"> </w:t>
      </w:r>
      <w:r>
        <w:rPr>
          <w:sz w:val="20"/>
          <w:szCs w:val="20"/>
        </w:rPr>
        <w:t xml:space="preserve">Technology network in the regression data (H01L21 and H01L24 symbols assigned to 30 or more applications; node size indicates the number of applications, and line width indicates the number of applications to which both symbols are assigned, with only links of 10 or more shown; the prefix H01L is omitted).</w:t>
      </w:r>
    </w:p>
    <w:p>
      <w:pPr>
        <w:pStyle w:val="BodyText"/>
      </w:pPr>
      <w:r>
        <w:t xml:space="preserve">Of the 763 applications carrying H01L24 symbols (hereafter bonding applications), 620 (81.3%) contain the core technologies, which shows that the core technologies identified in this way span most bonding applications.</w:t>
      </w:r>
    </w:p>
    <w:bookmarkEnd w:id="34"/>
    <w:bookmarkStart w:id="35" w:name="analytical-methods"/>
    <w:p>
      <w:pPr>
        <w:pStyle w:val="Heading3"/>
      </w:pPr>
      <w:r>
        <w:t xml:space="preserve">4.5 Analytical methods</w:t>
      </w:r>
    </w:p>
    <w:p>
      <w:pPr>
        <w:pStyle w:val="FirstParagraph"/>
      </w:pPr>
      <w:r>
        <w:t xml:space="preserve">Based on these variables and core technologies, this study uses three models according to the measurement scale of the dependent variable and the analysis required by each research question (Table 6). The unit of analysis is the patent application aggregated by application identifier, and filing office dummies are included as control variables in all models. The explanatory variables of the fabrication-process classification model and the co-classification type model (928 applications) are technological scope (breadth) and filing year (yc), and those of the core technology model (763 applications) are core technology (core), filing period (period), and their interaction.</w:t>
      </w:r>
    </w:p>
    <w:p>
      <w:pPr>
        <w:pStyle w:val="BodyText"/>
        <w:keepNext/>
      </w:pPr>
      <w:r>
        <w:rPr>
          <w:b/>
          <w:bCs/>
          <w:sz w:val="20"/>
          <w:szCs w:val="20"/>
        </w:rPr>
        <w:t xml:space="preserve">Table 6.</w:t>
      </w:r>
      <w:r>
        <w:rPr>
          <w:sz w:val="20"/>
          <w:szCs w:val="20"/>
        </w:rPr>
        <w:t xml:space="preserve"> </w:t>
      </w:r>
      <w:r>
        <w:rPr>
          <w:sz w:val="20"/>
          <w:szCs w:val="20"/>
        </w:rPr>
        <w:t xml:space="preserve">Roles of the three regression models.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20"/>
        <w:gridCol w:w="1382"/>
        <w:gridCol w:w="1517"/>
        <w:gridCol w:w="1382"/>
        <w:gridCol w:w="1551"/>
        <w:gridCol w:w="1416"/>
      </w:tblGrid>
      <w:tr>
        <w:trPr>
          <w:tblHeader w:val="on"/>
          <w:cantSplit/>
        </w:trPr>
        <w:tc>
          <w:tcPr>
            <w:tcW w:type="dxa" w:w="1820"/>
            <w:tcBorders>
              <w:bottom w:val="single" w:sz="4" w:space="0" w:color="000000"/>
            </w:tcBorders>
          </w:tcPr>
          <w:p>
            <w:pPr>
              <w:pStyle w:val="Compact"/>
              <w:spacing w:before="20" w:after="20" w:line="240" w:lineRule="auto"/>
              <w:keepNext/>
            </w:pPr>
            <w:r>
              <w:rPr>
                <w:sz w:val="14"/>
                <w:szCs w:val="14"/>
              </w:rPr>
              <w:t xml:space="preserve">Analytical question</w:t>
            </w:r>
          </w:p>
        </w:tc>
        <w:tc>
          <w:tcPr>
            <w:tcW w:type="dxa" w:w="1382"/>
            <w:tcBorders>
              <w:bottom w:val="single" w:sz="4" w:space="0" w:color="000000"/>
            </w:tcBorders>
          </w:tcPr>
          <w:p>
            <w:pPr>
              <w:pStyle w:val="Compact"/>
              <w:spacing w:before="20" w:after="20" w:line="240" w:lineRule="auto"/>
              <w:keepNext/>
            </w:pPr>
            <w:r>
              <w:rPr>
                <w:sz w:val="14"/>
                <w:szCs w:val="14"/>
              </w:rPr>
              <w:t xml:space="preserve">Dependent variable</w:t>
            </w:r>
          </w:p>
        </w:tc>
        <w:tc>
          <w:tcPr>
            <w:tcW w:type="dxa" w:w="1517"/>
            <w:tcBorders>
              <w:bottom w:val="single" w:sz="4" w:space="0" w:color="000000"/>
            </w:tcBorders>
          </w:tcPr>
          <w:p>
            <w:pPr>
              <w:pStyle w:val="Compact"/>
              <w:spacing w:before="20" w:after="20" w:line="240" w:lineRule="auto"/>
              <w:keepNext/>
            </w:pPr>
            <w:r>
              <w:rPr>
                <w:sz w:val="14"/>
                <w:szCs w:val="14"/>
              </w:rPr>
              <w:t xml:space="preserve">Scale</w:t>
            </w:r>
          </w:p>
        </w:tc>
        <w:tc>
          <w:tcPr>
            <w:tcW w:type="dxa" w:w="1382"/>
            <w:tcBorders>
              <w:bottom w:val="single" w:sz="4" w:space="0" w:color="000000"/>
            </w:tcBorders>
          </w:tcPr>
          <w:p>
            <w:pPr>
              <w:pStyle w:val="Compact"/>
              <w:spacing w:before="20" w:after="20" w:line="240" w:lineRule="auto"/>
              <w:keepNext/>
            </w:pPr>
            <w:r>
              <w:rPr>
                <w:sz w:val="14"/>
                <w:szCs w:val="14"/>
              </w:rPr>
              <w:t xml:space="preserve">Model</w:t>
            </w:r>
          </w:p>
        </w:tc>
        <w:tc>
          <w:tcPr>
            <w:tcW w:type="dxa" w:w="1551"/>
            <w:tcBorders>
              <w:bottom w:val="single" w:sz="4" w:space="0" w:color="000000"/>
            </w:tcBorders>
          </w:tcPr>
          <w:p>
            <w:pPr>
              <w:pStyle w:val="Compact"/>
              <w:spacing w:before="20" w:after="20" w:line="240" w:lineRule="auto"/>
              <w:keepNext/>
            </w:pPr>
            <w:r>
              <w:rPr>
                <w:sz w:val="14"/>
                <w:szCs w:val="14"/>
              </w:rPr>
              <w:t xml:space="preserve">Reported measure</w:t>
            </w:r>
          </w:p>
        </w:tc>
        <w:tc>
          <w:tcPr>
            <w:tcW w:type="dxa" w:w="1416"/>
            <w:tcBorders>
              <w:bottom w:val="single" w:sz="4" w:space="0" w:color="000000"/>
            </w:tcBorders>
          </w:tcPr>
          <w:p>
            <w:pPr>
              <w:pStyle w:val="Compact"/>
              <w:spacing w:before="20" w:after="20" w:line="240" w:lineRule="auto"/>
              <w:keepNext/>
            </w:pPr>
            <w:r>
              <w:rPr>
                <w:sz w:val="14"/>
                <w:szCs w:val="14"/>
              </w:rPr>
              <w:t xml:space="preserve">Research question</w:t>
            </w:r>
          </w:p>
        </w:tc>
      </w:tr>
      <w:tr>
        <w:trPr>
          <w:cantSplit/>
        </w:trPr>
        <w:tc>
          <w:tcPr>
            <w:tcW w:type="dxa" w:w="1820"/>
          </w:tcPr>
          <w:p>
            <w:pPr>
              <w:pStyle w:val="Compact"/>
              <w:spacing w:before="20" w:after="20" w:line="240" w:lineRule="auto"/>
              <w:keepNext/>
            </w:pPr>
            <w:r>
              <w:rPr>
                <w:sz w:val="14"/>
                <w:szCs w:val="14"/>
              </w:rPr>
              <w:t xml:space="preserve">Does an application carry at least one fabrication-process classification?</w:t>
            </w:r>
          </w:p>
        </w:tc>
        <w:tc>
          <w:tcPr>
            <w:tcW w:type="dxa" w:w="1382"/>
          </w:tcPr>
          <w:p>
            <w:pPr>
              <w:pStyle w:val="Compact"/>
              <w:spacing w:before="20" w:after="20" w:line="240" w:lineRule="auto"/>
              <w:keepNext/>
            </w:pPr>
            <w:r>
              <w:rPr>
                <w:sz w:val="14"/>
                <w:szCs w:val="14"/>
              </w:rPr>
              <w:t xml:space="preserve">has_process</w:t>
            </w:r>
          </w:p>
        </w:tc>
        <w:tc>
          <w:tcPr>
            <w:tcW w:type="dxa" w:w="1517"/>
          </w:tcPr>
          <w:p>
            <w:pPr>
              <w:pStyle w:val="Compact"/>
              <w:spacing w:before="20" w:after="20" w:line="240" w:lineRule="auto"/>
              <w:keepNext/>
            </w:pPr>
            <w:r>
              <w:rPr>
                <w:sz w:val="14"/>
                <w:szCs w:val="14"/>
              </w:rPr>
              <w:t xml:space="preserve">Binary, 0/1</w:t>
            </w:r>
          </w:p>
        </w:tc>
        <w:tc>
          <w:tcPr>
            <w:tcW w:type="dxa" w:w="1382"/>
          </w:tcPr>
          <w:p>
            <w:pPr>
              <w:pStyle w:val="Compact"/>
              <w:spacing w:before="20" w:after="20" w:line="240" w:lineRule="auto"/>
              <w:keepNext/>
            </w:pPr>
            <w:r>
              <w:rPr>
                <w:sz w:val="14"/>
                <w:szCs w:val="14"/>
              </w:rPr>
              <w:t xml:space="preserve">Binary logit</w:t>
            </w:r>
          </w:p>
        </w:tc>
        <w:tc>
          <w:tcPr>
            <w:tcW w:type="dxa" w:w="1551"/>
          </w:tcPr>
          <w:p>
            <w:pPr>
              <w:pStyle w:val="Compact"/>
              <w:spacing w:before="20" w:after="20" w:line="240" w:lineRule="auto"/>
              <w:keepNext/>
            </w:pPr>
            <w:r>
              <w:rPr>
                <w:sz w:val="14"/>
                <w:szCs w:val="14"/>
              </w:rPr>
              <w:t xml:space="preserve">Odds ratio (OR)</w:t>
            </w:r>
          </w:p>
        </w:tc>
        <w:tc>
          <w:tcPr>
            <w:tcW w:type="dxa" w:w="1416"/>
          </w:tcPr>
          <w:p>
            <w:pPr>
              <w:pStyle w:val="Compact"/>
              <w:spacing w:before="20" w:after="20" w:line="240" w:lineRule="auto"/>
              <w:keepNext/>
            </w:pPr>
            <w:r>
              <w:rPr>
                <w:sz w:val="14"/>
                <w:szCs w:val="14"/>
              </w:rPr>
              <w:t xml:space="preserve">Supplementary analysis for RQ1 and RQ2</w:t>
            </w:r>
          </w:p>
        </w:tc>
      </w:tr>
      <w:tr>
        <w:trPr>
          <w:cantSplit/>
        </w:trPr>
        <w:tc>
          <w:tcPr>
            <w:tcW w:type="dxa" w:w="1820"/>
          </w:tcPr>
          <w:p>
            <w:pPr>
              <w:pStyle w:val="Compact"/>
              <w:spacing w:before="20" w:after="20" w:line="240" w:lineRule="auto"/>
              <w:keepNext/>
            </w:pPr>
            <w:r>
              <w:rPr>
                <w:sz w:val="14"/>
                <w:szCs w:val="14"/>
              </w:rPr>
              <w:t xml:space="preserve">To which of the three co-classification types does an application belong?</w:t>
            </w:r>
          </w:p>
        </w:tc>
        <w:tc>
          <w:tcPr>
            <w:tcW w:type="dxa" w:w="1382"/>
          </w:tcPr>
          <w:p>
            <w:pPr>
              <w:pStyle w:val="Compact"/>
              <w:spacing w:before="20" w:after="20" w:line="240" w:lineRule="auto"/>
              <w:keepNext/>
            </w:pPr>
            <w:r>
              <w:rPr>
                <w:sz w:val="14"/>
                <w:szCs w:val="14"/>
              </w:rPr>
              <w:t xml:space="preserve">tech_cat</w:t>
            </w:r>
          </w:p>
        </w:tc>
        <w:tc>
          <w:tcPr>
            <w:tcW w:type="dxa" w:w="1517"/>
          </w:tcPr>
          <w:p>
            <w:pPr>
              <w:pStyle w:val="Compact"/>
              <w:spacing w:before="20" w:after="20" w:line="240" w:lineRule="auto"/>
              <w:keepNext/>
            </w:pPr>
            <w:r>
              <w:rPr>
                <w:sz w:val="14"/>
                <w:szCs w:val="14"/>
              </w:rPr>
              <w:t xml:space="preserve">Unordered, 3 categories</w:t>
            </w:r>
          </w:p>
        </w:tc>
        <w:tc>
          <w:tcPr>
            <w:tcW w:type="dxa" w:w="1382"/>
          </w:tcPr>
          <w:p>
            <w:pPr>
              <w:pStyle w:val="Compact"/>
              <w:spacing w:before="20" w:after="20" w:line="240" w:lineRule="auto"/>
              <w:keepNext/>
            </w:pPr>
            <w:r>
              <w:rPr>
                <w:sz w:val="14"/>
                <w:szCs w:val="14"/>
              </w:rPr>
              <w:t xml:space="preserve">Multinomial logit (base = bonding-only)</w:t>
            </w:r>
          </w:p>
        </w:tc>
        <w:tc>
          <w:tcPr>
            <w:tcW w:type="dxa" w:w="1551"/>
          </w:tcPr>
          <w:p>
            <w:pPr>
              <w:pStyle w:val="Compact"/>
              <w:spacing w:before="20" w:after="20" w:line="240" w:lineRule="auto"/>
              <w:keepNext/>
            </w:pPr>
            <w:r>
              <w:rPr>
                <w:sz w:val="14"/>
                <w:szCs w:val="14"/>
              </w:rPr>
              <w:t xml:space="preserve">Relative risk ratio (RRR)</w:t>
            </w:r>
          </w:p>
        </w:tc>
        <w:tc>
          <w:tcPr>
            <w:tcW w:type="dxa" w:w="1416"/>
          </w:tcPr>
          <w:p>
            <w:pPr>
              <w:pStyle w:val="Compact"/>
              <w:spacing w:before="20" w:after="20" w:line="240" w:lineRule="auto"/>
              <w:keepNext/>
            </w:pPr>
            <w:r>
              <w:rPr>
                <w:sz w:val="14"/>
                <w:szCs w:val="14"/>
              </w:rPr>
              <w:t xml:space="preserve">RQ1 and RQ2</w:t>
            </w:r>
          </w:p>
        </w:tc>
      </w:tr>
      <w:tr>
        <w:trPr>
          <w:cantSplit/>
        </w:trPr>
        <w:tc>
          <w:tcPr>
            <w:tcW w:type="dxa" w:w="1820"/>
          </w:tcPr>
          <w:p>
            <w:pPr>
              <w:pStyle w:val="Compact"/>
              <w:spacing w:before="20" w:after="20" w:line="240" w:lineRule="auto"/>
              <w:keepNext/>
            </w:pPr>
            <w:r>
              <w:rPr>
                <w:sz w:val="14"/>
                <w:szCs w:val="14"/>
              </w:rPr>
              <w:t xml:space="preserve">Does an application with bonding symbols also carry fabrication-process symbols?</w:t>
            </w:r>
          </w:p>
        </w:tc>
        <w:tc>
          <w:tcPr>
            <w:tcW w:type="dxa" w:w="1382"/>
          </w:tcPr>
          <w:p>
            <w:pPr>
              <w:pStyle w:val="Compact"/>
              <w:spacing w:before="20" w:after="20" w:line="240" w:lineRule="auto"/>
              <w:keepNext/>
            </w:pPr>
            <w:r>
              <w:rPr>
                <w:sz w:val="14"/>
                <w:szCs w:val="14"/>
              </w:rPr>
              <w:t xml:space="preserve">Integrated or not (applications with H01L24 symbols)</w:t>
            </w:r>
          </w:p>
        </w:tc>
        <w:tc>
          <w:tcPr>
            <w:tcW w:type="dxa" w:w="1517"/>
          </w:tcPr>
          <w:p>
            <w:pPr>
              <w:pStyle w:val="Compact"/>
              <w:spacing w:before="20" w:after="20" w:line="240" w:lineRule="auto"/>
              <w:keepNext/>
            </w:pPr>
            <w:r>
              <w:rPr>
                <w:sz w:val="14"/>
                <w:szCs w:val="14"/>
              </w:rPr>
              <w:t xml:space="preserve">Binary, 0/1</w:t>
            </w:r>
          </w:p>
        </w:tc>
        <w:tc>
          <w:tcPr>
            <w:tcW w:type="dxa" w:w="1382"/>
          </w:tcPr>
          <w:p>
            <w:pPr>
              <w:pStyle w:val="Compact"/>
              <w:spacing w:before="20" w:after="20" w:line="240" w:lineRule="auto"/>
              <w:keepNext/>
            </w:pPr>
            <w:r>
              <w:rPr>
                <w:sz w:val="14"/>
                <w:szCs w:val="14"/>
              </w:rPr>
              <w:t xml:space="preserve">Binary logit (core technology × filing period)</w:t>
            </w:r>
          </w:p>
        </w:tc>
        <w:tc>
          <w:tcPr>
            <w:tcW w:type="dxa" w:w="1551"/>
          </w:tcPr>
          <w:p>
            <w:pPr>
              <w:pStyle w:val="Compact"/>
              <w:spacing w:before="20" w:after="20" w:line="240" w:lineRule="auto"/>
              <w:keepNext/>
            </w:pPr>
            <w:r>
              <w:rPr>
                <w:sz w:val="14"/>
                <w:szCs w:val="14"/>
              </w:rPr>
              <w:t xml:space="preserve">Period-specific odds ratio (OR)</w:t>
            </w:r>
          </w:p>
        </w:tc>
        <w:tc>
          <w:tcPr>
            <w:tcW w:type="dxa" w:w="1416"/>
          </w:tcPr>
          <w:p>
            <w:pPr>
              <w:pStyle w:val="Compact"/>
              <w:spacing w:before="20" w:after="20" w:line="240" w:lineRule="auto"/>
              <w:keepNext/>
            </w:pPr>
            <w:r>
              <w:rPr>
                <w:sz w:val="14"/>
                <w:szCs w:val="14"/>
              </w:rPr>
              <w:t xml:space="preserve">RQ3</w:t>
            </w:r>
          </w:p>
        </w:tc>
      </w:tr>
    </w:tbl>
    <w:p>
      <w:pPr>
        <w:pStyle w:val="BodyText"/>
      </w:pPr>
      <w:r>
        <w:rPr>
          <w:b/>
          <w:bCs/>
        </w:rPr>
        <w:t xml:space="preserve">Fabrication-process classification model: Binary logit (supplementary analysis).</w:t>
      </w:r>
      <w:r>
        <w:t xml:space="preserve"> </w:t>
      </w:r>
      <w:r>
        <w:t xml:space="preserve">The variable has_process equals 1 if an application carries at least one symbol of the H01L21 (fabrication-process classification) class and 0 otherwise. The 425 integrated and 165 process-only applications take the value 1, and the 338 bonding-only applications take the value 0. Because the dependent variable has only two states, the model is estimated as a binary logit that constrains probabilities to lie between 0 and 1 (log[P/(1 − P)] = β₀ + β₁·breadth + β₂·yc + Σγ</w:t>
      </w:r>
      <w:r>
        <w:rPr>
          <w:vertAlign w:val="subscript"/>
        </w:rPr>
        <w:t xml:space="preserve">k</w:t>
      </w:r>
      <w:r>
        <w:t xml:space="preserve">·ccode</w:t>
      </w:r>
      <w:r>
        <w:rPr>
          <w:vertAlign w:val="subscript"/>
        </w:rPr>
        <w:t xml:space="preserve">k</w:t>
      </w:r>
      <w:r>
        <w:t xml:space="preserve">), and the results are reported as odds ratios (ORs). An OR is a multiplier of the odds, not of the probability. For example, an OR of 1.5 means that a one-unit increase in an explanatory variable multiplies the odds of having a fabrication-process classification by 1.5; it should not be interpreted as a 50% higher probability. This model is a supplementary analysis that groups integrated and process-only applications as applications with a fabrication-process classification to examine in what kinds of applications fabrication-process classifications are generally observed; it is not the main analysis.</w:t>
      </w:r>
    </w:p>
    <w:p>
      <w:pPr>
        <w:pStyle w:val="BodyText"/>
      </w:pPr>
      <w:r>
        <w:rPr>
          <w:b/>
          <w:bCs/>
        </w:rPr>
        <w:t xml:space="preserve">Co-classification type model: Multinomial logit.</w:t>
      </w:r>
      <w:r>
        <w:t xml:space="preserve"> </w:t>
      </w:r>
      <w:r>
        <w:t xml:space="preserve">Because the three categories of tech_cat represent different CPC configurations rather than an order of magnitude, a multinomial logit (McFadden, 1974) is used instead of an ordered logit. With bonding-only as the base category, the relative likelihood of the integrated type, in which a fabrication-process classification appears together with bonding, and that of the process-only type, in which only fabrication processes appear without a bonding classification, can each be estimated relative to applications carrying only bonding symbols. The results are reported as relative risk ratios (RRRs) for integrated versus bonding-only and for process-only versus bonding-only. An RRR of 1.4 means that a one-unit increase in an explanatory variable multiplies the relative risk of the given type versus bonding-only by 1.4; it does not mean that the absolute probability of that type changes by the same proportion. This model is the main model for analyzing the relationship between technological scope and the integrated type and that between filing year and the process-only type.</w:t>
      </w:r>
    </w:p>
    <w:p>
      <w:pPr>
        <w:pStyle w:val="BodyText"/>
      </w:pPr>
      <w:r>
        <w:rPr>
          <w:b/>
          <w:bCs/>
        </w:rPr>
        <w:t xml:space="preserve">Interpretive constraint of including technological scope in the logit models.</w:t>
      </w:r>
      <w:r>
        <w:t xml:space="preserve"> </w:t>
      </w:r>
      <w:r>
        <w:t xml:space="preserve">Technological scope and the co-classification type are derived from the same H01L21 and H01L24 CPC information. Because an integrated application must carry at least one symbol from each class, its minimum breadth is two, whereas that of a single-class type is one. Sensitivity to this difference in minimums is checked with the type-minimum-adjusted CPC scope (breadth_adj) of Section 4.3, but because this indicator also uses type information, its use is limited to exploratory robustness analysis.</w:t>
      </w:r>
    </w:p>
    <w:p>
      <w:pPr>
        <w:pStyle w:val="BodyText"/>
      </w:pPr>
      <w:r>
        <w:rPr>
          <w:b/>
          <w:bCs/>
        </w:rPr>
        <w:t xml:space="preserve">Core technology model: Binary logit.</w:t>
      </w:r>
      <w:r>
        <w:t xml:space="preserve"> </w:t>
      </w:r>
      <w:r>
        <w:t xml:space="preserve">Because the core technologies are bonding symbols, process-only applications cannot, by definition, contain them. The core technology model is therefore a binary logit estimated on the 763 applications carrying H01L24 symbols (425 integrated and 338 bonding-only), with integrated status as the dependent variable. The model analyzes which of the applications carrying bonding symbols also carry fabrication-process symbols, and it uses the same sample as the alternative-exclusion sensitivity analysis in Appendix A. The model is log[P/(1 − P)] = β₀ + β₁·core + Σδ</w:t>
      </w:r>
      <w:r>
        <w:rPr>
          <w:vertAlign w:val="subscript"/>
        </w:rPr>
        <w:t xml:space="preserve">t</w:t>
      </w:r>
      <w:r>
        <w:t xml:space="preserve">·period</w:t>
      </w:r>
      <w:r>
        <w:rPr>
          <w:vertAlign w:val="subscript"/>
        </w:rPr>
        <w:t xml:space="preserve">t</w:t>
      </w:r>
      <w:r>
        <w:t xml:space="preserve"> </w:t>
      </w:r>
      <w:r>
        <w:t xml:space="preserve">+ Σθ</w:t>
      </w:r>
      <w:r>
        <w:rPr>
          <w:vertAlign w:val="subscript"/>
        </w:rPr>
        <w:t xml:space="preserve">t</w:t>
      </w:r>
      <w:r>
        <w:t xml:space="preserve">·(core × period</w:t>
      </w:r>
      <w:r>
        <w:rPr>
          <w:vertAlign w:val="subscript"/>
        </w:rPr>
        <w:t xml:space="preserve">t</w:t>
      </w:r>
      <w:r>
        <w:t xml:space="preserve">) + Σγ</w:t>
      </w:r>
      <w:r>
        <w:rPr>
          <w:vertAlign w:val="subscript"/>
        </w:rPr>
        <w:t xml:space="preserve">k</w:t>
      </w:r>
      <w:r>
        <w:t xml:space="preserve">·ccode</w:t>
      </w:r>
      <w:r>
        <w:rPr>
          <w:vertAlign w:val="subscript"/>
        </w:rPr>
        <w:t xml:space="preserve">k</w:t>
      </w:r>
      <w:r>
        <w:t xml:space="preserve">. The odds ratio of the core technologies is exp(β₁) for applications filed in 1968–2014 and exp(β₁ + θ</w:t>
      </w:r>
      <w:r>
        <w:rPr>
          <w:vertAlign w:val="subscript"/>
        </w:rPr>
        <w:t xml:space="preserve">t</w:t>
      </w:r>
      <w:r>
        <w:t xml:space="preserve">) for 2015–2019 and 2020–2024, and exp(θ</w:t>
      </w:r>
      <w:r>
        <w:rPr>
          <w:vertAlign w:val="subscript"/>
        </w:rPr>
        <w:t xml:space="preserve">t</w:t>
      </w:r>
      <w:r>
        <w:t xml:space="preserve">) is the ratio of the odds ratio in each period to that in 1968–2014. If applications containing the core technologies initially had an integrated-type advantage that later diminished, exp(β₁) would exceed 1 and θ</w:t>
      </w:r>
      <w:r>
        <w:rPr>
          <w:vertAlign w:val="subscript"/>
        </w:rPr>
        <w:t xml:space="preserve">t</w:t>
      </w:r>
      <w:r>
        <w:t xml:space="preserve"> </w:t>
      </w:r>
      <w:r>
        <w:t xml:space="preserve">would be negative. The 95% confidence intervals of the period-specific odds ratios are calculated from the standard error of the sum of the two coefficients, and the standard errors are estimated to be robust to heteroskedasticity. Filing year is divided into three periods rather than entered linearly in order to approximate the stages of the technology cycle (Lee et al., 2017). The results of controlling for the number of bonding symbols other than the core symbols are presented in Section 5.4.</w:t>
      </w:r>
    </w:p>
    <w:p>
      <w:pPr>
        <w:pStyle w:val="BodyText"/>
      </w:pPr>
      <w:r>
        <w:rPr>
          <w:b/>
          <w:bCs/>
        </w:rPr>
        <w:t xml:space="preserve">Supplementary indicators of convergence.</w:t>
      </w:r>
      <w:r>
        <w:t xml:space="preserve"> </w:t>
      </w:r>
      <w:r>
        <w:t xml:space="preserve">To examine shifts in the center of convergence at a broader level than individual symbols, two indicators are calculated for each period. First, the extent to which each of the three fabrication-process domains of Section 4.2 (wafer fabrication, processing apparatus, and packaging-stage processes) is assigned to the same application as bonding symbols (H01L24), that is, their coupling strength, is measured with the Jaccard coefficient (Jaccard, 1912). The Jaccard coefficient is the number of applications carrying symbols of both domains divided by the number of applications carrying symbols of either; unlike a simple co-occurrence frequency, it corrects for differences in the number of applications across domains. Second, period-specific technology networks are constructed in the same way as the regression data network of Section 4.4; symbols with a large connection strength are regarded as hubs that are most frequently assigned together with other symbols, and symbols with high betweenness centrality are regarded as linking symbols that connect different symbols. Betweenness centrality is the extent to which a symbol lies on the shortest paths between other pairs of symbols (Freeman, 1977) and is calculated without considering link weights.</w:t>
      </w:r>
    </w:p>
    <w:p>
      <w:pPr>
        <w:pStyle w:val="BodyText"/>
      </w:pPr>
      <w:r>
        <w:rPr>
          <w:b/>
          <w:bCs/>
        </w:rPr>
        <w:t xml:space="preserve">Predicted probabilities.</w:t>
      </w:r>
      <w:r>
        <w:t xml:space="preserve"> </w:t>
      </w:r>
      <w:r>
        <w:t xml:space="preserve">Because ORs and RRRs are ratio measures, they do not convey intuitively the magnitude of actual changes in probability. For the multinomial logit, average predicted probabilities are therefore also presented; these are obtained by varying only the explanatory variable of interest (technological scope or filing year) while holding the other variables at each application’s observed values and averaging over the whole sample (Sections 5.1 and 5.2). For the core technology model, the share of integrated applications by period and by the presence of the core technologies is also presented (Section 5.3).</w:t>
      </w:r>
    </w:p>
    <w:p>
      <w:pPr>
        <w:pStyle w:val="BodyText"/>
      </w:pPr>
      <w:r>
        <w:rPr>
          <w:b/>
          <w:bCs/>
        </w:rPr>
        <w:t xml:space="preserve">Robustness and principles of interpretation.</w:t>
      </w:r>
      <w:r>
        <w:t xml:space="preserve"> </w:t>
      </w:r>
      <w:r>
        <w:t xml:space="preserve">Four alternative specifications address specific concerns: the</w:t>
      </w:r>
      <w:r>
        <w:t xml:space="preserve"> </w:t>
      </w:r>
      <w:r>
        <w:rPr>
          <w:i/>
          <w:iCs/>
        </w:rPr>
        <w:t xml:space="preserve">hybrid bonding</w:t>
      </w:r>
      <w:r>
        <w:t xml:space="preserve"> </w:t>
      </w:r>
      <w:r>
        <w:t xml:space="preserve">sample checks whether the results depend on the broad sample that includes precursor technologies; the sample excluding irrelevant uses, whether other meanings of the search terms distort the results; the narrow fabrication-process definition, whether the results are sensitive to how the boundary of H01L21 is drawn; and the same-title deduplicated sample, the influence of repeated or similar inventions. For the core technology model, a model that controls for the number of bonding symbols other than the core symbols and a definition that restricts the core technologies to the most strongly linked pair of core symbols (24/08 and 24/80) are added. The</w:t>
      </w:r>
      <w:r>
        <w:t xml:space="preserve"> </w:t>
      </w:r>
      <w:r>
        <w:rPr>
          <w:i/>
          <w:iCs/>
        </w:rPr>
        <w:t xml:space="preserve">hybrid bonding</w:t>
      </w:r>
      <w:r>
        <w:t xml:space="preserve"> </w:t>
      </w:r>
      <w:r>
        <w:t xml:space="preserve">sample is not used for the core technology model because it contains only 12 bonding applications without the core technologies up to 2019. To address the possibility that observations are not independent because applications with the same title recur at several offices, significance is recalculated with cluster-robust standard errors that treat each title as a cluster; in this approach, the coefficients are unchanged, and only the standard errors differ. Regarding the independence of irrelevant alternatives (IIA) assumed by the multinomial logit, Appendix A presents, instead of a formal test, an alternative-exclusion sensitivity analysis that excludes the process-only type, estimates a binary logit of integrated versus bonding-only, and checks whether the substantive interpretation holds. The results are interpreted at the 5% significance level, but not on the basis of a single p-value alone; rather, the consistency of the direction, effect size, and significance of the coefficients across the baseline model, the alternative samples and definitions, and the clustered standard errors is assessed comprehensively. A p-value of 0.05 or greater does not prove the absence of an effect but indicates a lack of clear evidence at the 5% level, and 95% confidence intervals (CIs) are presented for the key effect ratios. All coefficients are interpreted not as causal effects but as conditional associations that control for the observed variables.</w:t>
      </w:r>
    </w:p>
    <w:bookmarkEnd w:id="35"/>
    <w:bookmarkEnd w:id="36"/>
    <w:bookmarkStart w:id="47" w:name="results"/>
    <w:p>
      <w:pPr>
        <w:pStyle w:val="Heading2"/>
      </w:pPr>
      <w:r>
        <w:t xml:space="preserve">5. Results</w:t>
      </w:r>
    </w:p>
    <w:p>
      <w:pPr>
        <w:pStyle w:val="FirstParagraph"/>
      </w:pPr>
      <w:r>
        <w:t xml:space="preserve">This section presents the results in the order of the three research questions (Sections 5.1–5.3) and tests their robustness in Section 5.4.</w:t>
      </w:r>
    </w:p>
    <w:bookmarkStart w:id="40" w:name="Xd727a7326cb1bbe950c917b99ca0d276632cbb0"/>
    <w:p>
      <w:pPr>
        <w:pStyle w:val="Heading3"/>
      </w:pPr>
      <w:r>
        <w:t xml:space="preserve">5.1 Level and types of technology convergence (RQ1)</w:t>
      </w:r>
    </w:p>
    <w:p>
      <w:pPr>
        <w:pStyle w:val="FirstParagraph"/>
      </w:pPr>
      <w:r>
        <w:t xml:space="preserve">This subsection first examines to what extent cross-stage convergence occurs and what forms it takes. Of all 928 applications, the integrated type accounted for the largest share, with 425 applications (45.8%), and it still accounted for 37.2% of the 908 applications under the narrow definition that excludes packaging-stage processes from fabrication processes (Section 5.4). In other words, the convergence of the two process stages is not an exceptional phenomenon in patents related to hybrid bonding.</w:t>
      </w:r>
    </w:p>
    <w:p>
      <w:pPr>
        <w:pStyle w:val="BodyText"/>
      </w:pPr>
      <w:r>
        <w:t xml:space="preserve">To identify the patents in which this convergence appears, Table 7 first presents the results of a binary logit of whether an application carries fabrication-process symbols (H01L21). Technological scope showed a strong positive association with carrying fabrication-process symbols: each additional CPC subgroup increased the odds of carrying a fabrication-process symbol by about 27% (OR 1.267, p &lt; 0.01). The area under the receiver operating characteristic (ROC) curve (AUC), an indicator of the model’s discriminatory power, is 0.707, at the lower end of the acceptable range according to the criteria of Hosmer et al. (2013). The coefficient of filing year is discussed in Section 5.2.</w:t>
      </w:r>
    </w:p>
    <w:p>
      <w:pPr>
        <w:pStyle w:val="BodyText"/>
        <w:keepNext/>
      </w:pPr>
      <w:r>
        <w:rPr>
          <w:b/>
          <w:bCs/>
          <w:sz w:val="20"/>
          <w:szCs w:val="20"/>
        </w:rPr>
        <w:t xml:space="preserve">Table 7.</w:t>
      </w:r>
      <w:r>
        <w:rPr>
          <w:sz w:val="20"/>
          <w:szCs w:val="20"/>
        </w:rPr>
        <w:t xml:space="preserve"> </w:t>
      </w:r>
      <w:r>
        <w:rPr>
          <w:sz w:val="20"/>
          <w:szCs w:val="20"/>
        </w:rPr>
        <w:t xml:space="preserve">Binary logit of fabrication-process classification (dependent variable has_process; N = 928; seven filing office dummies included (coefficients omitted); log-likelihood −547.6; likelihood ratio χ²(9) = 122.0, p &lt; 0.001; McFadden pseudo-R² = 0.100; Akaike information criterion (AIC) 1,115.1; AUC 0.707; standard errors (SEs) of the logit coefficients in parentheses;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888"/>
        <w:gridCol w:w="1204"/>
        <w:gridCol w:w="2016"/>
        <w:gridCol w:w="960"/>
      </w:tblGrid>
      <w:tr>
        <w:trPr>
          <w:tblHeader w:val="on"/>
          <w:cantSplit/>
        </w:trPr>
        <w:tc>
          <w:tcPr>
            <w:tcW w:type="dxa" w:w="4888"/>
            <w:tcBorders>
              <w:bottom w:val="single" w:sz="4" w:space="0" w:color="000000"/>
            </w:tcBorders>
          </w:tcPr>
          <w:p>
            <w:pPr>
              <w:pStyle w:val="Compact"/>
              <w:spacing w:before="20" w:after="20" w:line="240" w:lineRule="auto"/>
              <w:keepNext/>
            </w:pPr>
          </w:p>
        </w:tc>
        <w:tc>
          <w:tcPr>
            <w:tcW w:type="dxa" w:w="1204"/>
            <w:tcBorders>
              <w:bottom w:val="single" w:sz="4" w:space="0" w:color="000000"/>
            </w:tcBorders>
          </w:tcPr>
          <w:p>
            <w:pPr>
              <w:pStyle w:val="Compact"/>
              <w:spacing w:before="20" w:after="20" w:line="240" w:lineRule="auto"/>
              <w:jc w:val="center"/>
              <w:keepNext/>
            </w:pPr>
            <w:r>
              <w:rPr>
                <w:sz w:val="18"/>
                <w:szCs w:val="18"/>
              </w:rPr>
              <w:t xml:space="preserve">Odds ratio</w:t>
            </w:r>
          </w:p>
        </w:tc>
        <w:tc>
          <w:tcPr>
            <w:tcW w:type="dxa" w:w="2016"/>
            <w:tcBorders>
              <w:bottom w:val="single" w:sz="4" w:space="0" w:color="000000"/>
            </w:tcBorders>
          </w:tcPr>
          <w:p>
            <w:pPr>
              <w:pStyle w:val="Compact"/>
              <w:spacing w:before="20" w:after="20" w:line="240" w:lineRule="auto"/>
              <w:jc w:val="center"/>
              <w:keepNext/>
            </w:pPr>
            <w:r>
              <w:rPr>
                <w:sz w:val="18"/>
                <w:szCs w:val="18"/>
              </w:rPr>
              <w:t xml:space="preserve">SE (logit coefficient)</w:t>
            </w:r>
          </w:p>
        </w:tc>
        <w:tc>
          <w:tcPr>
            <w:tcW w:type="dxa" w:w="960"/>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4888"/>
          </w:tcPr>
          <w:p>
            <w:pPr>
              <w:pStyle w:val="Compact"/>
              <w:spacing w:before="20" w:after="20" w:line="240" w:lineRule="auto"/>
              <w:keepNext/>
            </w:pPr>
            <w:r>
              <w:rPr>
                <w:sz w:val="18"/>
                <w:szCs w:val="18"/>
              </w:rPr>
              <w:t xml:space="preserve">Technological scope (breadth)</w:t>
            </w:r>
          </w:p>
        </w:tc>
        <w:tc>
          <w:tcPr>
            <w:tcW w:type="dxa" w:w="1204"/>
          </w:tcPr>
          <w:p>
            <w:pPr>
              <w:pStyle w:val="Compact"/>
              <w:spacing w:before="20" w:after="20" w:line="240" w:lineRule="auto"/>
              <w:jc w:val="center"/>
              <w:keepNext/>
            </w:pPr>
            <w:r>
              <w:rPr>
                <w:sz w:val="18"/>
                <w:szCs w:val="18"/>
              </w:rPr>
              <w:t xml:space="preserve">1.267***</w:t>
            </w:r>
          </w:p>
        </w:tc>
        <w:tc>
          <w:tcPr>
            <w:tcW w:type="dxa" w:w="2016"/>
          </w:tcPr>
          <w:p>
            <w:pPr>
              <w:pStyle w:val="Compact"/>
              <w:spacing w:before="20" w:after="20" w:line="240" w:lineRule="auto"/>
              <w:jc w:val="center"/>
              <w:keepNext/>
            </w:pPr>
            <w:r>
              <w:rPr>
                <w:sz w:val="18"/>
                <w:szCs w:val="18"/>
              </w:rPr>
              <w:t xml:space="preserve">(0.027)</w:t>
            </w:r>
          </w:p>
        </w:tc>
        <w:tc>
          <w:tcPr>
            <w:tcW w:type="dxa" w:w="960"/>
          </w:tcPr>
          <w:p>
            <w:pPr>
              <w:pStyle w:val="Compact"/>
              <w:spacing w:before="20" w:after="20" w:line="240" w:lineRule="auto"/>
              <w:jc w:val="center"/>
              <w:keepNext/>
            </w:pPr>
            <w:r>
              <w:rPr>
                <w:sz w:val="18"/>
                <w:szCs w:val="18"/>
              </w:rPr>
              <w:t xml:space="preserve">&lt;0.001</w:t>
            </w:r>
          </w:p>
        </w:tc>
      </w:tr>
      <w:tr>
        <w:trPr>
          <w:cantSplit/>
        </w:trPr>
        <w:tc>
          <w:tcPr>
            <w:tcW w:type="dxa" w:w="4888"/>
          </w:tcPr>
          <w:p>
            <w:pPr>
              <w:pStyle w:val="Compact"/>
              <w:spacing w:before="20" w:after="20" w:line="240" w:lineRule="auto"/>
              <w:keepNext/>
            </w:pPr>
            <w:r>
              <w:rPr>
                <w:sz w:val="18"/>
                <w:szCs w:val="18"/>
              </w:rPr>
              <w:t xml:space="preserve">Filing year (yc)</w:t>
            </w:r>
          </w:p>
        </w:tc>
        <w:tc>
          <w:tcPr>
            <w:tcW w:type="dxa" w:w="1204"/>
          </w:tcPr>
          <w:p>
            <w:pPr>
              <w:pStyle w:val="Compact"/>
              <w:spacing w:before="20" w:after="20" w:line="240" w:lineRule="auto"/>
              <w:jc w:val="center"/>
              <w:keepNext/>
            </w:pPr>
            <w:r>
              <w:rPr>
                <w:sz w:val="18"/>
                <w:szCs w:val="18"/>
              </w:rPr>
              <w:t xml:space="preserve">0.946***</w:t>
            </w:r>
          </w:p>
        </w:tc>
        <w:tc>
          <w:tcPr>
            <w:tcW w:type="dxa" w:w="2016"/>
          </w:tcPr>
          <w:p>
            <w:pPr>
              <w:pStyle w:val="Compact"/>
              <w:spacing w:before="20" w:after="20" w:line="240" w:lineRule="auto"/>
              <w:jc w:val="center"/>
              <w:keepNext/>
            </w:pPr>
            <w:r>
              <w:rPr>
                <w:sz w:val="18"/>
                <w:szCs w:val="18"/>
              </w:rPr>
              <w:t xml:space="preserve">(0.011)</w:t>
            </w:r>
          </w:p>
        </w:tc>
        <w:tc>
          <w:tcPr>
            <w:tcW w:type="dxa" w:w="960"/>
          </w:tcPr>
          <w:p>
            <w:pPr>
              <w:pStyle w:val="Compact"/>
              <w:spacing w:before="20" w:after="20" w:line="240" w:lineRule="auto"/>
              <w:jc w:val="center"/>
              <w:keepNext/>
            </w:pPr>
            <w:r>
              <w:rPr>
                <w:sz w:val="18"/>
                <w:szCs w:val="18"/>
              </w:rPr>
              <w:t xml:space="preserve">&lt;0.001</w:t>
            </w:r>
          </w:p>
        </w:tc>
      </w:tr>
    </w:tbl>
    <w:p>
      <w:pPr>
        <w:pStyle w:val="BodyText"/>
      </w:pPr>
      <w:r>
        <w:t xml:space="preserve">Next, Table 8 reports the results of the multinomial logit as relative risk ratios of the integrated and process-only types, with bonding-only as the base category; this is the main analysis of which patents cross the boundary. Figure 5 shows the predicted probabilities of the three types from this model as technological scope and filing year vary (with the other variables held at each application’s observed values and then averaged).</w:t>
      </w:r>
    </w:p>
    <w:p>
      <w:pPr>
        <w:pStyle w:val="BodyText"/>
      </w:pPr>
      <w:r>
        <w:rPr>
          <w:b/>
          <w:bCs/>
        </w:rPr>
        <w:t xml:space="preserve">Applications that include more diverse technical elements (CPC subgroups) in the fabrication-process and bonding domains were more likely to be integrated.</w:t>
      </w:r>
      <w:r>
        <w:t xml:space="preserve"> </w:t>
      </w:r>
      <w:r>
        <w:t xml:space="preserve">With each additional CPC subgroup, the relative risk of being integrated rather than bonding-only increased by about 40% (RRR 1.403, p &lt; 0.01), and that of being process-only decreased by about 10% (RRR 0.905, p &lt; 0.05). Substantively, the predicted probabilities for an application with a technological scope of 3 are 0.26 for integrated, 0.50 for bonding-only, and 0.24 for process-only, whereas those for an application with a technological scope of 8 are 0.68 for integrated, 0.24 for bonding-only, and 0.08 for process-only (Figure 5, left). In other words, applications with a broad scope tend to span the two domains, and those with a narrow scope tend to remain within one domain. This reflects a compositional characteristic: integrated patents contain more CPC subgroups within the two classes.</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en_v64.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Figure 5.</w:t>
      </w:r>
      <w:r>
        <w:rPr>
          <w:sz w:val="20"/>
          <w:szCs w:val="20"/>
        </w:rPr>
        <w:t xml:space="preserve"> </w:t>
      </w:r>
      <w:r>
        <w:rPr>
          <w:sz w:val="20"/>
          <w:szCs w:val="20"/>
        </w:rPr>
        <w:t xml:space="preserve">Predicted probabilities of the co-classification types by technological scope (left) and filing year (right) (multinomial logit; other variables held at each application’s observed values and then averaged).</w:t>
      </w:r>
    </w:p>
    <w:p>
      <w:pPr>
        <w:pStyle w:val="BodyText"/>
        <w:keepNext/>
      </w:pPr>
      <w:r>
        <w:rPr>
          <w:b/>
          <w:bCs/>
          <w:sz w:val="20"/>
          <w:szCs w:val="20"/>
        </w:rPr>
        <w:t xml:space="preserve">Table 8.</w:t>
      </w:r>
      <w:r>
        <w:rPr>
          <w:sz w:val="20"/>
          <w:szCs w:val="20"/>
        </w:rPr>
        <w:t xml:space="preserve"> </w:t>
      </w:r>
      <w:r>
        <w:rPr>
          <w:sz w:val="20"/>
          <w:szCs w:val="20"/>
        </w:rPr>
        <w:t xml:space="preserve">Multinomial logit of the co-classification type (base category = bonding-only; N = 928; seven filing office dummies included (coefficients omitted); log-likelihood −774.5; likelihood ratio χ²(18) = 367.4, p &lt; 0.001; McFadden pseudo-R² = 0.192; AIC 1,589.0; standard errors (SEs) of the logit coefficients in parentheses; * p &lt; 0.10, ** p &lt; 0.05, *** p &lt; 0.01).</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921"/>
        <w:gridCol w:w="1076"/>
        <w:gridCol w:w="1240"/>
        <w:gridCol w:w="663"/>
        <w:gridCol w:w="1270"/>
        <w:gridCol w:w="1240"/>
        <w:gridCol w:w="663"/>
      </w:tblGrid>
      <w:tr>
        <w:trPr>
          <w:tblHeader w:val="on"/>
          <w:cantSplit/>
        </w:trPr>
        <w:tc>
          <w:tcPr>
            <w:tcW w:type="dxa" w:w="2921"/>
            <w:tcBorders>
              <w:bottom w:val="single" w:sz="4" w:space="0" w:color="000000"/>
            </w:tcBorders>
          </w:tcPr>
          <w:p>
            <w:pPr>
              <w:pStyle w:val="Compact"/>
              <w:spacing w:before="20" w:after="20" w:line="240" w:lineRule="auto"/>
              <w:keepNext/>
            </w:pPr>
          </w:p>
        </w:tc>
        <w:tc>
          <w:tcPr>
            <w:tcW w:type="dxa" w:w="1076"/>
            <w:tcBorders>
              <w:bottom w:val="single" w:sz="4" w:space="0" w:color="000000"/>
            </w:tcBorders>
          </w:tcPr>
          <w:p>
            <w:pPr>
              <w:pStyle w:val="Compact"/>
              <w:spacing w:before="20" w:after="20" w:line="240" w:lineRule="auto"/>
              <w:jc w:val="center"/>
              <w:keepNext/>
            </w:pPr>
            <w:r>
              <w:rPr>
                <w:sz w:val="13"/>
                <w:szCs w:val="13"/>
              </w:rPr>
              <w:t xml:space="preserve">Integrated RRR</w:t>
            </w:r>
          </w:p>
        </w:tc>
        <w:tc>
          <w:tcPr>
            <w:tcW w:type="dxa" w:w="1240"/>
            <w:tcBorders>
              <w:bottom w:val="single" w:sz="4" w:space="0" w:color="000000"/>
            </w:tcBorders>
          </w:tcPr>
          <w:p>
            <w:pPr>
              <w:pStyle w:val="Compact"/>
              <w:spacing w:before="20" w:after="20" w:line="240" w:lineRule="auto"/>
              <w:jc w:val="center"/>
              <w:keepNext/>
            </w:pPr>
            <w:r>
              <w:rPr>
                <w:sz w:val="13"/>
                <w:szCs w:val="13"/>
              </w:rPr>
              <w:t xml:space="preserve">SE (logit coefficient)</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c>
          <w:tcPr>
            <w:tcW w:type="dxa" w:w="1270"/>
            <w:tcBorders>
              <w:bottom w:val="single" w:sz="4" w:space="0" w:color="000000"/>
            </w:tcBorders>
          </w:tcPr>
          <w:p>
            <w:pPr>
              <w:pStyle w:val="Compact"/>
              <w:spacing w:before="20" w:after="20" w:line="240" w:lineRule="auto"/>
              <w:jc w:val="center"/>
              <w:keepNext/>
            </w:pPr>
            <w:r>
              <w:rPr>
                <w:sz w:val="13"/>
                <w:szCs w:val="13"/>
              </w:rPr>
              <w:t xml:space="preserve">Process-only RRR</w:t>
            </w:r>
          </w:p>
        </w:tc>
        <w:tc>
          <w:tcPr>
            <w:tcW w:type="dxa" w:w="1240"/>
            <w:tcBorders>
              <w:bottom w:val="single" w:sz="4" w:space="0" w:color="000000"/>
            </w:tcBorders>
          </w:tcPr>
          <w:p>
            <w:pPr>
              <w:pStyle w:val="Compact"/>
              <w:spacing w:before="20" w:after="20" w:line="240" w:lineRule="auto"/>
              <w:jc w:val="center"/>
              <w:keepNext/>
            </w:pPr>
            <w:r>
              <w:rPr>
                <w:sz w:val="13"/>
                <w:szCs w:val="13"/>
              </w:rPr>
              <w:t xml:space="preserve">SE (logit coefficient)</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2921"/>
          </w:tcPr>
          <w:p>
            <w:pPr>
              <w:pStyle w:val="Compact"/>
              <w:spacing w:before="20" w:after="20" w:line="240" w:lineRule="auto"/>
              <w:keepNext/>
            </w:pPr>
            <w:r>
              <w:rPr>
                <w:sz w:val="13"/>
                <w:szCs w:val="13"/>
              </w:rPr>
              <w:t xml:space="preserve">Technological scope (breadth)</w:t>
            </w:r>
          </w:p>
        </w:tc>
        <w:tc>
          <w:tcPr>
            <w:tcW w:type="dxa" w:w="1076"/>
          </w:tcPr>
          <w:p>
            <w:pPr>
              <w:pStyle w:val="Compact"/>
              <w:spacing w:before="20" w:after="20" w:line="240" w:lineRule="auto"/>
              <w:jc w:val="center"/>
              <w:keepNext/>
            </w:pPr>
            <w:r>
              <w:rPr>
                <w:sz w:val="13"/>
                <w:szCs w:val="13"/>
              </w:rPr>
              <w:t xml:space="preserve">1.403***</w:t>
            </w:r>
          </w:p>
        </w:tc>
        <w:tc>
          <w:tcPr>
            <w:tcW w:type="dxa" w:w="1240"/>
          </w:tcPr>
          <w:p>
            <w:pPr>
              <w:pStyle w:val="Compact"/>
              <w:spacing w:before="20" w:after="20" w:line="240" w:lineRule="auto"/>
              <w:jc w:val="center"/>
              <w:keepNext/>
            </w:pPr>
            <w:r>
              <w:rPr>
                <w:sz w:val="13"/>
                <w:szCs w:val="13"/>
              </w:rPr>
              <w:t xml:space="preserve">(0.031)</w:t>
            </w:r>
          </w:p>
        </w:tc>
        <w:tc>
          <w:tcPr>
            <w:tcW w:type="dxa" w:w="663"/>
          </w:tcPr>
          <w:p>
            <w:pPr>
              <w:pStyle w:val="Compact"/>
              <w:spacing w:before="20" w:after="20" w:line="240" w:lineRule="auto"/>
              <w:jc w:val="center"/>
              <w:keepNext/>
            </w:pPr>
            <w:r>
              <w:rPr>
                <w:sz w:val="13"/>
                <w:szCs w:val="13"/>
              </w:rPr>
              <w:t xml:space="preserve">&lt;0.001</w:t>
            </w:r>
          </w:p>
        </w:tc>
        <w:tc>
          <w:tcPr>
            <w:tcW w:type="dxa" w:w="1270"/>
          </w:tcPr>
          <w:p>
            <w:pPr>
              <w:pStyle w:val="Compact"/>
              <w:spacing w:before="20" w:after="20" w:line="240" w:lineRule="auto"/>
              <w:jc w:val="center"/>
              <w:keepNext/>
            </w:pPr>
            <w:r>
              <w:rPr>
                <w:sz w:val="13"/>
                <w:szCs w:val="13"/>
              </w:rPr>
              <w:t xml:space="preserve">0.905**</w:t>
            </w:r>
          </w:p>
        </w:tc>
        <w:tc>
          <w:tcPr>
            <w:tcW w:type="dxa" w:w="1240"/>
          </w:tcPr>
          <w:p>
            <w:pPr>
              <w:pStyle w:val="Compact"/>
              <w:spacing w:before="20" w:after="20" w:line="240" w:lineRule="auto"/>
              <w:jc w:val="center"/>
              <w:keepNext/>
            </w:pPr>
            <w:r>
              <w:rPr>
                <w:sz w:val="13"/>
                <w:szCs w:val="13"/>
              </w:rPr>
              <w:t xml:space="preserve">(0.048)</w:t>
            </w:r>
          </w:p>
        </w:tc>
        <w:tc>
          <w:tcPr>
            <w:tcW w:type="dxa" w:w="663"/>
          </w:tcPr>
          <w:p>
            <w:pPr>
              <w:pStyle w:val="Compact"/>
              <w:spacing w:before="20" w:after="20" w:line="240" w:lineRule="auto"/>
              <w:jc w:val="center"/>
              <w:keepNext/>
            </w:pPr>
            <w:r>
              <w:rPr>
                <w:sz w:val="13"/>
                <w:szCs w:val="13"/>
              </w:rPr>
              <w:t xml:space="preserve">0.039</w:t>
            </w:r>
          </w:p>
        </w:tc>
      </w:tr>
      <w:tr>
        <w:trPr>
          <w:cantSplit/>
        </w:trPr>
        <w:tc>
          <w:tcPr>
            <w:tcW w:type="dxa" w:w="2921"/>
          </w:tcPr>
          <w:p>
            <w:pPr>
              <w:pStyle w:val="Compact"/>
              <w:spacing w:before="20" w:after="20" w:line="240" w:lineRule="auto"/>
              <w:keepNext/>
            </w:pPr>
            <w:r>
              <w:rPr>
                <w:sz w:val="13"/>
                <w:szCs w:val="13"/>
              </w:rPr>
              <w:t xml:space="preserve">Filing year (yc)</w:t>
            </w:r>
          </w:p>
        </w:tc>
        <w:tc>
          <w:tcPr>
            <w:tcW w:type="dxa" w:w="1076"/>
          </w:tcPr>
          <w:p>
            <w:pPr>
              <w:pStyle w:val="Compact"/>
              <w:spacing w:before="20" w:after="20" w:line="240" w:lineRule="auto"/>
              <w:jc w:val="center"/>
              <w:keepNext/>
            </w:pPr>
            <w:r>
              <w:rPr>
                <w:sz w:val="13"/>
                <w:szCs w:val="13"/>
              </w:rPr>
              <w:t xml:space="preserve">0.993</w:t>
            </w:r>
          </w:p>
        </w:tc>
        <w:tc>
          <w:tcPr>
            <w:tcW w:type="dxa" w:w="1240"/>
          </w:tcPr>
          <w:p>
            <w:pPr>
              <w:pStyle w:val="Compact"/>
              <w:spacing w:before="20" w:after="20" w:line="240" w:lineRule="auto"/>
              <w:jc w:val="center"/>
              <w:keepNext/>
            </w:pPr>
            <w:r>
              <w:rPr>
                <w:sz w:val="13"/>
                <w:szCs w:val="13"/>
              </w:rPr>
              <w:t xml:space="preserve">(0.015)</w:t>
            </w:r>
          </w:p>
        </w:tc>
        <w:tc>
          <w:tcPr>
            <w:tcW w:type="dxa" w:w="663"/>
          </w:tcPr>
          <w:p>
            <w:pPr>
              <w:pStyle w:val="Compact"/>
              <w:spacing w:before="20" w:after="20" w:line="240" w:lineRule="auto"/>
              <w:jc w:val="center"/>
              <w:keepNext/>
            </w:pPr>
            <w:r>
              <w:rPr>
                <w:sz w:val="13"/>
                <w:szCs w:val="13"/>
              </w:rPr>
              <w:t xml:space="preserve">0.654</w:t>
            </w:r>
          </w:p>
        </w:tc>
        <w:tc>
          <w:tcPr>
            <w:tcW w:type="dxa" w:w="1270"/>
          </w:tcPr>
          <w:p>
            <w:pPr>
              <w:pStyle w:val="Compact"/>
              <w:spacing w:before="20" w:after="20" w:line="240" w:lineRule="auto"/>
              <w:jc w:val="center"/>
              <w:keepNext/>
            </w:pPr>
            <w:r>
              <w:rPr>
                <w:sz w:val="13"/>
                <w:szCs w:val="13"/>
              </w:rPr>
              <w:t xml:space="preserve">0.913***</w:t>
            </w:r>
          </w:p>
        </w:tc>
        <w:tc>
          <w:tcPr>
            <w:tcW w:type="dxa" w:w="1240"/>
          </w:tcPr>
          <w:p>
            <w:pPr>
              <w:pStyle w:val="Compact"/>
              <w:spacing w:before="20" w:after="20" w:line="240" w:lineRule="auto"/>
              <w:jc w:val="center"/>
              <w:keepNext/>
            </w:pPr>
            <w:r>
              <w:rPr>
                <w:sz w:val="13"/>
                <w:szCs w:val="13"/>
              </w:rPr>
              <w:t xml:space="preserve">(0.015)</w:t>
            </w:r>
          </w:p>
        </w:tc>
        <w:tc>
          <w:tcPr>
            <w:tcW w:type="dxa" w:w="663"/>
          </w:tcPr>
          <w:p>
            <w:pPr>
              <w:pStyle w:val="Compact"/>
              <w:spacing w:before="20" w:after="20" w:line="240" w:lineRule="auto"/>
              <w:jc w:val="center"/>
              <w:keepNext/>
            </w:pPr>
            <w:r>
              <w:rPr>
                <w:sz w:val="13"/>
                <w:szCs w:val="13"/>
              </w:rPr>
              <w:t xml:space="preserve">&lt;0.001</w:t>
            </w:r>
          </w:p>
        </w:tc>
      </w:tr>
    </w:tbl>
    <w:bookmarkEnd w:id="40"/>
    <w:bookmarkStart w:id="44" w:name="Xc34b45c0abd4be9e5ae9180a963e38a9406b418"/>
    <w:p>
      <w:pPr>
        <w:pStyle w:val="Heading3"/>
      </w:pPr>
      <w:r>
        <w:t xml:space="preserve">5.2 Temporal change in technology convergence (RQ2)</w:t>
      </w:r>
    </w:p>
    <w:p>
      <w:pPr>
        <w:pStyle w:val="FirstParagraph"/>
      </w:pPr>
      <w:r>
        <w:t xml:space="preserve">The level of convergence identified in Section 5.1 differed considerably over time. Table 9 and Figure 6 show the distribution of types across three periods defined in light of the concentration of filings. The years 1968–2014 were grouped into a single period because filings were so sparse that the 47 years produced fewer applications (179) than the following five years (209), and the years from 2015 onward were divided into five-year periods, 2015–2019 and 2020–2024. The share of process-only applications declined steadily from 43.6% in 1968–2014 to 14.8% in 2015–2019 and 10.4% in 2020–2024. The integrated share rose sharply from 31.3% to 62.2% and then fell to 44.3%, whereas the bonding-only share, 25.1% and 23.0% in the first two periods, rose to 45.4%. This evolution of convergence can be interpreted as consisting of three phases. Up to 2014, process-only applications were the most common; in 2015–2019, the integrated share peaked at 62.2%, and the technologies of the two process stages were most often included together in a single invention. In 2020–2024, the integrated share declined, and the bonding-only share (45.4%) rose to a level similar to that of the integrated type (44.3%). Hereafter, the three phases are referred to as the formation phase, the diffusion phase, and the reconfiguration phase, respectively.</w:t>
      </w:r>
    </w:p>
    <w:p>
      <w:pPr>
        <w:pStyle w:val="BodyText"/>
        <w:keepNext/>
      </w:pPr>
      <w:r>
        <w:rPr>
          <w:b/>
          <w:bCs/>
          <w:sz w:val="20"/>
          <w:szCs w:val="20"/>
        </w:rPr>
        <w:t xml:space="preserve">Table 9.</w:t>
      </w:r>
      <w:r>
        <w:rPr>
          <w:sz w:val="20"/>
          <w:szCs w:val="20"/>
        </w:rPr>
        <w:t xml:space="preserve"> </w:t>
      </w:r>
      <w:r>
        <w:rPr>
          <w:sz w:val="20"/>
          <w:szCs w:val="20"/>
        </w:rPr>
        <w:t xml:space="preserve">Distribution of co-classification types in the three filing periods (N = 928; row shares in parentheses; the first period, 1968–2014, is longer than the two later periods).</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82"/>
        <w:gridCol w:w="1569"/>
        <w:gridCol w:w="1312"/>
        <w:gridCol w:w="1569"/>
        <w:gridCol w:w="461"/>
        <w:gridCol w:w="2979"/>
      </w:tblGrid>
      <w:tr>
        <w:trPr>
          <w:tblHeader w:val="on"/>
          <w:cantSplit/>
        </w:trPr>
        <w:tc>
          <w:tcPr>
            <w:tcW w:type="dxa" w:w="1182"/>
            <w:tcBorders>
              <w:bottom w:val="single" w:sz="4" w:space="0" w:color="000000"/>
            </w:tcBorders>
          </w:tcPr>
          <w:p>
            <w:pPr>
              <w:pStyle w:val="Compact"/>
              <w:spacing w:before="20" w:after="20" w:line="240" w:lineRule="auto"/>
              <w:keepNext/>
            </w:pPr>
            <w:r>
              <w:rPr>
                <w:sz w:val="13"/>
                <w:szCs w:val="13"/>
              </w:rPr>
              <w:t xml:space="preserve">Filing period</w:t>
            </w:r>
          </w:p>
        </w:tc>
        <w:tc>
          <w:tcPr>
            <w:tcW w:type="dxa" w:w="1569"/>
            <w:tcBorders>
              <w:bottom w:val="single" w:sz="4" w:space="0" w:color="000000"/>
            </w:tcBorders>
          </w:tcPr>
          <w:p>
            <w:pPr>
              <w:pStyle w:val="Compact"/>
              <w:spacing w:before="20" w:after="20" w:line="240" w:lineRule="auto"/>
              <w:keepNext/>
            </w:pPr>
            <w:r>
              <w:rPr>
                <w:sz w:val="13"/>
                <w:szCs w:val="13"/>
              </w:rPr>
              <w:t xml:space="preserve">Bonding-only</w:t>
            </w:r>
          </w:p>
        </w:tc>
        <w:tc>
          <w:tcPr>
            <w:tcW w:type="dxa" w:w="1312"/>
            <w:tcBorders>
              <w:bottom w:val="single" w:sz="4" w:space="0" w:color="000000"/>
            </w:tcBorders>
          </w:tcPr>
          <w:p>
            <w:pPr>
              <w:pStyle w:val="Compact"/>
              <w:spacing w:before="20" w:after="20" w:line="240" w:lineRule="auto"/>
              <w:keepNext/>
            </w:pPr>
            <w:r>
              <w:rPr>
                <w:sz w:val="13"/>
                <w:szCs w:val="13"/>
              </w:rPr>
              <w:t xml:space="preserve">Integrated</w:t>
            </w:r>
          </w:p>
        </w:tc>
        <w:tc>
          <w:tcPr>
            <w:tcW w:type="dxa" w:w="1569"/>
            <w:tcBorders>
              <w:bottom w:val="single" w:sz="4" w:space="0" w:color="000000"/>
            </w:tcBorders>
          </w:tcPr>
          <w:p>
            <w:pPr>
              <w:pStyle w:val="Compact"/>
              <w:spacing w:before="20" w:after="20" w:line="240" w:lineRule="auto"/>
              <w:keepNext/>
            </w:pPr>
            <w:r>
              <w:rPr>
                <w:sz w:val="13"/>
                <w:szCs w:val="13"/>
              </w:rPr>
              <w:t xml:space="preserve">Process-only</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2979"/>
            <w:tcBorders>
              <w:bottom w:val="single" w:sz="4" w:space="0" w:color="000000"/>
            </w:tcBorders>
          </w:tcPr>
          <w:p>
            <w:pPr>
              <w:pStyle w:val="Compact"/>
              <w:spacing w:before="20" w:after="20" w:line="240" w:lineRule="auto"/>
              <w:jc w:val="right"/>
              <w:keepNext/>
            </w:pPr>
            <w:r>
              <w:rPr>
                <w:sz w:val="13"/>
                <w:szCs w:val="13"/>
              </w:rPr>
              <w:t xml:space="preserve">With fabrication-process classification (%)</w:t>
            </w:r>
          </w:p>
        </w:tc>
      </w:tr>
      <w:tr>
        <w:trPr>
          <w:cantSplit/>
        </w:trPr>
        <w:tc>
          <w:tcPr>
            <w:tcW w:type="dxa" w:w="1182"/>
          </w:tcPr>
          <w:p>
            <w:pPr>
              <w:pStyle w:val="Compact"/>
              <w:spacing w:before="20" w:after="20" w:line="240" w:lineRule="auto"/>
              <w:keepNext/>
            </w:pPr>
            <w:r>
              <w:rPr>
                <w:sz w:val="13"/>
                <w:szCs w:val="13"/>
              </w:rPr>
              <w:t xml:space="preserve">1968–2014</w:t>
            </w:r>
          </w:p>
        </w:tc>
        <w:tc>
          <w:tcPr>
            <w:tcW w:type="dxa" w:w="1569"/>
          </w:tcPr>
          <w:p>
            <w:pPr>
              <w:pStyle w:val="Compact"/>
              <w:spacing w:before="20" w:after="20" w:line="240" w:lineRule="auto"/>
              <w:keepNext/>
            </w:pPr>
            <w:r>
              <w:rPr>
                <w:sz w:val="13"/>
                <w:szCs w:val="13"/>
              </w:rPr>
              <w:t xml:space="preserve">45 (25.1%)</w:t>
            </w:r>
          </w:p>
        </w:tc>
        <w:tc>
          <w:tcPr>
            <w:tcW w:type="dxa" w:w="1312"/>
          </w:tcPr>
          <w:p>
            <w:pPr>
              <w:pStyle w:val="Compact"/>
              <w:spacing w:before="20" w:after="20" w:line="240" w:lineRule="auto"/>
              <w:keepNext/>
            </w:pPr>
            <w:r>
              <w:rPr>
                <w:sz w:val="13"/>
                <w:szCs w:val="13"/>
              </w:rPr>
              <w:t xml:space="preserve">56 (31.3%)</w:t>
            </w:r>
          </w:p>
        </w:tc>
        <w:tc>
          <w:tcPr>
            <w:tcW w:type="dxa" w:w="1569"/>
          </w:tcPr>
          <w:p>
            <w:pPr>
              <w:pStyle w:val="Compact"/>
              <w:spacing w:before="20" w:after="20" w:line="240" w:lineRule="auto"/>
              <w:keepNext/>
            </w:pPr>
            <w:r>
              <w:rPr>
                <w:sz w:val="13"/>
                <w:szCs w:val="13"/>
              </w:rPr>
              <w:t xml:space="preserve">78 (43.6%)</w:t>
            </w:r>
          </w:p>
        </w:tc>
        <w:tc>
          <w:tcPr>
            <w:tcW w:type="dxa" w:w="461"/>
          </w:tcPr>
          <w:p>
            <w:pPr>
              <w:pStyle w:val="Compact"/>
              <w:spacing w:before="20" w:after="20" w:line="240" w:lineRule="auto"/>
              <w:jc w:val="right"/>
              <w:keepNext/>
            </w:pPr>
            <w:r>
              <w:rPr>
                <w:sz w:val="13"/>
                <w:szCs w:val="13"/>
              </w:rPr>
              <w:t xml:space="preserve">179</w:t>
            </w:r>
          </w:p>
        </w:tc>
        <w:tc>
          <w:tcPr>
            <w:tcW w:type="dxa" w:w="2979"/>
          </w:tcPr>
          <w:p>
            <w:pPr>
              <w:pStyle w:val="Compact"/>
              <w:spacing w:before="20" w:after="20" w:line="240" w:lineRule="auto"/>
              <w:jc w:val="right"/>
              <w:keepNext/>
            </w:pPr>
            <w:r>
              <w:rPr>
                <w:sz w:val="13"/>
                <w:szCs w:val="13"/>
              </w:rPr>
              <w:t xml:space="preserve">74.9</w:t>
            </w:r>
          </w:p>
        </w:tc>
      </w:tr>
      <w:tr>
        <w:trPr>
          <w:cantSplit/>
        </w:trPr>
        <w:tc>
          <w:tcPr>
            <w:tcW w:type="dxa" w:w="1182"/>
          </w:tcPr>
          <w:p>
            <w:pPr>
              <w:pStyle w:val="Compact"/>
              <w:spacing w:before="20" w:after="20" w:line="240" w:lineRule="auto"/>
              <w:keepNext/>
            </w:pPr>
            <w:r>
              <w:rPr>
                <w:sz w:val="13"/>
                <w:szCs w:val="13"/>
              </w:rPr>
              <w:t xml:space="preserve">2015–2019</w:t>
            </w:r>
          </w:p>
        </w:tc>
        <w:tc>
          <w:tcPr>
            <w:tcW w:type="dxa" w:w="1569"/>
          </w:tcPr>
          <w:p>
            <w:pPr>
              <w:pStyle w:val="Compact"/>
              <w:spacing w:before="20" w:after="20" w:line="240" w:lineRule="auto"/>
              <w:keepNext/>
            </w:pPr>
            <w:r>
              <w:rPr>
                <w:sz w:val="13"/>
                <w:szCs w:val="13"/>
              </w:rPr>
              <w:t xml:space="preserve">48 (23.0%)</w:t>
            </w:r>
          </w:p>
        </w:tc>
        <w:tc>
          <w:tcPr>
            <w:tcW w:type="dxa" w:w="1312"/>
          </w:tcPr>
          <w:p>
            <w:pPr>
              <w:pStyle w:val="Compact"/>
              <w:spacing w:before="20" w:after="20" w:line="240" w:lineRule="auto"/>
              <w:keepNext/>
            </w:pPr>
            <w:r>
              <w:rPr>
                <w:sz w:val="13"/>
                <w:szCs w:val="13"/>
              </w:rPr>
              <w:t xml:space="preserve">130 (62.2%)</w:t>
            </w:r>
          </w:p>
        </w:tc>
        <w:tc>
          <w:tcPr>
            <w:tcW w:type="dxa" w:w="1569"/>
          </w:tcPr>
          <w:p>
            <w:pPr>
              <w:pStyle w:val="Compact"/>
              <w:spacing w:before="20" w:after="20" w:line="240" w:lineRule="auto"/>
              <w:keepNext/>
            </w:pPr>
            <w:r>
              <w:rPr>
                <w:sz w:val="13"/>
                <w:szCs w:val="13"/>
              </w:rPr>
              <w:t xml:space="preserve">31 (14.8%)</w:t>
            </w:r>
          </w:p>
        </w:tc>
        <w:tc>
          <w:tcPr>
            <w:tcW w:type="dxa" w:w="461"/>
          </w:tcPr>
          <w:p>
            <w:pPr>
              <w:pStyle w:val="Compact"/>
              <w:spacing w:before="20" w:after="20" w:line="240" w:lineRule="auto"/>
              <w:jc w:val="right"/>
              <w:keepNext/>
            </w:pPr>
            <w:r>
              <w:rPr>
                <w:sz w:val="13"/>
                <w:szCs w:val="13"/>
              </w:rPr>
              <w:t xml:space="preserve">209</w:t>
            </w:r>
          </w:p>
        </w:tc>
        <w:tc>
          <w:tcPr>
            <w:tcW w:type="dxa" w:w="2979"/>
          </w:tcPr>
          <w:p>
            <w:pPr>
              <w:pStyle w:val="Compact"/>
              <w:spacing w:before="20" w:after="20" w:line="240" w:lineRule="auto"/>
              <w:jc w:val="right"/>
              <w:keepNext/>
            </w:pPr>
            <w:r>
              <w:rPr>
                <w:sz w:val="13"/>
                <w:szCs w:val="13"/>
              </w:rPr>
              <w:t xml:space="preserve">77.0</w:t>
            </w:r>
          </w:p>
        </w:tc>
      </w:tr>
      <w:tr>
        <w:trPr>
          <w:cantSplit/>
        </w:trPr>
        <w:tc>
          <w:tcPr>
            <w:tcW w:type="dxa" w:w="1182"/>
          </w:tcPr>
          <w:p>
            <w:pPr>
              <w:pStyle w:val="Compact"/>
              <w:spacing w:before="20" w:after="20" w:line="240" w:lineRule="auto"/>
              <w:keepNext/>
            </w:pPr>
            <w:r>
              <w:rPr>
                <w:sz w:val="13"/>
                <w:szCs w:val="13"/>
              </w:rPr>
              <w:t xml:space="preserve">2020–2024</w:t>
            </w:r>
          </w:p>
        </w:tc>
        <w:tc>
          <w:tcPr>
            <w:tcW w:type="dxa" w:w="1569"/>
          </w:tcPr>
          <w:p>
            <w:pPr>
              <w:pStyle w:val="Compact"/>
              <w:spacing w:before="20" w:after="20" w:line="240" w:lineRule="auto"/>
              <w:keepNext/>
            </w:pPr>
            <w:r>
              <w:rPr>
                <w:sz w:val="13"/>
                <w:szCs w:val="13"/>
              </w:rPr>
              <w:t xml:space="preserve">245 (45.4%)</w:t>
            </w:r>
          </w:p>
        </w:tc>
        <w:tc>
          <w:tcPr>
            <w:tcW w:type="dxa" w:w="1312"/>
          </w:tcPr>
          <w:p>
            <w:pPr>
              <w:pStyle w:val="Compact"/>
              <w:spacing w:before="20" w:after="20" w:line="240" w:lineRule="auto"/>
              <w:keepNext/>
            </w:pPr>
            <w:r>
              <w:rPr>
                <w:sz w:val="13"/>
                <w:szCs w:val="13"/>
              </w:rPr>
              <w:t xml:space="preserve">239 (44.3%)</w:t>
            </w:r>
          </w:p>
        </w:tc>
        <w:tc>
          <w:tcPr>
            <w:tcW w:type="dxa" w:w="1569"/>
          </w:tcPr>
          <w:p>
            <w:pPr>
              <w:pStyle w:val="Compact"/>
              <w:spacing w:before="20" w:after="20" w:line="240" w:lineRule="auto"/>
              <w:keepNext/>
            </w:pPr>
            <w:r>
              <w:rPr>
                <w:sz w:val="13"/>
                <w:szCs w:val="13"/>
              </w:rPr>
              <w:t xml:space="preserve">56 (10.4%)</w:t>
            </w:r>
          </w:p>
        </w:tc>
        <w:tc>
          <w:tcPr>
            <w:tcW w:type="dxa" w:w="461"/>
          </w:tcPr>
          <w:p>
            <w:pPr>
              <w:pStyle w:val="Compact"/>
              <w:spacing w:before="20" w:after="20" w:line="240" w:lineRule="auto"/>
              <w:jc w:val="right"/>
              <w:keepNext/>
            </w:pPr>
            <w:r>
              <w:rPr>
                <w:sz w:val="13"/>
                <w:szCs w:val="13"/>
              </w:rPr>
              <w:t xml:space="preserve">540</w:t>
            </w:r>
          </w:p>
        </w:tc>
        <w:tc>
          <w:tcPr>
            <w:tcW w:type="dxa" w:w="2979"/>
          </w:tcPr>
          <w:p>
            <w:pPr>
              <w:pStyle w:val="Compact"/>
              <w:spacing w:before="20" w:after="20" w:line="240" w:lineRule="auto"/>
              <w:jc w:val="right"/>
              <w:keepNext/>
            </w:pPr>
            <w:r>
              <w:rPr>
                <w:sz w:val="13"/>
                <w:szCs w:val="13"/>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en_v64.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Figure 6.</w:t>
      </w:r>
      <w:r>
        <w:rPr>
          <w:sz w:val="20"/>
          <w:szCs w:val="20"/>
        </w:rPr>
        <w:t xml:space="preserve"> </w:t>
      </w:r>
      <w:r>
        <w:rPr>
          <w:sz w:val="20"/>
          <w:szCs w:val="20"/>
        </w:rPr>
        <w:t xml:space="preserve">Composition of co-classification types in the three filing periods (N = 928; the first period, 1968–2014, is longer than the two later periods).</w:t>
      </w:r>
    </w:p>
    <w:p>
      <w:pPr>
        <w:pStyle w:val="BodyText"/>
      </w:pPr>
      <w:r>
        <w:rPr>
          <w:b/>
          <w:bCs/>
        </w:rPr>
        <w:t xml:space="preserve">The more recent the filing year, the more likely patents were to be classified as bonding-only rather than process-only.</w:t>
      </w:r>
      <w:r>
        <w:t xml:space="preserve"> </w:t>
      </w:r>
      <w:r>
        <w:t xml:space="preserve">In the multinomial logit of Table 8, the relative risk of the process-only type decreased by about 8.7% per year (RRR 0.913, p &lt; 0.01), whereas the relative risk of the integrated type showed no significant linear trend over the entire period (RRR 0.993). The predicted probability of being process-only was 0.27 for applications filed in 2010 but 0.12 for those filed in 2022; over the same period, that of being bonding-only increased from 0.31 to 0.40, whereas that of being integrated barely changed, from 0.43 to 0.47 (Figure 5, right). In the binary logit of Table 7 as well, the odds ratio of filing year was less than 1 (annual OR 0.946, p &lt; 0.01), so more recent applications had lower odds of carrying fabrication-process symbols, and this decrease stems mainly from the decline of the process-only type. The same pattern is confirmed in a multinomial logit that includes period dummies instead of a linear year term. Relative to 1968–2014, the relative risk of the process-only type fell to 0.273 in 2015–2019 and 0.101 in 2020–2024 (both p &lt; 0.01), whereas that of the integrated type rose to 1.707 (p = 0.09) and then fell to 0.762 (not significant), so neither estimate was significant at the 5% level. In the 2010–2024 sample (applications filed in 2010 or later; N = 830), the year coefficient was significantly less than 1 for the integrated type as well (RRR 0.934, p &lt; 0.05), and the same held for the narrow fabrication-process definition and the sample excluding irrelevant uses (Appendix A). These results show that the center of gravity of filings shifted from fabrication processes toward bonding.</w:t>
      </w:r>
    </w:p>
    <w:p>
      <w:pPr>
        <w:pStyle w:val="BodyText"/>
      </w:pPr>
      <w:r>
        <w:t xml:space="preserve">Meanwhile, the association between technological scope and the integrated type persisted in all three phases. When the model is estimated separately for each period, the RRR of technological scope for the integrated type was 1.179 in the formation phase, 1.513 in the diffusion phase, and 1.414 in the reconfiguration phase, all significant at the 1% level (for the first period, filing office dummies were excluded from the estimation because many filing office cells were empty). In other words, although the share of convergence and the center of gravity of filings changed from phase to phase, the characteristic that boundary-spanning patents include more diverse technical elements persisted in all three phases.</w:t>
      </w:r>
    </w:p>
    <w:bookmarkEnd w:id="44"/>
    <w:bookmarkStart w:id="45" w:name="Xb8dc82f28108ad0e5c1029548bc751db0380ec4"/>
    <w:p>
      <w:pPr>
        <w:pStyle w:val="Heading3"/>
      </w:pPr>
      <w:r>
        <w:t xml:space="preserve">5.3 Shift in the structural center of technology convergence (RQ3)</w:t>
      </w:r>
    </w:p>
    <w:p>
      <w:pPr>
        <w:pStyle w:val="FirstParagraph"/>
      </w:pPr>
      <w:r>
        <w:t xml:space="preserve">To understand how the phase-by-phase changes identified in Section 5.2 relate to the structure of convergence, this subsection analyzes, by period, the extent to which bonding applications containing the core technologies also carry fabrication-process symbols and the changes in the fabrication-process domains that combine with bonding symbols. Table 10 presents the results of the core technology model.</w:t>
      </w:r>
    </w:p>
    <w:p>
      <w:pPr>
        <w:pStyle w:val="BodyText"/>
      </w:pPr>
      <w:r>
        <w:rPr>
          <w:b/>
          <w:bCs/>
        </w:rPr>
        <w:t xml:space="preserve">Bonding applications containing the core technologies were initially far more likely to be integrated than bonding applications without them, but this difference diminished among more recent filings.</w:t>
      </w:r>
      <w:r>
        <w:t xml:space="preserve"> </w:t>
      </w:r>
      <w:r>
        <w:t xml:space="preserve">In the formation phase (1968–2014), 79.6% of the bonding applications containing the core technologies were integrated, compared with only 27.7% of those without them, and the odds ratio of the core technologies, controlling for filing office, was 11.071 (p &lt; 0.01). In the diffusion phase (2015–2019), applications containing the core technologies were still more often classified as integrated (77.1% vs. 57.9%; OR 2.452, p &lt; 0.05), but the odds ratio decreased to 0.221 times that of 1968–2014 (p &lt; 0.05). In the reconfiguration phase (2020–2024), the integrated share of applications containing the core technologies fell to 48.4% and did not differ significantly from that of applications without them (56.9%; OR 0.658, p = 0.15). The odds ratio in this period was 0.059 times that of 1968–2014 (p &lt; 0.01). In short, the tendency of applications containing the core technologies to cross the boundary more often was pronounced in the formation phase but was not observed in the reconfiguration phase.</w:t>
      </w:r>
    </w:p>
    <w:p>
      <w:pPr>
        <w:pStyle w:val="BodyText"/>
        <w:keepNext/>
      </w:pPr>
      <w:r>
        <w:rPr>
          <w:b/>
          <w:bCs/>
          <w:sz w:val="20"/>
          <w:szCs w:val="20"/>
        </w:rPr>
        <w:t xml:space="preserve">Table 10.</w:t>
      </w:r>
      <w:r>
        <w:rPr>
          <w:sz w:val="20"/>
          <w:szCs w:val="20"/>
        </w:rPr>
        <w:t xml:space="preserve"> </w:t>
      </w:r>
      <w:r>
        <w:rPr>
          <w:sz w:val="20"/>
          <w:szCs w:val="20"/>
        </w:rPr>
        <w:t xml:space="preserve">Core technologies and the integrated type: Shares by filing period and binary logit (applications with H01L24 symbols, N = 763; dependent variable = integrated or not; filing office dummies included; heteroskedasticity-robust standard errors;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45"/>
        <w:gridCol w:w="2189"/>
        <w:gridCol w:w="2356"/>
        <w:gridCol w:w="1768"/>
        <w:gridCol w:w="1151"/>
        <w:gridCol w:w="663"/>
      </w:tblGrid>
      <w:tr>
        <w:trPr>
          <w:tblHeader w:val="on"/>
          <w:cantSplit/>
        </w:trPr>
        <w:tc>
          <w:tcPr>
            <w:tcW w:type="dxa" w:w="945"/>
            <w:tcBorders>
              <w:bottom w:val="single" w:sz="4" w:space="0" w:color="000000"/>
            </w:tcBorders>
          </w:tcPr>
          <w:p>
            <w:pPr>
              <w:pStyle w:val="Compact"/>
              <w:spacing w:before="20" w:after="20" w:line="240" w:lineRule="auto"/>
              <w:keepNext/>
            </w:pPr>
            <w:r>
              <w:rPr>
                <w:sz w:val="13"/>
                <w:szCs w:val="13"/>
              </w:rPr>
              <w:t xml:space="preserve">Filing period</w:t>
            </w:r>
          </w:p>
        </w:tc>
        <w:tc>
          <w:tcPr>
            <w:tcW w:type="dxa" w:w="2189"/>
            <w:tcBorders>
              <w:bottom w:val="single" w:sz="4" w:space="0" w:color="000000"/>
            </w:tcBorders>
          </w:tcPr>
          <w:p>
            <w:pPr>
              <w:pStyle w:val="Compact"/>
              <w:spacing w:before="20" w:after="20" w:line="240" w:lineRule="auto"/>
              <w:keepNext/>
            </w:pPr>
            <w:r>
              <w:rPr>
                <w:sz w:val="13"/>
                <w:szCs w:val="13"/>
              </w:rPr>
              <w:t xml:space="preserve">With core technologies: integrated/N (%)</w:t>
            </w:r>
          </w:p>
        </w:tc>
        <w:tc>
          <w:tcPr>
            <w:tcW w:type="dxa" w:w="2356"/>
            <w:tcBorders>
              <w:bottom w:val="single" w:sz="4" w:space="0" w:color="000000"/>
            </w:tcBorders>
          </w:tcPr>
          <w:p>
            <w:pPr>
              <w:pStyle w:val="Compact"/>
              <w:spacing w:before="20" w:after="20" w:line="240" w:lineRule="auto"/>
              <w:keepNext/>
            </w:pPr>
            <w:r>
              <w:rPr>
                <w:sz w:val="13"/>
                <w:szCs w:val="13"/>
              </w:rPr>
              <w:t xml:space="preserve">Without core technologies: integrated/N (%)</w:t>
            </w:r>
          </w:p>
        </w:tc>
        <w:tc>
          <w:tcPr>
            <w:tcW w:type="dxa" w:w="1768"/>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151"/>
            <w:tcBorders>
              <w:bottom w:val="single" w:sz="4" w:space="0" w:color="000000"/>
            </w:tcBorders>
          </w:tcPr>
          <w:p>
            <w:pPr>
              <w:pStyle w:val="Compact"/>
              <w:spacing w:before="20" w:after="20" w:line="240" w:lineRule="auto"/>
              <w:jc w:val="center"/>
              <w:keepNext/>
            </w:pPr>
            <w:r>
              <w:rPr>
                <w:sz w:val="13"/>
                <w:szCs w:val="13"/>
              </w:rPr>
              <w:t xml:space="preserve">95% CI</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945"/>
          </w:tcPr>
          <w:p>
            <w:pPr>
              <w:pStyle w:val="Compact"/>
              <w:spacing w:before="20" w:after="20" w:line="240" w:lineRule="auto"/>
              <w:keepNext/>
            </w:pPr>
            <w:r>
              <w:rPr>
                <w:sz w:val="13"/>
                <w:szCs w:val="13"/>
              </w:rPr>
              <w:t xml:space="preserve">1968–2014</w:t>
            </w:r>
          </w:p>
        </w:tc>
        <w:tc>
          <w:tcPr>
            <w:tcW w:type="dxa" w:w="2189"/>
          </w:tcPr>
          <w:p>
            <w:pPr>
              <w:pStyle w:val="Compact"/>
              <w:spacing w:before="20" w:after="20" w:line="240" w:lineRule="auto"/>
              <w:keepNext/>
            </w:pPr>
            <w:r>
              <w:rPr>
                <w:sz w:val="13"/>
                <w:szCs w:val="13"/>
              </w:rPr>
              <w:t xml:space="preserve">43/54 (79.6)</w:t>
            </w:r>
          </w:p>
        </w:tc>
        <w:tc>
          <w:tcPr>
            <w:tcW w:type="dxa" w:w="2356"/>
          </w:tcPr>
          <w:p>
            <w:pPr>
              <w:pStyle w:val="Compact"/>
              <w:spacing w:before="20" w:after="20" w:line="240" w:lineRule="auto"/>
              <w:keepNext/>
            </w:pPr>
            <w:r>
              <w:rPr>
                <w:sz w:val="13"/>
                <w:szCs w:val="13"/>
              </w:rPr>
              <w:t xml:space="preserve">13/47 (27.7)</w:t>
            </w:r>
          </w:p>
        </w:tc>
        <w:tc>
          <w:tcPr>
            <w:tcW w:type="dxa" w:w="1768"/>
          </w:tcPr>
          <w:p>
            <w:pPr>
              <w:pStyle w:val="Compact"/>
              <w:spacing w:before="20" w:after="20" w:line="240" w:lineRule="auto"/>
              <w:jc w:val="center"/>
              <w:keepNext/>
            </w:pPr>
            <w:r>
              <w:rPr>
                <w:sz w:val="13"/>
                <w:szCs w:val="13"/>
              </w:rPr>
              <w:t xml:space="preserve">11.071***</w:t>
            </w:r>
          </w:p>
        </w:tc>
        <w:tc>
          <w:tcPr>
            <w:tcW w:type="dxa" w:w="1151"/>
          </w:tcPr>
          <w:p>
            <w:pPr>
              <w:pStyle w:val="Compact"/>
              <w:spacing w:before="20" w:after="20" w:line="240" w:lineRule="auto"/>
              <w:jc w:val="center"/>
              <w:keepNext/>
            </w:pPr>
            <w:r>
              <w:rPr>
                <w:sz w:val="13"/>
                <w:szCs w:val="13"/>
              </w:rPr>
              <w:t xml:space="preserve">4.211–29.107</w:t>
            </w:r>
          </w:p>
        </w:tc>
        <w:tc>
          <w:tcPr>
            <w:tcW w:type="dxa" w:w="663"/>
          </w:tcPr>
          <w:p>
            <w:pPr>
              <w:pStyle w:val="Compact"/>
              <w:spacing w:before="20" w:after="20" w:line="240" w:lineRule="auto"/>
              <w:jc w:val="center"/>
              <w:keepNext/>
            </w:pPr>
            <w:r>
              <w:rPr>
                <w:sz w:val="13"/>
                <w:szCs w:val="13"/>
              </w:rPr>
              <w:t xml:space="preserve">&lt;0.001</w:t>
            </w:r>
          </w:p>
        </w:tc>
      </w:tr>
      <w:tr>
        <w:trPr>
          <w:cantSplit/>
        </w:trPr>
        <w:tc>
          <w:tcPr>
            <w:tcW w:type="dxa" w:w="945"/>
          </w:tcPr>
          <w:p>
            <w:pPr>
              <w:pStyle w:val="Compact"/>
              <w:spacing w:before="20" w:after="20" w:line="240" w:lineRule="auto"/>
              <w:keepNext/>
            </w:pPr>
            <w:r>
              <w:rPr>
                <w:sz w:val="13"/>
                <w:szCs w:val="13"/>
              </w:rPr>
              <w:t xml:space="preserve">2015–2019</w:t>
            </w:r>
          </w:p>
        </w:tc>
        <w:tc>
          <w:tcPr>
            <w:tcW w:type="dxa" w:w="2189"/>
          </w:tcPr>
          <w:p>
            <w:pPr>
              <w:pStyle w:val="Compact"/>
              <w:spacing w:before="20" w:after="20" w:line="240" w:lineRule="auto"/>
              <w:keepNext/>
            </w:pPr>
            <w:r>
              <w:rPr>
                <w:sz w:val="13"/>
                <w:szCs w:val="13"/>
              </w:rPr>
              <w:t xml:space="preserve">108/140 (77.1)</w:t>
            </w:r>
          </w:p>
        </w:tc>
        <w:tc>
          <w:tcPr>
            <w:tcW w:type="dxa" w:w="2356"/>
          </w:tcPr>
          <w:p>
            <w:pPr>
              <w:pStyle w:val="Compact"/>
              <w:spacing w:before="20" w:after="20" w:line="240" w:lineRule="auto"/>
              <w:keepNext/>
            </w:pPr>
            <w:r>
              <w:rPr>
                <w:sz w:val="13"/>
                <w:szCs w:val="13"/>
              </w:rPr>
              <w:t xml:space="preserve">22/38 (57.9)</w:t>
            </w:r>
          </w:p>
        </w:tc>
        <w:tc>
          <w:tcPr>
            <w:tcW w:type="dxa" w:w="1768"/>
          </w:tcPr>
          <w:p>
            <w:pPr>
              <w:pStyle w:val="Compact"/>
              <w:spacing w:before="20" w:after="20" w:line="240" w:lineRule="auto"/>
              <w:jc w:val="center"/>
              <w:keepNext/>
            </w:pPr>
            <w:r>
              <w:rPr>
                <w:sz w:val="13"/>
                <w:szCs w:val="13"/>
              </w:rPr>
              <w:t xml:space="preserve">2.452**</w:t>
            </w:r>
          </w:p>
        </w:tc>
        <w:tc>
          <w:tcPr>
            <w:tcW w:type="dxa" w:w="1151"/>
          </w:tcPr>
          <w:p>
            <w:pPr>
              <w:pStyle w:val="Compact"/>
              <w:spacing w:before="20" w:after="20" w:line="240" w:lineRule="auto"/>
              <w:jc w:val="center"/>
              <w:keepNext/>
            </w:pPr>
            <w:r>
              <w:rPr>
                <w:sz w:val="13"/>
                <w:szCs w:val="13"/>
              </w:rPr>
              <w:t xml:space="preserve">1.158–5.194</w:t>
            </w:r>
          </w:p>
        </w:tc>
        <w:tc>
          <w:tcPr>
            <w:tcW w:type="dxa" w:w="663"/>
          </w:tcPr>
          <w:p>
            <w:pPr>
              <w:pStyle w:val="Compact"/>
              <w:spacing w:before="20" w:after="20" w:line="240" w:lineRule="auto"/>
              <w:jc w:val="center"/>
              <w:keepNext/>
            </w:pPr>
            <w:r>
              <w:rPr>
                <w:sz w:val="13"/>
                <w:szCs w:val="13"/>
              </w:rPr>
              <w:t xml:space="preserve">0.019</w:t>
            </w:r>
          </w:p>
        </w:tc>
      </w:tr>
      <w:tr>
        <w:trPr>
          <w:cantSplit/>
        </w:trPr>
        <w:tc>
          <w:tcPr>
            <w:tcW w:type="dxa" w:w="945"/>
          </w:tcPr>
          <w:p>
            <w:pPr>
              <w:pStyle w:val="Compact"/>
              <w:spacing w:before="20" w:after="20" w:line="240" w:lineRule="auto"/>
              <w:keepNext/>
            </w:pPr>
            <w:r>
              <w:rPr>
                <w:sz w:val="13"/>
                <w:szCs w:val="13"/>
              </w:rPr>
              <w:t xml:space="preserve">2020–2024</w:t>
            </w:r>
          </w:p>
        </w:tc>
        <w:tc>
          <w:tcPr>
            <w:tcW w:type="dxa" w:w="2189"/>
          </w:tcPr>
          <w:p>
            <w:pPr>
              <w:pStyle w:val="Compact"/>
              <w:spacing w:before="20" w:after="20" w:line="240" w:lineRule="auto"/>
              <w:keepNext/>
            </w:pPr>
            <w:r>
              <w:rPr>
                <w:sz w:val="13"/>
                <w:szCs w:val="13"/>
              </w:rPr>
              <w:t xml:space="preserve">206/426 (48.4)</w:t>
            </w:r>
          </w:p>
        </w:tc>
        <w:tc>
          <w:tcPr>
            <w:tcW w:type="dxa" w:w="2356"/>
          </w:tcPr>
          <w:p>
            <w:pPr>
              <w:pStyle w:val="Compact"/>
              <w:spacing w:before="20" w:after="20" w:line="240" w:lineRule="auto"/>
              <w:keepNext/>
            </w:pPr>
            <w:r>
              <w:rPr>
                <w:sz w:val="13"/>
                <w:szCs w:val="13"/>
              </w:rPr>
              <w:t xml:space="preserve">33/58 (56.9)</w:t>
            </w:r>
          </w:p>
        </w:tc>
        <w:tc>
          <w:tcPr>
            <w:tcW w:type="dxa" w:w="1768"/>
          </w:tcPr>
          <w:p>
            <w:pPr>
              <w:pStyle w:val="Compact"/>
              <w:spacing w:before="20" w:after="20" w:line="240" w:lineRule="auto"/>
              <w:jc w:val="center"/>
              <w:keepNext/>
            </w:pPr>
            <w:r>
              <w:rPr>
                <w:sz w:val="13"/>
                <w:szCs w:val="13"/>
              </w:rPr>
              <w:t xml:space="preserve">0.658</w:t>
            </w:r>
          </w:p>
        </w:tc>
        <w:tc>
          <w:tcPr>
            <w:tcW w:type="dxa" w:w="1151"/>
          </w:tcPr>
          <w:p>
            <w:pPr>
              <w:pStyle w:val="Compact"/>
              <w:spacing w:before="20" w:after="20" w:line="240" w:lineRule="auto"/>
              <w:jc w:val="center"/>
              <w:keepNext/>
            </w:pPr>
            <w:r>
              <w:rPr>
                <w:sz w:val="13"/>
                <w:szCs w:val="13"/>
              </w:rPr>
              <w:t xml:space="preserve">0.374–1.160</w:t>
            </w:r>
          </w:p>
        </w:tc>
        <w:tc>
          <w:tcPr>
            <w:tcW w:type="dxa" w:w="663"/>
          </w:tcPr>
          <w:p>
            <w:pPr>
              <w:pStyle w:val="Compact"/>
              <w:spacing w:before="20" w:after="20" w:line="240" w:lineRule="auto"/>
              <w:jc w:val="center"/>
              <w:keepNext/>
            </w:pPr>
            <w:r>
              <w:rPr>
                <w:sz w:val="13"/>
                <w:szCs w:val="13"/>
              </w:rPr>
              <w:t xml:space="preserve">0.148</w:t>
            </w:r>
          </w:p>
        </w:tc>
      </w:tr>
    </w:tbl>
    <w:p>
      <w:pPr>
        <w:pStyle w:val="BodyText"/>
      </w:pPr>
      <w:r>
        <w:rPr>
          <w:i/>
          <w:iCs/>
          <w:sz w:val="20"/>
          <w:szCs w:val="20"/>
        </w:rPr>
        <w:t xml:space="preserve">Note:</w:t>
      </w:r>
      <w:r>
        <w:rPr>
          <w:sz w:val="20"/>
          <w:szCs w:val="20"/>
        </w:rPr>
        <w:t xml:space="preserve"> </w:t>
      </w:r>
      <w:r>
        <w:rPr>
          <w:sz w:val="20"/>
          <w:szCs w:val="20"/>
        </w:rPr>
        <w:t xml:space="preserve">The odds ratio compares the odds of being integrated for applications with the core technologies with those for applications without them in the same period (the exponentiated sum of the main effect of the core technologies and the interaction for that period). The interactions (multiples relative to 1968–2014) are 0.221 for 2015–2019 (p = 0.016) and 0.059 for 2020–2024 (p &lt; 0.001); the joint Wald test of the two interactions gives χ²(2) = 26.43 (p &lt; 0.001), and the McFadden pseudo-R² is 0.069.</w:t>
      </w:r>
    </w:p>
    <w:p>
      <w:pPr>
        <w:pStyle w:val="BodyText"/>
      </w:pPr>
      <w:r>
        <w:t xml:space="preserve">This narrowing reflects movements in opposite directions: the integrated share of bonding applications without the core technologies rose from 27.7% to 57.9% and 56.9%, whereas that of applications containing them fell from 79.6% and 77.1% to 48.4%. Over the same periods, the share of applications containing the core technologies among bonding applications rose from 53.5% to 78.7% and 88.0%, which suggests that invention concentrated on a single core design. The fabrication-process symbols assigned together with the core technologies also differed across periods. In integrated applications containing the core technologies, the most frequent H01L21 symbols were the joining of semiconductor bodies (21/187; 22 applications) and through-substrate vias (21/76898; 21 applications) in 2015–2019 and support using temporary substrates (21/6835; 48 applications) and temporary substrates used as encapsulation process aids (21/568; 43 applications) in 2020–2024. The latter two symbols concern processes for supporting dies and completing them as packages rather than the bonding principle itself. Taken together, these results suggest that inventions containing the core technologies initially incorporated fabrication-process knowledge far more often than other bonding inventions, that this difference is no longer observed in recent filings, and that the fabrication processes assigned together with the core technologies have shifted to peripheral processes such as die support and encapsulation.</w:t>
      </w:r>
    </w:p>
    <w:p>
      <w:pPr>
        <w:pStyle w:val="BodyText"/>
      </w:pPr>
      <w:r>
        <w:t xml:space="preserve">This shift is also evident beyond individual symbols, in the fabrication-process domains as a whole and in the structure of the technology network (Table 11). Measured by the Jaccard coefficient with bonding symbols, coupling with wafer fabrication peaked in the diffusion phase and then dropped sharply (0.306 in the formation phase, 0.598 in the diffusion phase, and 0.159 in the reconfiguration phase), whereas processing apparatus (0.046, 0.059, and 0.176) and packaging-stage processes (0.194, 0.234, and 0.268) rose steadily. From the diffusion phase to the reconfiguration phase, the number of applications in which each domain’s symbols were assigned together with bonding symbols decreased from 119 to 82 for wafer fabrication but increased from 11 to 89 for processing apparatus and from 43 to 139 for packaging-stage processes. Consequently, the fabrication-process domain most strongly coupled with bonding changed from wafer fabrication in the formation and diffusion phases to packaging-stage processes in the reconfiguration phase. In the technology network, the hubs and the linking symbols showed different patterns. The three symbols with the greatest connection strength were core symbols (24/80, 24/08, and 24/05) in all three periods, so the core technologies retained their position as hubs. By contrast, the symbol with the highest betweenness centrality in the entire network in the formation and diffusion phases was the joining of semiconductor bodies (21/187), and wafer fabrication symbols accounted for 53.6% and 42.5%, respectively, of total betweenness centrality. In the reconfiguration phase, this share fell to 9.0%, processing apparatus symbols accounted for 26.1%, and the five fabrication-process symbols with the highest betweenness centrality were four processing apparatus symbols (21/67121, apparatus for making assemblies such as package structures; 21/67766, mechanical parts of transfer devices; 21/67092, apparatus for mechanical treatment; and 21/6835, support using temporary substrates) and one packaging-stage process symbol (21/50). The same pattern held when betweenness centrality was recalculated with the reciprocals of the link weights as distances. In short, while the core technologies remained at the center of the network, the links connecting bonding and fabrication processes shifted from wafer fabrication to processing apparatus and packaging-stage processes.</w:t>
      </w:r>
    </w:p>
    <w:p>
      <w:pPr>
        <w:pStyle w:val="BodyText"/>
        <w:keepNext/>
      </w:pPr>
      <w:r>
        <w:rPr>
          <w:b/>
          <w:bCs/>
          <w:sz w:val="20"/>
          <w:szCs w:val="20"/>
        </w:rPr>
        <w:t xml:space="preserve">Table 11.</w:t>
      </w:r>
      <w:r>
        <w:rPr>
          <w:sz w:val="20"/>
          <w:szCs w:val="20"/>
        </w:rPr>
        <w:t xml:space="preserve"> </w:t>
      </w:r>
      <w:r>
        <w:rPr>
          <w:sz w:val="20"/>
          <w:szCs w:val="20"/>
        </w:rPr>
        <w:t xml:space="preserve">Coupling strength between the fabrication-process domains and bonding symbols, and hubs and linking symbols of the technology network, by period (N = 928; the numbers in parentheses after the Jaccard coefficients are the numbers of applications carrying both the domain’s symbols and bonding symbols).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23"/>
        <w:gridCol w:w="2015"/>
        <w:gridCol w:w="2015"/>
        <w:gridCol w:w="2015"/>
      </w:tblGrid>
      <w:tr>
        <w:trPr>
          <w:tblHeader w:val="on"/>
          <w:cantSplit/>
        </w:trPr>
        <w:tc>
          <w:tcPr>
            <w:tcW w:type="dxa" w:w="3023"/>
            <w:tcBorders>
              <w:bottom w:val="single" w:sz="4" w:space="0" w:color="000000"/>
            </w:tcBorders>
          </w:tcPr>
          <w:p>
            <w:pPr>
              <w:pStyle w:val="Compact"/>
              <w:spacing w:before="20" w:after="20" w:line="240" w:lineRule="auto"/>
              <w:keepNext/>
            </w:pPr>
            <w:r>
              <w:rPr>
                <w:sz w:val="18"/>
                <w:szCs w:val="18"/>
              </w:rPr>
              <w:t xml:space="preserve">Indicator</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Formation (1968–2014)</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Diffusion (2015–2019)</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Reconfiguration (2020–2024)</w:t>
            </w:r>
          </w:p>
        </w:tc>
      </w:tr>
      <w:tr>
        <w:trPr>
          <w:cantSplit/>
        </w:trPr>
        <w:tc>
          <w:tcPr>
            <w:tcW w:type="dxa" w:w="3023"/>
          </w:tcPr>
          <w:p>
            <w:pPr>
              <w:pStyle w:val="Compact"/>
              <w:spacing w:before="20" w:after="20" w:line="240" w:lineRule="auto"/>
              <w:keepNext/>
            </w:pPr>
            <w:r>
              <w:rPr>
                <w:sz w:val="18"/>
                <w:szCs w:val="18"/>
              </w:rPr>
              <w:t xml:space="preserve">Jaccard with bonding symbols: wafer fabrication</w:t>
            </w:r>
          </w:p>
        </w:tc>
        <w:tc>
          <w:tcPr>
            <w:tcW w:type="dxa" w:w="2015"/>
          </w:tcPr>
          <w:p>
            <w:pPr>
              <w:pStyle w:val="Compact"/>
              <w:spacing w:before="20" w:after="20" w:line="240" w:lineRule="auto"/>
              <w:jc w:val="center"/>
              <w:keepNext/>
            </w:pPr>
            <w:r>
              <w:rPr>
                <w:sz w:val="18"/>
                <w:szCs w:val="18"/>
              </w:rPr>
              <w:t xml:space="preserve">0.306 (52)</w:t>
            </w:r>
          </w:p>
        </w:tc>
        <w:tc>
          <w:tcPr>
            <w:tcW w:type="dxa" w:w="2015"/>
          </w:tcPr>
          <w:p>
            <w:pPr>
              <w:pStyle w:val="Compact"/>
              <w:spacing w:before="20" w:after="20" w:line="240" w:lineRule="auto"/>
              <w:jc w:val="center"/>
              <w:keepNext/>
            </w:pPr>
            <w:r>
              <w:rPr>
                <w:sz w:val="18"/>
                <w:szCs w:val="18"/>
              </w:rPr>
              <w:t xml:space="preserve">0.598 (119)</w:t>
            </w:r>
          </w:p>
        </w:tc>
        <w:tc>
          <w:tcPr>
            <w:tcW w:type="dxa" w:w="2015"/>
          </w:tcPr>
          <w:p>
            <w:pPr>
              <w:pStyle w:val="Compact"/>
              <w:spacing w:before="20" w:after="20" w:line="240" w:lineRule="auto"/>
              <w:jc w:val="center"/>
              <w:keepNext/>
            </w:pPr>
            <w:r>
              <w:rPr>
                <w:sz w:val="18"/>
                <w:szCs w:val="18"/>
              </w:rPr>
              <w:t xml:space="preserve">0.159 (82)</w:t>
            </w:r>
          </w:p>
        </w:tc>
      </w:tr>
      <w:tr>
        <w:trPr>
          <w:cantSplit/>
        </w:trPr>
        <w:tc>
          <w:tcPr>
            <w:tcW w:type="dxa" w:w="3023"/>
          </w:tcPr>
          <w:p>
            <w:pPr>
              <w:pStyle w:val="Compact"/>
              <w:spacing w:before="20" w:after="20" w:line="240" w:lineRule="auto"/>
              <w:keepNext/>
            </w:pPr>
            <w:r>
              <w:rPr>
                <w:sz w:val="18"/>
                <w:szCs w:val="18"/>
              </w:rPr>
              <w:t xml:space="preserve">Jaccard with bonding symbols: processing apparatus</w:t>
            </w:r>
          </w:p>
        </w:tc>
        <w:tc>
          <w:tcPr>
            <w:tcW w:type="dxa" w:w="2015"/>
          </w:tcPr>
          <w:p>
            <w:pPr>
              <w:pStyle w:val="Compact"/>
              <w:spacing w:before="20" w:after="20" w:line="240" w:lineRule="auto"/>
              <w:jc w:val="center"/>
              <w:keepNext/>
            </w:pPr>
            <w:r>
              <w:rPr>
                <w:sz w:val="18"/>
                <w:szCs w:val="18"/>
              </w:rPr>
              <w:t xml:space="preserve">0.046 (5)</w:t>
            </w:r>
          </w:p>
        </w:tc>
        <w:tc>
          <w:tcPr>
            <w:tcW w:type="dxa" w:w="2015"/>
          </w:tcPr>
          <w:p>
            <w:pPr>
              <w:pStyle w:val="Compact"/>
              <w:spacing w:before="20" w:after="20" w:line="240" w:lineRule="auto"/>
              <w:jc w:val="center"/>
              <w:keepNext/>
            </w:pPr>
            <w:r>
              <w:rPr>
                <w:sz w:val="18"/>
                <w:szCs w:val="18"/>
              </w:rPr>
              <w:t xml:space="preserve">0.059 (11)</w:t>
            </w:r>
          </w:p>
        </w:tc>
        <w:tc>
          <w:tcPr>
            <w:tcW w:type="dxa" w:w="2015"/>
          </w:tcPr>
          <w:p>
            <w:pPr>
              <w:pStyle w:val="Compact"/>
              <w:spacing w:before="20" w:after="20" w:line="240" w:lineRule="auto"/>
              <w:jc w:val="center"/>
              <w:keepNext/>
            </w:pPr>
            <w:r>
              <w:rPr>
                <w:sz w:val="18"/>
                <w:szCs w:val="18"/>
              </w:rPr>
              <w:t xml:space="preserve">0.176 (89)</w:t>
            </w:r>
          </w:p>
        </w:tc>
      </w:tr>
      <w:tr>
        <w:trPr>
          <w:cantSplit/>
        </w:trPr>
        <w:tc>
          <w:tcPr>
            <w:tcW w:type="dxa" w:w="3023"/>
          </w:tcPr>
          <w:p>
            <w:pPr>
              <w:pStyle w:val="Compact"/>
              <w:spacing w:before="20" w:after="20" w:line="240" w:lineRule="auto"/>
              <w:keepNext/>
            </w:pPr>
            <w:r>
              <w:rPr>
                <w:sz w:val="18"/>
                <w:szCs w:val="18"/>
              </w:rPr>
              <w:t xml:space="preserve">Jaccard with bonding symbols: packaging-stage processes</w:t>
            </w:r>
          </w:p>
        </w:tc>
        <w:tc>
          <w:tcPr>
            <w:tcW w:type="dxa" w:w="2015"/>
          </w:tcPr>
          <w:p>
            <w:pPr>
              <w:pStyle w:val="Compact"/>
              <w:spacing w:before="20" w:after="20" w:line="240" w:lineRule="auto"/>
              <w:jc w:val="center"/>
              <w:keepNext/>
            </w:pPr>
            <w:r>
              <w:rPr>
                <w:sz w:val="18"/>
                <w:szCs w:val="18"/>
              </w:rPr>
              <w:t xml:space="preserve">0.194 (21)</w:t>
            </w:r>
          </w:p>
        </w:tc>
        <w:tc>
          <w:tcPr>
            <w:tcW w:type="dxa" w:w="2015"/>
          </w:tcPr>
          <w:p>
            <w:pPr>
              <w:pStyle w:val="Compact"/>
              <w:spacing w:before="20" w:after="20" w:line="240" w:lineRule="auto"/>
              <w:jc w:val="center"/>
              <w:keepNext/>
            </w:pPr>
            <w:r>
              <w:rPr>
                <w:sz w:val="18"/>
                <w:szCs w:val="18"/>
              </w:rPr>
              <w:t xml:space="preserve">0.234 (43)</w:t>
            </w:r>
          </w:p>
        </w:tc>
        <w:tc>
          <w:tcPr>
            <w:tcW w:type="dxa" w:w="2015"/>
          </w:tcPr>
          <w:p>
            <w:pPr>
              <w:pStyle w:val="Compact"/>
              <w:spacing w:before="20" w:after="20" w:line="240" w:lineRule="auto"/>
              <w:jc w:val="center"/>
              <w:keepNext/>
            </w:pPr>
            <w:r>
              <w:rPr>
                <w:sz w:val="18"/>
                <w:szCs w:val="18"/>
              </w:rPr>
              <w:t xml:space="preserve">0.268 (139)</w:t>
            </w:r>
          </w:p>
        </w:tc>
      </w:tr>
      <w:tr>
        <w:trPr>
          <w:cantSplit/>
        </w:trPr>
        <w:tc>
          <w:tcPr>
            <w:tcW w:type="dxa" w:w="3023"/>
          </w:tcPr>
          <w:p>
            <w:pPr>
              <w:pStyle w:val="Compact"/>
              <w:spacing w:before="20" w:after="20" w:line="240" w:lineRule="auto"/>
              <w:keepNext/>
            </w:pPr>
            <w:r>
              <w:rPr>
                <w:sz w:val="18"/>
                <w:szCs w:val="18"/>
              </w:rPr>
              <w:t xml:space="preserve">Share of betweenness centrality (%): wafer fabrication</w:t>
            </w:r>
          </w:p>
        </w:tc>
        <w:tc>
          <w:tcPr>
            <w:tcW w:type="dxa" w:w="2015"/>
          </w:tcPr>
          <w:p>
            <w:pPr>
              <w:pStyle w:val="Compact"/>
              <w:spacing w:before="20" w:after="20" w:line="240" w:lineRule="auto"/>
              <w:jc w:val="center"/>
              <w:keepNext/>
            </w:pPr>
            <w:r>
              <w:rPr>
                <w:sz w:val="18"/>
                <w:szCs w:val="18"/>
              </w:rPr>
              <w:t xml:space="preserve">53.6</w:t>
            </w:r>
          </w:p>
        </w:tc>
        <w:tc>
          <w:tcPr>
            <w:tcW w:type="dxa" w:w="2015"/>
          </w:tcPr>
          <w:p>
            <w:pPr>
              <w:pStyle w:val="Compact"/>
              <w:spacing w:before="20" w:after="20" w:line="240" w:lineRule="auto"/>
              <w:jc w:val="center"/>
              <w:keepNext/>
            </w:pPr>
            <w:r>
              <w:rPr>
                <w:sz w:val="18"/>
                <w:szCs w:val="18"/>
              </w:rPr>
              <w:t xml:space="preserve">42.5</w:t>
            </w:r>
          </w:p>
        </w:tc>
        <w:tc>
          <w:tcPr>
            <w:tcW w:type="dxa" w:w="2015"/>
          </w:tcPr>
          <w:p>
            <w:pPr>
              <w:pStyle w:val="Compact"/>
              <w:spacing w:before="20" w:after="20" w:line="240" w:lineRule="auto"/>
              <w:jc w:val="center"/>
              <w:keepNext/>
            </w:pPr>
            <w:r>
              <w:rPr>
                <w:sz w:val="18"/>
                <w:szCs w:val="18"/>
              </w:rPr>
              <w:t xml:space="preserve">9.0</w:t>
            </w:r>
          </w:p>
        </w:tc>
      </w:tr>
      <w:tr>
        <w:trPr>
          <w:cantSplit/>
        </w:trPr>
        <w:tc>
          <w:tcPr>
            <w:tcW w:type="dxa" w:w="3023"/>
          </w:tcPr>
          <w:p>
            <w:pPr>
              <w:pStyle w:val="Compact"/>
              <w:spacing w:before="20" w:after="20" w:line="240" w:lineRule="auto"/>
              <w:keepNext/>
            </w:pPr>
            <w:r>
              <w:rPr>
                <w:sz w:val="18"/>
                <w:szCs w:val="18"/>
              </w:rPr>
              <w:t xml:space="preserve">Share of betweenness centrality (%): processing apparatus</w:t>
            </w:r>
          </w:p>
        </w:tc>
        <w:tc>
          <w:tcPr>
            <w:tcW w:type="dxa" w:w="2015"/>
          </w:tcPr>
          <w:p>
            <w:pPr>
              <w:pStyle w:val="Compact"/>
              <w:spacing w:before="20" w:after="20" w:line="240" w:lineRule="auto"/>
              <w:jc w:val="center"/>
              <w:keepNext/>
            </w:pPr>
            <w:r>
              <w:rPr>
                <w:sz w:val="18"/>
                <w:szCs w:val="18"/>
              </w:rPr>
              <w:t xml:space="preserve">0.0</w:t>
            </w:r>
          </w:p>
        </w:tc>
        <w:tc>
          <w:tcPr>
            <w:tcW w:type="dxa" w:w="2015"/>
          </w:tcPr>
          <w:p>
            <w:pPr>
              <w:pStyle w:val="Compact"/>
              <w:spacing w:before="20" w:after="20" w:line="240" w:lineRule="auto"/>
              <w:jc w:val="center"/>
              <w:keepNext/>
            </w:pPr>
            <w:r>
              <w:rPr>
                <w:sz w:val="18"/>
                <w:szCs w:val="18"/>
              </w:rPr>
              <w:t xml:space="preserve">1.8</w:t>
            </w:r>
          </w:p>
        </w:tc>
        <w:tc>
          <w:tcPr>
            <w:tcW w:type="dxa" w:w="2015"/>
          </w:tcPr>
          <w:p>
            <w:pPr>
              <w:pStyle w:val="Compact"/>
              <w:spacing w:before="20" w:after="20" w:line="240" w:lineRule="auto"/>
              <w:jc w:val="center"/>
              <w:keepNext/>
            </w:pPr>
            <w:r>
              <w:rPr>
                <w:sz w:val="18"/>
                <w:szCs w:val="18"/>
              </w:rPr>
              <w:t xml:space="preserve">26.1</w:t>
            </w:r>
          </w:p>
        </w:tc>
      </w:tr>
      <w:tr>
        <w:trPr>
          <w:cantSplit/>
        </w:trPr>
        <w:tc>
          <w:tcPr>
            <w:tcW w:type="dxa" w:w="3023"/>
          </w:tcPr>
          <w:p>
            <w:pPr>
              <w:pStyle w:val="Compact"/>
              <w:spacing w:before="20" w:after="20" w:line="240" w:lineRule="auto"/>
              <w:keepNext/>
            </w:pPr>
            <w:r>
              <w:rPr>
                <w:sz w:val="18"/>
                <w:szCs w:val="18"/>
              </w:rPr>
              <w:t xml:space="preserve">Share of betweenness centrality (%): packaging-stage processes</w:t>
            </w:r>
          </w:p>
        </w:tc>
        <w:tc>
          <w:tcPr>
            <w:tcW w:type="dxa" w:w="2015"/>
          </w:tcPr>
          <w:p>
            <w:pPr>
              <w:pStyle w:val="Compact"/>
              <w:spacing w:before="20" w:after="20" w:line="240" w:lineRule="auto"/>
              <w:jc w:val="center"/>
              <w:keepNext/>
            </w:pPr>
            <w:r>
              <w:rPr>
                <w:sz w:val="18"/>
                <w:szCs w:val="18"/>
              </w:rPr>
              <w:t xml:space="preserve">0.3</w:t>
            </w:r>
          </w:p>
        </w:tc>
        <w:tc>
          <w:tcPr>
            <w:tcW w:type="dxa" w:w="2015"/>
          </w:tcPr>
          <w:p>
            <w:pPr>
              <w:pStyle w:val="Compact"/>
              <w:spacing w:before="20" w:after="20" w:line="240" w:lineRule="auto"/>
              <w:jc w:val="center"/>
              <w:keepNext/>
            </w:pPr>
            <w:r>
              <w:rPr>
                <w:sz w:val="18"/>
                <w:szCs w:val="18"/>
              </w:rPr>
              <w:t xml:space="preserve">0.6</w:t>
            </w:r>
          </w:p>
        </w:tc>
        <w:tc>
          <w:tcPr>
            <w:tcW w:type="dxa" w:w="2015"/>
          </w:tcPr>
          <w:p>
            <w:pPr>
              <w:pStyle w:val="Compact"/>
              <w:spacing w:before="20" w:after="20" w:line="240" w:lineRule="auto"/>
              <w:jc w:val="center"/>
              <w:keepNext/>
            </w:pPr>
            <w:r>
              <w:rPr>
                <w:sz w:val="18"/>
                <w:szCs w:val="18"/>
              </w:rPr>
              <w:t xml:space="preserve">7.3</w:t>
            </w:r>
          </w:p>
        </w:tc>
      </w:tr>
      <w:tr>
        <w:trPr>
          <w:cantSplit/>
        </w:trPr>
        <w:tc>
          <w:tcPr>
            <w:tcW w:type="dxa" w:w="3023"/>
          </w:tcPr>
          <w:p>
            <w:pPr>
              <w:pStyle w:val="Compact"/>
              <w:spacing w:before="20" w:after="20" w:line="240" w:lineRule="auto"/>
              <w:keepNext/>
            </w:pPr>
            <w:r>
              <w:rPr>
                <w:sz w:val="18"/>
                <w:szCs w:val="18"/>
              </w:rPr>
              <w:t xml:space="preserve">Share of betweenness centrality (%): bonding symbols (H01L24)</w:t>
            </w:r>
          </w:p>
        </w:tc>
        <w:tc>
          <w:tcPr>
            <w:tcW w:type="dxa" w:w="2015"/>
          </w:tcPr>
          <w:p>
            <w:pPr>
              <w:pStyle w:val="Compact"/>
              <w:spacing w:before="20" w:after="20" w:line="240" w:lineRule="auto"/>
              <w:jc w:val="center"/>
              <w:keepNext/>
            </w:pPr>
            <w:r>
              <w:rPr>
                <w:sz w:val="18"/>
                <w:szCs w:val="18"/>
              </w:rPr>
              <w:t xml:space="preserve">46.1</w:t>
            </w:r>
          </w:p>
        </w:tc>
        <w:tc>
          <w:tcPr>
            <w:tcW w:type="dxa" w:w="2015"/>
          </w:tcPr>
          <w:p>
            <w:pPr>
              <w:pStyle w:val="Compact"/>
              <w:spacing w:before="20" w:after="20" w:line="240" w:lineRule="auto"/>
              <w:jc w:val="center"/>
              <w:keepNext/>
            </w:pPr>
            <w:r>
              <w:rPr>
                <w:sz w:val="18"/>
                <w:szCs w:val="18"/>
              </w:rPr>
              <w:t xml:space="preserve">55.1</w:t>
            </w:r>
          </w:p>
        </w:tc>
        <w:tc>
          <w:tcPr>
            <w:tcW w:type="dxa" w:w="2015"/>
          </w:tcPr>
          <w:p>
            <w:pPr>
              <w:pStyle w:val="Compact"/>
              <w:spacing w:before="20" w:after="20" w:line="240" w:lineRule="auto"/>
              <w:jc w:val="center"/>
              <w:keepNext/>
            </w:pPr>
            <w:r>
              <w:rPr>
                <w:sz w:val="18"/>
                <w:szCs w:val="18"/>
              </w:rPr>
              <w:t xml:space="preserve">57.6</w:t>
            </w:r>
          </w:p>
        </w:tc>
      </w:tr>
      <w:tr>
        <w:trPr>
          <w:cantSplit/>
        </w:trPr>
        <w:tc>
          <w:tcPr>
            <w:tcW w:type="dxa" w:w="3023"/>
          </w:tcPr>
          <w:p>
            <w:pPr>
              <w:pStyle w:val="Compact"/>
              <w:spacing w:before="20" w:after="20" w:line="240" w:lineRule="auto"/>
              <w:keepNext/>
            </w:pPr>
            <w:r>
              <w:rPr>
                <w:sz w:val="18"/>
                <w:szCs w:val="18"/>
              </w:rPr>
              <w:t xml:space="preserve">Hubs: top three symbols by connection strength</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24/08, 24/80, 24/05</w:t>
            </w:r>
          </w:p>
        </w:tc>
      </w:tr>
      <w:tr>
        <w:trPr>
          <w:cantSplit/>
        </w:trPr>
        <w:tc>
          <w:tcPr>
            <w:tcW w:type="dxa" w:w="3023"/>
          </w:tcPr>
          <w:p>
            <w:pPr>
              <w:pStyle w:val="Compact"/>
              <w:spacing w:before="20" w:after="20" w:line="240" w:lineRule="auto"/>
              <w:keepNext/>
            </w:pPr>
            <w:r>
              <w:rPr>
                <w:sz w:val="18"/>
                <w:szCs w:val="18"/>
              </w:rPr>
              <w:t xml:space="preserve">Linking symbols: fabrication-process symbols with the highest betweenness centrality</w:t>
            </w:r>
          </w:p>
        </w:tc>
        <w:tc>
          <w:tcPr>
            <w:tcW w:type="dxa" w:w="2015"/>
          </w:tcPr>
          <w:p>
            <w:pPr>
              <w:pStyle w:val="Compact"/>
              <w:spacing w:before="20" w:after="20" w:line="240" w:lineRule="auto"/>
              <w:jc w:val="center"/>
              <w:keepNext/>
            </w:pPr>
            <w:r>
              <w:rPr>
                <w:sz w:val="18"/>
                <w:szCs w:val="18"/>
              </w:rPr>
              <w:t xml:space="preserve">21/187, 21/76251</w:t>
            </w:r>
          </w:p>
        </w:tc>
        <w:tc>
          <w:tcPr>
            <w:tcW w:type="dxa" w:w="2015"/>
          </w:tcPr>
          <w:p>
            <w:pPr>
              <w:pStyle w:val="Compact"/>
              <w:spacing w:before="20" w:after="20" w:line="240" w:lineRule="auto"/>
              <w:jc w:val="center"/>
              <w:keepNext/>
            </w:pPr>
            <w:r>
              <w:rPr>
                <w:sz w:val="18"/>
                <w:szCs w:val="18"/>
              </w:rPr>
              <w:t xml:space="preserve">21/187, 21/2007</w:t>
            </w:r>
          </w:p>
        </w:tc>
        <w:tc>
          <w:tcPr>
            <w:tcW w:type="dxa" w:w="2015"/>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Note:</w:t>
      </w:r>
      <w:r>
        <w:rPr>
          <w:sz w:val="20"/>
          <w:szCs w:val="20"/>
        </w:rPr>
        <w:t xml:space="preserve"> </w:t>
      </w:r>
      <w:r>
        <w:rPr>
          <w:sz w:val="20"/>
          <w:szCs w:val="20"/>
        </w:rPr>
        <w:t xml:space="preserve">The Jaccard coefficient is the number of applications carrying both the domain’s symbols and bonding symbols divided by the number of applications carrying either. The share of betweenness centrality is the sum of the betweenness centralities of each domain’s symbols as a percentage of the network total in each period-specific technology network, calculated without considering link weights. The linking symbols row lists the two fabrication-process symbols with the highest betweenness centrality in each period; those of the formation and diffusion phases belong to wafer fabrication, and those of the reconfiguration phase to processing apparatus. The prefix H01L is omitted from the symbols.</w:t>
      </w:r>
    </w:p>
    <w:bookmarkEnd w:id="45"/>
    <w:bookmarkStart w:id="46" w:name="robustness-checks"/>
    <w:p>
      <w:pPr>
        <w:pStyle w:val="Heading3"/>
      </w:pPr>
      <w:r>
        <w:t xml:space="preserve">5.4 Robustness checks</w:t>
      </w:r>
    </w:p>
    <w:p>
      <w:pPr>
        <w:pStyle w:val="FirstParagraph"/>
      </w:pPr>
      <w:r>
        <w:t xml:space="preserve">To check whether these results depend on the sample and variable definitions, the models were re-estimated with alternative samples and variable definitions. Table 12 compares the key coefficients of the multinomial logit, and Table 13 compares the period-specific odds ratios of the core technology model; the main coefficients and standard errors of the multinomial logit re-estimations are presented in Appendix A.</w:t>
      </w:r>
    </w:p>
    <w:p>
      <w:pPr>
        <w:pStyle w:val="BodyText"/>
        <w:keepNext/>
      </w:pPr>
      <w:r>
        <w:rPr>
          <w:b/>
          <w:bCs/>
          <w:sz w:val="20"/>
          <w:szCs w:val="20"/>
        </w:rPr>
        <w:t xml:space="preserve">Table 12.</w:t>
      </w:r>
      <w:r>
        <w:rPr>
          <w:sz w:val="20"/>
          <w:szCs w:val="20"/>
        </w:rPr>
        <w:t xml:space="preserve"> </w:t>
      </w:r>
      <w:r>
        <w:rPr>
          <w:sz w:val="20"/>
          <w:szCs w:val="20"/>
        </w:rPr>
        <w:t xml:space="preserve">Comparison of the re-estimation results of the multinomial logit (multinomial logit RRRs, base category = bonding-only; filing office dummies included;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709"/>
        <w:gridCol w:w="523"/>
        <w:gridCol w:w="1744"/>
        <w:gridCol w:w="2093"/>
      </w:tblGrid>
      <w:tr>
        <w:trPr>
          <w:tblHeader w:val="on"/>
          <w:cantSplit/>
        </w:trPr>
        <w:tc>
          <w:tcPr>
            <w:tcW w:type="dxa" w:w="4709"/>
            <w:tcBorders>
              <w:bottom w:val="single" w:sz="4" w:space="0" w:color="000000"/>
            </w:tcBorders>
          </w:tcPr>
          <w:p>
            <w:pPr>
              <w:pStyle w:val="Compact"/>
              <w:spacing w:before="20" w:after="20" w:line="240" w:lineRule="auto"/>
              <w:keepNext/>
            </w:pPr>
            <w:r>
              <w:rPr>
                <w:sz w:val="16"/>
                <w:szCs w:val="16"/>
              </w:rPr>
              <w:t xml:space="preserve">Sample or variable</w:t>
            </w:r>
          </w:p>
        </w:tc>
        <w:tc>
          <w:tcPr>
            <w:tcW w:type="dxa" w:w="523"/>
            <w:tcBorders>
              <w:bottom w:val="single" w:sz="4" w:space="0" w:color="000000"/>
            </w:tcBorders>
          </w:tcPr>
          <w:p>
            <w:pPr>
              <w:pStyle w:val="Compact"/>
              <w:spacing w:before="20" w:after="20" w:line="240" w:lineRule="auto"/>
              <w:jc w:val="right"/>
              <w:keepNext/>
            </w:pPr>
            <w:r>
              <w:rPr>
                <w:sz w:val="16"/>
                <w:szCs w:val="16"/>
              </w:rPr>
              <w:t xml:space="preserve">N</w:t>
            </w:r>
          </w:p>
        </w:tc>
        <w:tc>
          <w:tcPr>
            <w:tcW w:type="dxa" w:w="1744"/>
            <w:tcBorders>
              <w:bottom w:val="single" w:sz="4" w:space="0" w:color="000000"/>
            </w:tcBorders>
          </w:tcPr>
          <w:p>
            <w:pPr>
              <w:pStyle w:val="Compact"/>
              <w:spacing w:before="20" w:after="20" w:line="240" w:lineRule="auto"/>
              <w:keepNext/>
            </w:pPr>
            <w:r>
              <w:rPr>
                <w:sz w:val="16"/>
                <w:szCs w:val="16"/>
              </w:rPr>
              <w:t xml:space="preserve">Scope → integrated</w:t>
            </w:r>
          </w:p>
        </w:tc>
        <w:tc>
          <w:tcPr>
            <w:tcW w:type="dxa" w:w="2093"/>
            <w:tcBorders>
              <w:bottom w:val="single" w:sz="4" w:space="0" w:color="000000"/>
            </w:tcBorders>
          </w:tcPr>
          <w:p>
            <w:pPr>
              <w:pStyle w:val="Compact"/>
              <w:spacing w:before="20" w:after="20" w:line="240" w:lineRule="auto"/>
              <w:keepNext/>
            </w:pPr>
            <w:r>
              <w:rPr>
                <w:sz w:val="16"/>
                <w:szCs w:val="16"/>
              </w:rPr>
              <w:t xml:space="preserve">Year → process-only</w:t>
            </w:r>
          </w:p>
        </w:tc>
      </w:tr>
      <w:tr>
        <w:trPr>
          <w:cantSplit/>
        </w:trPr>
        <w:tc>
          <w:tcPr>
            <w:tcW w:type="dxa" w:w="4709"/>
          </w:tcPr>
          <w:p>
            <w:pPr>
              <w:pStyle w:val="Compact"/>
              <w:spacing w:before="20" w:after="20" w:line="240" w:lineRule="auto"/>
              <w:keepNext/>
            </w:pPr>
            <w:r>
              <w:rPr>
                <w:sz w:val="16"/>
                <w:szCs w:val="16"/>
              </w:rPr>
              <w:t xml:space="preserve">Baseline (Table 8)</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Baseline + standard errors clustered by title</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Same-title deduplication (one application per title)</w:t>
            </w:r>
          </w:p>
        </w:tc>
        <w:tc>
          <w:tcPr>
            <w:tcW w:type="dxa" w:w="523"/>
          </w:tcPr>
          <w:p>
            <w:pPr>
              <w:pStyle w:val="Compact"/>
              <w:spacing w:before="20" w:after="20" w:line="240" w:lineRule="auto"/>
              <w:jc w:val="right"/>
              <w:keepNext/>
            </w:pPr>
            <w:r>
              <w:rPr>
                <w:sz w:val="16"/>
                <w:szCs w:val="16"/>
              </w:rPr>
              <w:t xml:space="preserve">473</w:t>
            </w:r>
          </w:p>
        </w:tc>
        <w:tc>
          <w:tcPr>
            <w:tcW w:type="dxa" w:w="1744"/>
          </w:tcPr>
          <w:p>
            <w:pPr>
              <w:pStyle w:val="Compact"/>
              <w:spacing w:before="20" w:after="20" w:line="240" w:lineRule="auto"/>
              <w:keepNext/>
            </w:pPr>
            <w:r>
              <w:rPr>
                <w:sz w:val="16"/>
                <w:szCs w:val="16"/>
              </w:rPr>
              <w:t xml:space="preserve">1.295***</w:t>
            </w:r>
          </w:p>
        </w:tc>
        <w:tc>
          <w:tcPr>
            <w:tcW w:type="dxa" w:w="2093"/>
          </w:tcPr>
          <w:p>
            <w:pPr>
              <w:pStyle w:val="Compact"/>
              <w:spacing w:before="20" w:after="20" w:line="240" w:lineRule="auto"/>
              <w:keepNext/>
            </w:pPr>
            <w:r>
              <w:rPr>
                <w:sz w:val="16"/>
                <w:szCs w:val="16"/>
              </w:rPr>
              <w:t xml:space="preserve">0.935***</w:t>
            </w:r>
          </w:p>
        </w:tc>
      </w:tr>
      <w:tr>
        <w:trPr>
          <w:cantSplit/>
        </w:trPr>
        <w:tc>
          <w:tcPr>
            <w:tcW w:type="dxa" w:w="4709"/>
          </w:tcPr>
          <w:p>
            <w:pPr>
              <w:pStyle w:val="Compact"/>
              <w:spacing w:before="20" w:after="20" w:line="240" w:lineRule="auto"/>
              <w:keepNext/>
            </w:pPr>
            <w:r>
              <w:rPr>
                <w:sz w:val="16"/>
                <w:szCs w:val="16"/>
              </w:rPr>
              <w:t xml:space="preserve">Narrow fabrication-process definition (packaging-stage processes excluded)</w:t>
            </w:r>
          </w:p>
        </w:tc>
        <w:tc>
          <w:tcPr>
            <w:tcW w:type="dxa" w:w="523"/>
          </w:tcPr>
          <w:p>
            <w:pPr>
              <w:pStyle w:val="Compact"/>
              <w:spacing w:before="20" w:after="20" w:line="240" w:lineRule="auto"/>
              <w:jc w:val="right"/>
              <w:keepNext/>
            </w:pPr>
            <w:r>
              <w:rPr>
                <w:sz w:val="16"/>
                <w:szCs w:val="16"/>
              </w:rPr>
              <w:t xml:space="preserve">908</w:t>
            </w:r>
          </w:p>
        </w:tc>
        <w:tc>
          <w:tcPr>
            <w:tcW w:type="dxa" w:w="1744"/>
          </w:tcPr>
          <w:p>
            <w:pPr>
              <w:pStyle w:val="Compact"/>
              <w:spacing w:before="20" w:after="20" w:line="240" w:lineRule="auto"/>
              <w:keepNext/>
            </w:pPr>
            <w:r>
              <w:rPr>
                <w:sz w:val="16"/>
                <w:szCs w:val="16"/>
              </w:rPr>
              <w:t xml:space="preserve">1.352***</w:t>
            </w:r>
          </w:p>
        </w:tc>
        <w:tc>
          <w:tcPr>
            <w:tcW w:type="dxa" w:w="2093"/>
          </w:tcPr>
          <w:p>
            <w:pPr>
              <w:pStyle w:val="Compact"/>
              <w:spacing w:before="20" w:after="20" w:line="240" w:lineRule="auto"/>
              <w:keepNext/>
            </w:pPr>
            <w:r>
              <w:rPr>
                <w:sz w:val="16"/>
                <w:szCs w:val="16"/>
              </w:rPr>
              <w:t xml:space="preserve">0.898***</w:t>
            </w:r>
          </w:p>
        </w:tc>
      </w:tr>
      <w:tr>
        <w:trPr>
          <w:cantSplit/>
        </w:trPr>
        <w:tc>
          <w:tcPr>
            <w:tcW w:type="dxa" w:w="4709"/>
          </w:tcPr>
          <w:p>
            <w:pPr>
              <w:pStyle w:val="Compact"/>
              <w:spacing w:before="20" w:after="20" w:line="240" w:lineRule="auto"/>
              <w:keepNext/>
            </w:pPr>
            <w:r>
              <w:rPr>
                <w:sz w:val="16"/>
                <w:szCs w:val="16"/>
              </w:rPr>
              <w:t xml:space="preserve">Irrelevant uses excluded (68 applications)</w:t>
            </w:r>
          </w:p>
        </w:tc>
        <w:tc>
          <w:tcPr>
            <w:tcW w:type="dxa" w:w="523"/>
          </w:tcPr>
          <w:p>
            <w:pPr>
              <w:pStyle w:val="Compact"/>
              <w:spacing w:before="20" w:after="20" w:line="240" w:lineRule="auto"/>
              <w:jc w:val="right"/>
              <w:keepNext/>
            </w:pPr>
            <w:r>
              <w:rPr>
                <w:sz w:val="16"/>
                <w:szCs w:val="16"/>
              </w:rPr>
              <w:t xml:space="preserve">860</w:t>
            </w:r>
          </w:p>
        </w:tc>
        <w:tc>
          <w:tcPr>
            <w:tcW w:type="dxa" w:w="1744"/>
          </w:tcPr>
          <w:p>
            <w:pPr>
              <w:pStyle w:val="Compact"/>
              <w:spacing w:before="20" w:after="20" w:line="240" w:lineRule="auto"/>
              <w:keepNext/>
            </w:pPr>
            <w:r>
              <w:rPr>
                <w:sz w:val="16"/>
                <w:szCs w:val="16"/>
              </w:rPr>
              <w:t xml:space="preserve">1.384***</w:t>
            </w:r>
          </w:p>
        </w:tc>
        <w:tc>
          <w:tcPr>
            <w:tcW w:type="dxa" w:w="2093"/>
          </w:tcPr>
          <w:p>
            <w:pPr>
              <w:pStyle w:val="Compact"/>
              <w:spacing w:before="20" w:after="20" w:line="240" w:lineRule="auto"/>
              <w:keepNext/>
            </w:pPr>
            <w:r>
              <w:rPr>
                <w:sz w:val="16"/>
                <w:szCs w:val="16"/>
              </w:rPr>
              <w:t xml:space="preserve">0.820***</w:t>
            </w:r>
          </w:p>
        </w:tc>
      </w:tr>
      <w:tr>
        <w:trPr>
          <w:cantSplit/>
        </w:trPr>
        <w:tc>
          <w:tcPr>
            <w:tcW w:type="dxa" w:w="4709"/>
          </w:tcPr>
          <w:p>
            <w:pPr>
              <w:pStyle w:val="Compact"/>
              <w:spacing w:before="20" w:after="20" w:line="240" w:lineRule="auto"/>
              <w:keepNext/>
            </w:pPr>
            <w:r>
              <w:rPr>
                <w:i/>
                <w:iCs/>
                <w:sz w:val="16"/>
                <w:szCs w:val="16"/>
              </w:rPr>
              <w:t xml:space="preserve">hybrid bonding</w:t>
            </w:r>
            <w:r>
              <w:rPr>
                <w:sz w:val="16"/>
                <w:szCs w:val="16"/>
              </w:rPr>
              <w:t xml:space="preserve"> </w:t>
            </w:r>
            <w:r>
              <w:rPr>
                <w:sz w:val="16"/>
                <w:szCs w:val="16"/>
              </w:rPr>
              <w:t xml:space="preserve">sample (title-based)</w:t>
            </w:r>
          </w:p>
        </w:tc>
        <w:tc>
          <w:tcPr>
            <w:tcW w:type="dxa" w:w="523"/>
          </w:tcPr>
          <w:p>
            <w:pPr>
              <w:pStyle w:val="Compact"/>
              <w:spacing w:before="20" w:after="20" w:line="240" w:lineRule="auto"/>
              <w:jc w:val="right"/>
              <w:keepNext/>
            </w:pPr>
            <w:r>
              <w:rPr>
                <w:sz w:val="16"/>
                <w:szCs w:val="16"/>
              </w:rPr>
              <w:t xml:space="preserve">467</w:t>
            </w:r>
          </w:p>
        </w:tc>
        <w:tc>
          <w:tcPr>
            <w:tcW w:type="dxa" w:w="1744"/>
          </w:tcPr>
          <w:p>
            <w:pPr>
              <w:pStyle w:val="Compact"/>
              <w:spacing w:before="20" w:after="20" w:line="240" w:lineRule="auto"/>
              <w:keepNext/>
            </w:pPr>
            <w:r>
              <w:rPr>
                <w:sz w:val="16"/>
                <w:szCs w:val="16"/>
              </w:rPr>
              <w:t xml:space="preserve">1.485***</w:t>
            </w:r>
          </w:p>
        </w:tc>
        <w:tc>
          <w:tcPr>
            <w:tcW w:type="dxa" w:w="2093"/>
          </w:tcPr>
          <w:p>
            <w:pPr>
              <w:pStyle w:val="Compact"/>
              <w:spacing w:before="20" w:after="20" w:line="240" w:lineRule="auto"/>
              <w:keepNext/>
            </w:pPr>
            <w:r>
              <w:rPr>
                <w:sz w:val="16"/>
                <w:szCs w:val="16"/>
              </w:rPr>
              <w:t xml:space="preserve">1.029</w:t>
            </w:r>
          </w:p>
        </w:tc>
      </w:tr>
    </w:tbl>
    <w:p>
      <w:pPr>
        <w:pStyle w:val="BodyText"/>
      </w:pPr>
      <w:r>
        <w:rPr>
          <w:i/>
          <w:iCs/>
          <w:sz w:val="20"/>
          <w:szCs w:val="20"/>
        </w:rPr>
        <w:t xml:space="preserve">Note:</w:t>
      </w:r>
      <w:r>
        <w:rPr>
          <w:sz w:val="20"/>
          <w:szCs w:val="20"/>
        </w:rPr>
        <w:t xml:space="preserve"> </w:t>
      </w:r>
      <w:r>
        <w:rPr>
          <w:sz w:val="20"/>
          <w:szCs w:val="20"/>
        </w:rPr>
        <w:t xml:space="preserve">In the clustered standard error row, the point estimates are identical to the baseline, and only the significance is based on clustering by title. The standard errors, the remaining coefficients, and the exploratory results for the type-minimum-adjusted CPC scope (breadth_adj) are presented in Appendix A.</w:t>
      </w:r>
    </w:p>
    <w:p>
      <w:pPr>
        <w:pStyle w:val="BodyText"/>
      </w:pPr>
      <w:r>
        <w:rPr>
          <w:b/>
          <w:bCs/>
        </w:rPr>
        <w:t xml:space="preserve">Independence of observations.</w:t>
      </w:r>
      <w:r>
        <w:t xml:space="preserve"> </w:t>
      </w:r>
      <w:r>
        <w:t xml:space="preserve">Even when the standard errors were recalculated with applications of the same title grouped into one cluster, both coefficients in Table 12 remained significant at the 1% level. The only coefficient that lost significance was scope → process-only (RRR 0.905, p = 0.29).</w:t>
      </w:r>
    </w:p>
    <w:p>
      <w:pPr>
        <w:pStyle w:val="BodyText"/>
      </w:pPr>
      <w:r>
        <w:rPr>
          <w:b/>
          <w:bCs/>
        </w:rPr>
        <w:t xml:space="preserve">Mechanical component of scope.</w:t>
      </w:r>
      <w:r>
        <w:t xml:space="preserve"> </w:t>
      </w:r>
      <w:r>
        <w:t xml:space="preserve">Because an integrated application by definition carries at least one symbol from each class, its scope cannot be less than two. The positive association observed for the baseline breadth may therefore partly reflect this difference in the minimum number of CPC symbols by type. When the models were re-estimated with the type-minimum-adjusted CPC scope (breadth_adj, Section 4.3), which subtracts one symbol for each class an application carries, the RRR for the integrated type decreased from 1.403 to 1.262, but its direction was maintained (Appendix A). This means that the additional CPC diversity beyond the minimum composition of each type is also associated with the integrated type.</w:t>
      </w:r>
    </w:p>
    <w:p>
      <w:pPr>
        <w:pStyle w:val="BodyText"/>
      </w:pPr>
      <w:r>
        <w:rPr>
          <w:b/>
          <w:bCs/>
        </w:rPr>
        <w:t xml:space="preserve">Same-title duplicates.</w:t>
      </w:r>
      <w:r>
        <w:t xml:space="preserve"> </w:t>
      </w:r>
      <w:r>
        <w:t xml:space="preserve">Keeping only the earliest application among applications with the same title leaves a sample of 473 applications. In this sample as well, the key coefficients of technological scope and filing year both remained significant at the 1% level.</w:t>
      </w:r>
    </w:p>
    <w:p>
      <w:pPr>
        <w:pStyle w:val="BodyText"/>
      </w:pPr>
      <w:r>
        <w:rPr>
          <w:b/>
          <w:bCs/>
        </w:rPr>
        <w:t xml:space="preserve">Definition of fabrication processes.</w:t>
      </w:r>
      <w:r>
        <w:t xml:space="preserve"> </w:t>
      </w:r>
      <w:r>
        <w:t xml:space="preserve">As noted in Section 4.2, H01L21 (fabrication-process classification) also includes packaging-stage fabrication processes. When a narrow definition that excludes these from fabrication processes is applied (excluding 20 applications with no remaining symbols, N = 908), the applications carrying fabrication-process symbols fall to 52.0% of all 928 applications, and the type distribution of the 908 applications changes to 46.8% bonding-only, 37.2% integrated, and 16.0% process-only, making the bonding-only type the most common. Thus, the descriptive finding that the integrated type is the most common depends on the definition, but even under the narrow definition, more than one-third of applications carry symbols of both domains, and the signs and significance of the two key coefficients remain unchanged.</w:t>
      </w:r>
    </w:p>
    <w:p>
      <w:pPr>
        <w:pStyle w:val="BodyText"/>
      </w:pPr>
      <w:r>
        <w:rPr>
          <w:b/>
          <w:bCs/>
        </w:rPr>
        <w:t xml:space="preserve">Precision of the search terms.</w:t>
      </w:r>
      <w:r>
        <w:t xml:space="preserve"> </w:t>
      </w:r>
      <w:r>
        <w:t xml:space="preserve">In the sample excluding the 68 irrelevant uses (N = 860), the type distribution is 47.4% integrated, 35.3% bonding-only, and 17.2% process-only, and all key coefficients are maintained. In the</w:t>
      </w:r>
      <w:r>
        <w:t xml:space="preserve"> </w:t>
      </w:r>
      <w:r>
        <w:rPr>
          <w:i/>
          <w:iCs/>
        </w:rPr>
        <w:t xml:space="preserve">hybrid bonding</w:t>
      </w:r>
      <w:r>
        <w:t xml:space="preserve"> </w:t>
      </w:r>
      <w:r>
        <w:t xml:space="preserve">sample (N = 467), the distribution is 49.5% integrated, 38.3% bonding-only, and 12.2% process-only, and the RRR of technological scope for the integrated type (1.485) remains significant at the 1% level. The year coefficient for the process-only type, however, is not significant in this sample (RRR 1.029), which contains only 30 applications filed up to 2014. A likely reason is that the decline of the process-only type largely reflects a transition from wafer bonding process applications filed when</w:t>
      </w:r>
      <w:r>
        <w:t xml:space="preserve"> </w:t>
      </w:r>
      <w:r>
        <w:rPr>
          <w:i/>
          <w:iCs/>
        </w:rPr>
        <w:t xml:space="preserve">direct bonding</w:t>
      </w:r>
      <w:r>
        <w:t xml:space="preserve"> </w:t>
      </w:r>
      <w:r>
        <w:t xml:space="preserve">was the prevailing term to structural applications filed in the</w:t>
      </w:r>
      <w:r>
        <w:t xml:space="preserve"> </w:t>
      </w:r>
      <w:r>
        <w:rPr>
          <w:i/>
          <w:iCs/>
        </w:rPr>
        <w:t xml:space="preserve">hybrid bonding</w:t>
      </w:r>
      <w:r>
        <w:t xml:space="preserve"> </w:t>
      </w:r>
      <w:r>
        <w:t xml:space="preserve">era, and this sample cannot adequately capture the earlier period.</w:t>
      </w:r>
    </w:p>
    <w:p>
      <w:pPr>
        <w:pStyle w:val="BodyText"/>
      </w:pPr>
      <w:r>
        <w:rPr>
          <w:b/>
          <w:bCs/>
        </w:rPr>
        <w:t xml:space="preserve">Core technology model.</w:t>
      </w:r>
      <w:r>
        <w:t xml:space="preserve"> </w:t>
      </w:r>
      <w:r>
        <w:t xml:space="preserve">To check whether the results of the core technology analysis are due to a particular sample or variable definition, the baseline model (Table 10) was re-estimated in six ways. The model that controls for the number of bonding symbols other than the core symbols checks whether the association of the core technologies merely reflects a characteristic of applications that carry many bonding symbols, and the model that restricts the core technologies to 24/08 and 24/80 checks whether the same results hold when the scope of the core technologies is narrowed. The remaining four check the independence of observations, same-title duplicates, the definition of fabrication processes, and irrelevant uses of the search terms in the same way as for the multinomial logit in Table 12. In all seven estimations in Table 13, the odds ratio for 1968–2014 is significantly greater than 1, the odds ratio for 2020–2024 does not differ significantly from 1, and the ratio between the two (last column) is significantly less than 1. Even when the number of bonding symbols other than the core symbols is controlled for (with its own OR of 1.100, p &lt; 0.01), the period-specific ORs follow the same pattern (8.768, 2.377, and 0.684). The results are weakest in the sample excluding irrelevant uses. In this sample, the odds ratio for 1968–2014 decreases to 3.981 because 28 of the 51 irrelevant applications carrying bonding symbols were applications without the core technologies filed up to 2014, 25 of which were bonding-only. Nevertheless, the odds ratio for 1968–2014 (p &lt; 0.05) and the 2020–2024 interaction (0.185, p &lt; 0.05) are significant in this sample. However, because the odds ratio for 2015–2019 loses significance with the clustered standard errors and in the sample excluding irrelevant uses, this study does not determine conclusively whether the advantage of the core technologies ceased to be significant in the diffusion phase or in the reconfiguration phase.</w:t>
      </w:r>
    </w:p>
    <w:p>
      <w:pPr>
        <w:pStyle w:val="BodyText"/>
        <w:keepNext/>
      </w:pPr>
      <w:r>
        <w:rPr>
          <w:b/>
          <w:bCs/>
          <w:sz w:val="20"/>
          <w:szCs w:val="20"/>
        </w:rPr>
        <w:t xml:space="preserve">Table 13.</w:t>
      </w:r>
      <w:r>
        <w:rPr>
          <w:sz w:val="20"/>
          <w:szCs w:val="20"/>
        </w:rPr>
        <w:t xml:space="preserve"> </w:t>
      </w:r>
      <w:r>
        <w:rPr>
          <w:sz w:val="20"/>
          <w:szCs w:val="20"/>
        </w:rPr>
        <w:t xml:space="preserve">Comparison of the re-estimation results of the core technology model (applications with H01L24 symbols; period-specific odds ratios of the core technologies; the last column is the 2020–2024 interaction, i.e., the multiple relative to 1968–2014; filing office dummies included;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532"/>
        <w:gridCol w:w="461"/>
        <w:gridCol w:w="1186"/>
        <w:gridCol w:w="1186"/>
        <w:gridCol w:w="1186"/>
        <w:gridCol w:w="1521"/>
      </w:tblGrid>
      <w:tr>
        <w:trPr>
          <w:tblHeader w:val="on"/>
          <w:cantSplit/>
        </w:trPr>
        <w:tc>
          <w:tcPr>
            <w:tcW w:type="dxa" w:w="3532"/>
            <w:tcBorders>
              <w:bottom w:val="single" w:sz="4" w:space="0" w:color="000000"/>
            </w:tcBorders>
          </w:tcPr>
          <w:p>
            <w:pPr>
              <w:pStyle w:val="Compact"/>
              <w:spacing w:before="20" w:after="20" w:line="240" w:lineRule="auto"/>
              <w:keepNext/>
            </w:pPr>
            <w:r>
              <w:rPr>
                <w:sz w:val="13"/>
                <w:szCs w:val="13"/>
              </w:rPr>
              <w:t xml:space="preserve">Sample or variable</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1968–2014</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21"/>
            <w:tcBorders>
              <w:bottom w:val="single" w:sz="4" w:space="0" w:color="000000"/>
            </w:tcBorders>
          </w:tcPr>
          <w:p>
            <w:pPr>
              <w:pStyle w:val="Compact"/>
              <w:spacing w:before="20" w:after="20" w:line="240" w:lineRule="auto"/>
              <w:jc w:val="center"/>
              <w:keepNext/>
            </w:pPr>
            <w:r>
              <w:rPr>
                <w:sz w:val="13"/>
                <w:szCs w:val="13"/>
              </w:rPr>
              <w:t xml:space="preserve">2020–2024 interaction</w:t>
            </w:r>
          </w:p>
        </w:tc>
      </w:tr>
      <w:tr>
        <w:trPr>
          <w:cantSplit/>
        </w:trPr>
        <w:tc>
          <w:tcPr>
            <w:tcW w:type="dxa" w:w="3532"/>
          </w:tcPr>
          <w:p>
            <w:pPr>
              <w:pStyle w:val="Compact"/>
              <w:spacing w:before="20" w:after="20" w:line="240" w:lineRule="auto"/>
              <w:keepNext/>
            </w:pPr>
            <w:r>
              <w:rPr>
                <w:sz w:val="13"/>
                <w:szCs w:val="13"/>
              </w:rPr>
              <w:t xml:space="preserve">Baseline (Table 10)</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Number of non-core bonding symbols controlled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8.768***</w:t>
            </w:r>
          </w:p>
        </w:tc>
        <w:tc>
          <w:tcPr>
            <w:tcW w:type="dxa" w:w="1186"/>
          </w:tcPr>
          <w:p>
            <w:pPr>
              <w:pStyle w:val="Compact"/>
              <w:spacing w:before="20" w:after="20" w:line="240" w:lineRule="auto"/>
              <w:jc w:val="center"/>
              <w:keepNext/>
            </w:pPr>
            <w:r>
              <w:rPr>
                <w:sz w:val="13"/>
                <w:szCs w:val="13"/>
              </w:rPr>
              <w:t xml:space="preserve">2.377**</w:t>
            </w:r>
          </w:p>
        </w:tc>
        <w:tc>
          <w:tcPr>
            <w:tcW w:type="dxa" w:w="1186"/>
          </w:tcPr>
          <w:p>
            <w:pPr>
              <w:pStyle w:val="Compact"/>
              <w:spacing w:before="20" w:after="20" w:line="240" w:lineRule="auto"/>
              <w:jc w:val="center"/>
              <w:keepNext/>
            </w:pPr>
            <w:r>
              <w:rPr>
                <w:sz w:val="13"/>
                <w:szCs w:val="13"/>
              </w:rPr>
              <w:t xml:space="preserve">0.684</w:t>
            </w:r>
          </w:p>
        </w:tc>
        <w:tc>
          <w:tcPr>
            <w:tcW w:type="dxa" w:w="1521"/>
          </w:tcPr>
          <w:p>
            <w:pPr>
              <w:pStyle w:val="Compact"/>
              <w:spacing w:before="20" w:after="20" w:line="240" w:lineRule="auto"/>
              <w:jc w:val="center"/>
              <w:keepNext/>
            </w:pPr>
            <w:r>
              <w:rPr>
                <w:sz w:val="13"/>
                <w:szCs w:val="13"/>
              </w:rPr>
              <w:t xml:space="preserve">0.078***</w:t>
            </w:r>
          </w:p>
        </w:tc>
      </w:tr>
      <w:tr>
        <w:trPr>
          <w:cantSplit/>
        </w:trPr>
        <w:tc>
          <w:tcPr>
            <w:tcW w:type="dxa" w:w="3532"/>
          </w:tcPr>
          <w:p>
            <w:pPr>
              <w:pStyle w:val="Compact"/>
              <w:spacing w:before="20" w:after="20" w:line="240" w:lineRule="auto"/>
              <w:keepNext/>
            </w:pPr>
            <w:r>
              <w:rPr>
                <w:sz w:val="13"/>
                <w:szCs w:val="13"/>
              </w:rPr>
              <w:t xml:space="preserve">Baseline + standard errors clustered by title</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Same-title deduplication (one application per title)</w:t>
            </w:r>
          </w:p>
        </w:tc>
        <w:tc>
          <w:tcPr>
            <w:tcW w:type="dxa" w:w="461"/>
          </w:tcPr>
          <w:p>
            <w:pPr>
              <w:pStyle w:val="Compact"/>
              <w:spacing w:before="20" w:after="20" w:line="240" w:lineRule="auto"/>
              <w:jc w:val="right"/>
              <w:keepNext/>
            </w:pPr>
            <w:r>
              <w:rPr>
                <w:sz w:val="13"/>
                <w:szCs w:val="13"/>
              </w:rPr>
              <w:t xml:space="preserve">361</w:t>
            </w:r>
          </w:p>
        </w:tc>
        <w:tc>
          <w:tcPr>
            <w:tcW w:type="dxa" w:w="1186"/>
          </w:tcPr>
          <w:p>
            <w:pPr>
              <w:pStyle w:val="Compact"/>
              <w:spacing w:before="20" w:after="20" w:line="240" w:lineRule="auto"/>
              <w:jc w:val="center"/>
              <w:keepNext/>
            </w:pPr>
            <w:r>
              <w:rPr>
                <w:sz w:val="13"/>
                <w:szCs w:val="13"/>
              </w:rPr>
              <w:t xml:space="preserve">6.191***</w:t>
            </w:r>
          </w:p>
        </w:tc>
        <w:tc>
          <w:tcPr>
            <w:tcW w:type="dxa" w:w="1186"/>
          </w:tcPr>
          <w:p>
            <w:pPr>
              <w:pStyle w:val="Compact"/>
              <w:spacing w:before="20" w:after="20" w:line="240" w:lineRule="auto"/>
              <w:jc w:val="center"/>
              <w:keepNext/>
            </w:pPr>
            <w:r>
              <w:rPr>
                <w:sz w:val="13"/>
                <w:szCs w:val="13"/>
              </w:rPr>
              <w:t xml:space="preserve">4.433***</w:t>
            </w:r>
          </w:p>
        </w:tc>
        <w:tc>
          <w:tcPr>
            <w:tcW w:type="dxa" w:w="1186"/>
          </w:tcPr>
          <w:p>
            <w:pPr>
              <w:pStyle w:val="Compact"/>
              <w:spacing w:before="20" w:after="20" w:line="240" w:lineRule="auto"/>
              <w:jc w:val="center"/>
              <w:keepNext/>
            </w:pPr>
            <w:r>
              <w:rPr>
                <w:sz w:val="13"/>
                <w:szCs w:val="13"/>
              </w:rPr>
              <w:t xml:space="preserve">0.814</w:t>
            </w:r>
          </w:p>
        </w:tc>
        <w:tc>
          <w:tcPr>
            <w:tcW w:type="dxa" w:w="1521"/>
          </w:tcPr>
          <w:p>
            <w:pPr>
              <w:pStyle w:val="Compact"/>
              <w:spacing w:before="20" w:after="20" w:line="240" w:lineRule="auto"/>
              <w:jc w:val="center"/>
              <w:keepNext/>
            </w:pPr>
            <w:r>
              <w:rPr>
                <w:sz w:val="13"/>
                <w:szCs w:val="13"/>
              </w:rPr>
              <w:t xml:space="preserve">0.131***</w:t>
            </w:r>
          </w:p>
        </w:tc>
      </w:tr>
      <w:tr>
        <w:trPr>
          <w:cantSplit/>
        </w:trPr>
        <w:tc>
          <w:tcPr>
            <w:tcW w:type="dxa" w:w="3532"/>
          </w:tcPr>
          <w:p>
            <w:pPr>
              <w:pStyle w:val="Compact"/>
              <w:spacing w:before="20" w:after="20" w:line="240" w:lineRule="auto"/>
              <w:keepNext/>
            </w:pPr>
            <w:r>
              <w:rPr>
                <w:sz w:val="13"/>
                <w:szCs w:val="13"/>
              </w:rPr>
              <w:t xml:space="preserve">Narrow fabrication-process definition (packaging-stage processes excluded)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15.334***</w:t>
            </w:r>
          </w:p>
        </w:tc>
        <w:tc>
          <w:tcPr>
            <w:tcW w:type="dxa" w:w="1186"/>
          </w:tcPr>
          <w:p>
            <w:pPr>
              <w:pStyle w:val="Compact"/>
              <w:spacing w:before="20" w:after="20" w:line="240" w:lineRule="auto"/>
              <w:jc w:val="center"/>
              <w:keepNext/>
            </w:pPr>
            <w:r>
              <w:rPr>
                <w:sz w:val="13"/>
                <w:szCs w:val="13"/>
              </w:rPr>
              <w:t xml:space="preserve">3.185***</w:t>
            </w:r>
          </w:p>
        </w:tc>
        <w:tc>
          <w:tcPr>
            <w:tcW w:type="dxa" w:w="1186"/>
          </w:tcPr>
          <w:p>
            <w:pPr>
              <w:pStyle w:val="Compact"/>
              <w:spacing w:before="20" w:after="20" w:line="240" w:lineRule="auto"/>
              <w:jc w:val="center"/>
              <w:keepNext/>
            </w:pPr>
            <w:r>
              <w:rPr>
                <w:sz w:val="13"/>
                <w:szCs w:val="13"/>
              </w:rPr>
              <w:t xml:space="preserve">0.771</w:t>
            </w:r>
          </w:p>
        </w:tc>
        <w:tc>
          <w:tcPr>
            <w:tcW w:type="dxa" w:w="1521"/>
          </w:tcPr>
          <w:p>
            <w:pPr>
              <w:pStyle w:val="Compact"/>
              <w:spacing w:before="20" w:after="20" w:line="240" w:lineRule="auto"/>
              <w:jc w:val="center"/>
              <w:keepNext/>
            </w:pPr>
            <w:r>
              <w:rPr>
                <w:sz w:val="13"/>
                <w:szCs w:val="13"/>
              </w:rPr>
              <w:t xml:space="preserve">0.050***</w:t>
            </w:r>
          </w:p>
        </w:tc>
      </w:tr>
      <w:tr>
        <w:trPr>
          <w:cantSplit/>
        </w:trPr>
        <w:tc>
          <w:tcPr>
            <w:tcW w:type="dxa" w:w="3532"/>
          </w:tcPr>
          <w:p>
            <w:pPr>
              <w:pStyle w:val="Compact"/>
              <w:spacing w:before="20" w:after="20" w:line="240" w:lineRule="auto"/>
              <w:keepNext/>
            </w:pPr>
            <w:r>
              <w:rPr>
                <w:sz w:val="13"/>
                <w:szCs w:val="13"/>
              </w:rPr>
              <w:t xml:space="preserve">Irrelevant uses excluded</w:t>
            </w:r>
          </w:p>
        </w:tc>
        <w:tc>
          <w:tcPr>
            <w:tcW w:type="dxa" w:w="461"/>
          </w:tcPr>
          <w:p>
            <w:pPr>
              <w:pStyle w:val="Compact"/>
              <w:spacing w:before="20" w:after="20" w:line="240" w:lineRule="auto"/>
              <w:jc w:val="right"/>
              <w:keepNext/>
            </w:pPr>
            <w:r>
              <w:rPr>
                <w:sz w:val="13"/>
                <w:szCs w:val="13"/>
              </w:rPr>
              <w:t xml:space="preserve">712</w:t>
            </w:r>
          </w:p>
        </w:tc>
        <w:tc>
          <w:tcPr>
            <w:tcW w:type="dxa" w:w="1186"/>
          </w:tcPr>
          <w:p>
            <w:pPr>
              <w:pStyle w:val="Compact"/>
              <w:spacing w:before="20" w:after="20" w:line="240" w:lineRule="auto"/>
              <w:jc w:val="center"/>
              <w:keepNext/>
            </w:pPr>
            <w:r>
              <w:rPr>
                <w:sz w:val="13"/>
                <w:szCs w:val="13"/>
              </w:rPr>
              <w:t xml:space="preserve">3.981**</w:t>
            </w:r>
          </w:p>
        </w:tc>
        <w:tc>
          <w:tcPr>
            <w:tcW w:type="dxa" w:w="1186"/>
          </w:tcPr>
          <w:p>
            <w:pPr>
              <w:pStyle w:val="Compact"/>
              <w:spacing w:before="20" w:after="20" w:line="240" w:lineRule="auto"/>
              <w:jc w:val="center"/>
              <w:keepNext/>
            </w:pPr>
            <w:r>
              <w:rPr>
                <w:sz w:val="13"/>
                <w:szCs w:val="13"/>
              </w:rPr>
              <w:t xml:space="preserve">1.817</w:t>
            </w:r>
          </w:p>
        </w:tc>
        <w:tc>
          <w:tcPr>
            <w:tcW w:type="dxa" w:w="1186"/>
          </w:tcPr>
          <w:p>
            <w:pPr>
              <w:pStyle w:val="Compact"/>
              <w:spacing w:before="20" w:after="20" w:line="240" w:lineRule="auto"/>
              <w:jc w:val="center"/>
              <w:keepNext/>
            </w:pPr>
            <w:r>
              <w:rPr>
                <w:sz w:val="13"/>
                <w:szCs w:val="13"/>
              </w:rPr>
              <w:t xml:space="preserve">0.738</w:t>
            </w:r>
          </w:p>
        </w:tc>
        <w:tc>
          <w:tcPr>
            <w:tcW w:type="dxa" w:w="1521"/>
          </w:tcPr>
          <w:p>
            <w:pPr>
              <w:pStyle w:val="Compact"/>
              <w:spacing w:before="20" w:after="20" w:line="240" w:lineRule="auto"/>
              <w:jc w:val="center"/>
              <w:keepNext/>
            </w:pPr>
            <w:r>
              <w:rPr>
                <w:sz w:val="13"/>
                <w:szCs w:val="13"/>
              </w:rPr>
              <w:t xml:space="preserve">0.185**</w:t>
            </w:r>
          </w:p>
        </w:tc>
      </w:tr>
      <w:tr>
        <w:trPr>
          <w:cantSplit/>
        </w:trPr>
        <w:tc>
          <w:tcPr>
            <w:tcW w:type="dxa" w:w="3532"/>
          </w:tcPr>
          <w:p>
            <w:pPr>
              <w:pStyle w:val="Compact"/>
              <w:spacing w:before="20" w:after="20" w:line="240" w:lineRule="auto"/>
              <w:keepNext/>
            </w:pPr>
            <w:r>
              <w:rPr>
                <w:sz w:val="13"/>
                <w:szCs w:val="13"/>
              </w:rPr>
              <w:t xml:space="preserve">Core technologies restricted to 24/08 and 24/80</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14.474***</w:t>
            </w:r>
          </w:p>
        </w:tc>
        <w:tc>
          <w:tcPr>
            <w:tcW w:type="dxa" w:w="1186"/>
          </w:tcPr>
          <w:p>
            <w:pPr>
              <w:pStyle w:val="Compact"/>
              <w:spacing w:before="20" w:after="20" w:line="240" w:lineRule="auto"/>
              <w:jc w:val="center"/>
              <w:keepNext/>
            </w:pPr>
            <w:r>
              <w:rPr>
                <w:sz w:val="13"/>
                <w:szCs w:val="13"/>
              </w:rPr>
              <w:t xml:space="preserve">3.445***</w:t>
            </w:r>
          </w:p>
        </w:tc>
        <w:tc>
          <w:tcPr>
            <w:tcW w:type="dxa" w:w="1186"/>
          </w:tcPr>
          <w:p>
            <w:pPr>
              <w:pStyle w:val="Compact"/>
              <w:spacing w:before="20" w:after="20" w:line="240" w:lineRule="auto"/>
              <w:jc w:val="center"/>
              <w:keepNext/>
            </w:pPr>
            <w:r>
              <w:rPr>
                <w:sz w:val="13"/>
                <w:szCs w:val="13"/>
              </w:rPr>
              <w:t xml:space="preserve">0.732</w:t>
            </w:r>
          </w:p>
        </w:tc>
        <w:tc>
          <w:tcPr>
            <w:tcW w:type="dxa" w:w="1521"/>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Note:</w:t>
      </w:r>
      <w:r>
        <w:rPr>
          <w:sz w:val="20"/>
          <w:szCs w:val="20"/>
        </w:rPr>
        <w:t xml:space="preserve"> </w:t>
      </w:r>
      <w:r>
        <w:rPr>
          <w:sz w:val="20"/>
          <w:szCs w:val="20"/>
        </w:rPr>
        <w:t xml:space="preserve">Under the narrow fabrication-process definition, integrated applications whose only fabrication-process symbols are packaging-stage process symbols are reclassified as bonding-only, so the sample size is unchanged and the number of integrated applications becomes 338. The</w:t>
      </w:r>
      <w:r>
        <w:rPr>
          <w:sz w:val="20"/>
          <w:szCs w:val="20"/>
        </w:rPr>
        <w:t xml:space="preserve"> </w:t>
      </w:r>
      <w:r>
        <w:rPr>
          <w:i/>
          <w:iCs/>
          <w:sz w:val="20"/>
          <w:szCs w:val="20"/>
        </w:rPr>
        <w:t xml:space="preserve">hybrid bonding</w:t>
      </w:r>
      <w:r>
        <w:rPr>
          <w:sz w:val="20"/>
          <w:szCs w:val="20"/>
        </w:rPr>
        <w:t xml:space="preserve"> </w:t>
      </w:r>
      <w:r>
        <w:rPr>
          <w:sz w:val="20"/>
          <w:szCs w:val="20"/>
        </w:rPr>
        <w:t xml:space="preserve">sample was not used for estimation because it contains only 12 bonding applications without the core technologies up to 2019.</w:t>
      </w:r>
    </w:p>
    <w:p>
      <w:pPr>
        <w:pStyle w:val="BodyText"/>
      </w:pPr>
      <w:r>
        <w:t xml:space="preserve">Table 14 summarizes the baseline results for the three research questions and the re-estimation results of this subsection. The key results for RQ1 and RQ3 held in all re-estimations, and the time trend for RQ2 held in all re-estimations except for the</w:t>
      </w:r>
      <w:r>
        <w:t xml:space="preserve"> </w:t>
      </w:r>
      <w:r>
        <w:rPr>
          <w:i/>
          <w:iCs/>
        </w:rPr>
        <w:t xml:space="preserve">hybrid bonding</w:t>
      </w:r>
      <w:r>
        <w:t xml:space="preserve"> </w:t>
      </w:r>
      <w:r>
        <w:t xml:space="preserve">sample, which contains few applications filed up to 2014.</w:t>
      </w:r>
    </w:p>
    <w:p>
      <w:pPr>
        <w:pStyle w:val="BodyText"/>
        <w:keepNext/>
      </w:pPr>
      <w:r>
        <w:rPr>
          <w:b/>
          <w:bCs/>
          <w:sz w:val="20"/>
          <w:szCs w:val="20"/>
        </w:rPr>
        <w:t xml:space="preserve">Table 14.</w:t>
      </w:r>
      <w:r>
        <w:rPr>
          <w:sz w:val="20"/>
          <w:szCs w:val="20"/>
        </w:rPr>
        <w:t xml:space="preserve"> </w:t>
      </w:r>
      <w:r>
        <w:rPr>
          <w:sz w:val="20"/>
          <w:szCs w:val="20"/>
        </w:rPr>
        <w:t xml:space="preserve">Summary of the main results by research question (* p &lt; 0.10, ** p &lt; 0.05, *** p &lt; 0.01; 95% CIs are the exponentiated values of the logit coefficient ± 1.96 × standard error).</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14"/>
        <w:gridCol w:w="2166"/>
        <w:gridCol w:w="2721"/>
        <w:gridCol w:w="2267"/>
      </w:tblGrid>
      <w:tr>
        <w:trPr>
          <w:tblHeader w:val="on"/>
          <w:cantSplit/>
        </w:trPr>
        <w:tc>
          <w:tcPr>
            <w:tcW w:type="dxa" w:w="1914"/>
            <w:tcBorders>
              <w:bottom w:val="single" w:sz="4" w:space="0" w:color="000000"/>
            </w:tcBorders>
          </w:tcPr>
          <w:p>
            <w:pPr>
              <w:pStyle w:val="Compact"/>
              <w:spacing w:before="20" w:after="20" w:line="240" w:lineRule="auto"/>
              <w:keepNext/>
            </w:pPr>
            <w:r>
              <w:rPr>
                <w:sz w:val="18"/>
                <w:szCs w:val="18"/>
              </w:rPr>
              <w:t xml:space="preserve">Research question</w:t>
            </w:r>
          </w:p>
        </w:tc>
        <w:tc>
          <w:tcPr>
            <w:tcW w:type="dxa" w:w="2166"/>
            <w:tcBorders>
              <w:bottom w:val="single" w:sz="4" w:space="0" w:color="000000"/>
            </w:tcBorders>
          </w:tcPr>
          <w:p>
            <w:pPr>
              <w:pStyle w:val="Compact"/>
              <w:spacing w:before="20" w:after="20" w:line="240" w:lineRule="auto"/>
              <w:keepNext/>
            </w:pPr>
            <w:r>
              <w:rPr>
                <w:sz w:val="18"/>
                <w:szCs w:val="18"/>
              </w:rPr>
              <w:t xml:space="preserve">Analysis</w:t>
            </w:r>
          </w:p>
        </w:tc>
        <w:tc>
          <w:tcPr>
            <w:tcW w:type="dxa" w:w="2721"/>
            <w:tcBorders>
              <w:bottom w:val="single" w:sz="4" w:space="0" w:color="000000"/>
            </w:tcBorders>
          </w:tcPr>
          <w:p>
            <w:pPr>
              <w:pStyle w:val="Compact"/>
              <w:spacing w:before="20" w:after="20" w:line="240" w:lineRule="auto"/>
              <w:keepNext/>
            </w:pPr>
            <w:r>
              <w:rPr>
                <w:sz w:val="18"/>
                <w:szCs w:val="18"/>
              </w:rPr>
              <w:t xml:space="preserve">Main results</w:t>
            </w:r>
          </w:p>
        </w:tc>
        <w:tc>
          <w:tcPr>
            <w:tcW w:type="dxa" w:w="2267"/>
            <w:tcBorders>
              <w:bottom w:val="single" w:sz="4" w:space="0" w:color="000000"/>
            </w:tcBorders>
          </w:tcPr>
          <w:p>
            <w:pPr>
              <w:pStyle w:val="Compact"/>
              <w:spacing w:before="20" w:after="20" w:line="240" w:lineRule="auto"/>
              <w:keepNext/>
            </w:pPr>
            <w:r>
              <w:rPr>
                <w:sz w:val="18"/>
                <w:szCs w:val="18"/>
              </w:rPr>
              <w:t xml:space="preserve">Re-estimations</w:t>
            </w:r>
          </w:p>
        </w:tc>
      </w:tr>
      <w:tr>
        <w:trPr>
          <w:cantSplit/>
        </w:trPr>
        <w:tc>
          <w:tcPr>
            <w:tcW w:type="dxa" w:w="1914"/>
          </w:tcPr>
          <w:p>
            <w:pPr>
              <w:pStyle w:val="Compact"/>
              <w:spacing w:before="20" w:after="20" w:line="240" w:lineRule="auto"/>
              <w:keepNext/>
            </w:pPr>
            <w:r>
              <w:rPr>
                <w:sz w:val="18"/>
                <w:szCs w:val="18"/>
              </w:rPr>
              <w:t xml:space="preserve">RQ1 Level and types</w:t>
            </w:r>
          </w:p>
        </w:tc>
        <w:tc>
          <w:tcPr>
            <w:tcW w:type="dxa" w:w="2166"/>
          </w:tcPr>
          <w:p>
            <w:pPr>
              <w:pStyle w:val="Compact"/>
              <w:spacing w:before="20" w:after="20" w:line="240" w:lineRule="auto"/>
              <w:keepNext/>
            </w:pPr>
            <w:r>
              <w:rPr>
                <w:sz w:val="18"/>
                <w:szCs w:val="18"/>
              </w:rPr>
              <w:t xml:space="preserve">Type distribution; multinomial logit (technological scope → integrated)</w:t>
            </w:r>
          </w:p>
        </w:tc>
        <w:tc>
          <w:tcPr>
            <w:tcW w:type="dxa" w:w="2721"/>
          </w:tcPr>
          <w:p>
            <w:pPr>
              <w:pStyle w:val="Compact"/>
              <w:spacing w:before="20" w:after="20" w:line="240" w:lineRule="auto"/>
              <w:keepNext/>
            </w:pPr>
            <w:r>
              <w:rPr>
                <w:sz w:val="18"/>
                <w:szCs w:val="18"/>
              </w:rPr>
              <w:t xml:space="preserve">Integrated 45.8% (narrow definition 37.2%); RRR 1.403*** (95% CI 1.321–1.489; Table 8)</w:t>
            </w:r>
          </w:p>
        </w:tc>
        <w:tc>
          <w:tcPr>
            <w:tcW w:type="dxa" w:w="2267"/>
          </w:tcPr>
          <w:p>
            <w:pPr>
              <w:pStyle w:val="Compact"/>
              <w:spacing w:before="20" w:after="20" w:line="240" w:lineRule="auto"/>
              <w:keepNext/>
            </w:pPr>
            <w:r>
              <w:rPr>
                <w:sz w:val="18"/>
                <w:szCs w:val="18"/>
              </w:rPr>
              <w:t xml:space="preserve">1.295–1.485*** in all re-estimations in Table 12 (compositional association)</w:t>
            </w:r>
          </w:p>
        </w:tc>
      </w:tr>
      <w:tr>
        <w:trPr>
          <w:cantSplit/>
        </w:trPr>
        <w:tc>
          <w:tcPr>
            <w:tcW w:type="dxa" w:w="1914"/>
          </w:tcPr>
          <w:p>
            <w:pPr>
              <w:pStyle w:val="Compact"/>
              <w:spacing w:before="20" w:after="20" w:line="240" w:lineRule="auto"/>
              <w:keepNext/>
            </w:pPr>
            <w:r>
              <w:rPr>
                <w:sz w:val="18"/>
                <w:szCs w:val="18"/>
              </w:rPr>
              <w:t xml:space="preserve">RQ2 Temporal change</w:t>
            </w:r>
          </w:p>
        </w:tc>
        <w:tc>
          <w:tcPr>
            <w:tcW w:type="dxa" w:w="2166"/>
          </w:tcPr>
          <w:p>
            <w:pPr>
              <w:pStyle w:val="Compact"/>
              <w:spacing w:before="20" w:after="20" w:line="240" w:lineRule="auto"/>
              <w:keepNext/>
            </w:pPr>
            <w:r>
              <w:rPr>
                <w:sz w:val="18"/>
                <w:szCs w:val="18"/>
              </w:rPr>
              <w:t xml:space="preserve">Type distribution by period; multinomial logit (filing year → process-only)</w:t>
            </w:r>
          </w:p>
        </w:tc>
        <w:tc>
          <w:tcPr>
            <w:tcW w:type="dxa" w:w="2721"/>
          </w:tcPr>
          <w:p>
            <w:pPr>
              <w:pStyle w:val="Compact"/>
              <w:spacing w:before="20" w:after="20" w:line="240" w:lineRule="auto"/>
              <w:keepNext/>
            </w:pPr>
            <w:r>
              <w:rPr>
                <w:sz w:val="18"/>
                <w:szCs w:val="18"/>
              </w:rPr>
              <w:t xml:space="preserve">Integrated 31.3% → 62.2% → 44.3% (Table 9); RRR 0.913*** (95% CI 0.887–0.940; Table 8); period dummies 0.273***/0.101***; association with technological scope 1.179–1.513*** in all three periods</w:t>
            </w:r>
          </w:p>
        </w:tc>
        <w:tc>
          <w:tcPr>
            <w:tcW w:type="dxa" w:w="2267"/>
          </w:tcPr>
          <w:p>
            <w:pPr>
              <w:pStyle w:val="Compact"/>
              <w:spacing w:before="20" w:after="20" w:line="240" w:lineRule="auto"/>
              <w:keepNext/>
            </w:pPr>
            <w:r>
              <w:rPr>
                <w:sz w:val="18"/>
                <w:szCs w:val="18"/>
              </w:rPr>
              <w:t xml:space="preserve">0.820–0.935*** (Table 12); no time trend identified in the</w:t>
            </w:r>
            <w:r>
              <w:rPr>
                <w:sz w:val="18"/>
                <w:szCs w:val="18"/>
              </w:rPr>
              <w:t xml:space="preserve"> </w:t>
            </w:r>
            <w:r>
              <w:rPr>
                <w:i/>
                <w:iCs/>
                <w:sz w:val="18"/>
                <w:szCs w:val="18"/>
              </w:rPr>
              <w:t xml:space="preserve">hybrid bonding</w:t>
            </w:r>
            <w:r>
              <w:rPr>
                <w:sz w:val="18"/>
                <w:szCs w:val="18"/>
              </w:rPr>
              <w:t xml:space="preserve"> </w:t>
            </w:r>
            <w:r>
              <w:rPr>
                <w:sz w:val="18"/>
                <w:szCs w:val="18"/>
              </w:rPr>
              <w:t xml:space="preserve">sample, which has only 30 applications filed up to 2014</w:t>
            </w:r>
          </w:p>
        </w:tc>
      </w:tr>
      <w:tr>
        <w:trPr>
          <w:cantSplit/>
        </w:trPr>
        <w:tc>
          <w:tcPr>
            <w:tcW w:type="dxa" w:w="1914"/>
          </w:tcPr>
          <w:p>
            <w:pPr>
              <w:pStyle w:val="Compact"/>
              <w:spacing w:before="20" w:after="20" w:line="240" w:lineRule="auto"/>
              <w:keepNext/>
            </w:pPr>
            <w:r>
              <w:rPr>
                <w:sz w:val="18"/>
                <w:szCs w:val="18"/>
              </w:rPr>
              <w:t xml:space="preserve">RQ3 Shift in the structural center</w:t>
            </w:r>
          </w:p>
        </w:tc>
        <w:tc>
          <w:tcPr>
            <w:tcW w:type="dxa" w:w="2166"/>
          </w:tcPr>
          <w:p>
            <w:pPr>
              <w:pStyle w:val="Compact"/>
              <w:spacing w:before="20" w:after="20" w:line="240" w:lineRule="auto"/>
              <w:keepNext/>
            </w:pPr>
            <w:r>
              <w:rPr>
                <w:sz w:val="18"/>
                <w:szCs w:val="18"/>
              </w:rPr>
              <w:t xml:space="preserve">Binary logit (core technologies × filing period); coupling strength and betweenness centrality by domain</w:t>
            </w:r>
          </w:p>
        </w:tc>
        <w:tc>
          <w:tcPr>
            <w:tcW w:type="dxa" w:w="2721"/>
          </w:tcPr>
          <w:p>
            <w:pPr>
              <w:pStyle w:val="Compact"/>
              <w:spacing w:before="20" w:after="20" w:line="240" w:lineRule="auto"/>
              <w:keepNext/>
            </w:pPr>
            <w:r>
              <w:rPr>
                <w:sz w:val="18"/>
                <w:szCs w:val="18"/>
              </w:rPr>
              <w:t xml:space="preserve">Odds ratio of core technologies 11.071*** (95% CI 4.211–29.107) → 2.452** → 0.658 (not significant; Table 10); 2020–2024 interaction 0.059***; fabrication-process domain most strongly coupled with bonding shifted from wafer fabrication to packaging-stage processes (Table 11)</w:t>
            </w:r>
          </w:p>
        </w:tc>
        <w:tc>
          <w:tcPr>
            <w:tcW w:type="dxa" w:w="2267"/>
          </w:tcPr>
          <w:p>
            <w:pPr>
              <w:pStyle w:val="Compact"/>
              <w:spacing w:before="20" w:after="20" w:line="240" w:lineRule="auto"/>
              <w:keepNext/>
            </w:pPr>
            <w:r>
              <w:rPr>
                <w:sz w:val="18"/>
                <w:szCs w:val="18"/>
              </w:rPr>
              <w:t xml:space="preserve">Interaction 0.050–0.185 in all re-estimations, all significant at the 5% level (Table 13)</w:t>
            </w:r>
          </w:p>
        </w:tc>
      </w:tr>
    </w:tbl>
    <w:bookmarkEnd w:id="46"/>
    <w:bookmarkEnd w:id="47"/>
    <w:bookmarkStart w:id="51" w:name="discussion"/>
    <w:p>
      <w:pPr>
        <w:pStyle w:val="Heading2"/>
      </w:pPr>
      <w:r>
        <w:t xml:space="preserve">6. Discussion</w:t>
      </w:r>
    </w:p>
    <w:p>
      <w:pPr>
        <w:pStyle w:val="FirstParagraph"/>
      </w:pPr>
      <w:r>
        <w:t xml:space="preserve">Based on the results in Section 5, this section discusses the theoretical, practical, and policy implications and presents the limitations of the study and directions for future research.</w:t>
      </w:r>
    </w:p>
    <w:bookmarkStart w:id="48" w:name="theoretical-implications"/>
    <w:p>
      <w:pPr>
        <w:pStyle w:val="Heading3"/>
      </w:pPr>
      <w:r>
        <w:t xml:space="preserve">6.1 Theoretical implications</w:t>
      </w:r>
    </w:p>
    <w:p>
      <w:pPr>
        <w:pStyle w:val="FirstParagraph"/>
      </w:pPr>
      <w:r>
        <w:t xml:space="preserve">Corresponding to the three research questions, the results of this study have the following three theoretical implications.</w:t>
      </w:r>
    </w:p>
    <w:p>
      <w:pPr>
        <w:pStyle w:val="BodyText"/>
      </w:pPr>
      <w:r>
        <w:rPr>
          <w:b/>
          <w:bCs/>
        </w:rPr>
        <w:t xml:space="preserve">First, technology convergence occurs not only between different industries but also between process stages within a single industry (RQ1).</w:t>
      </w:r>
      <w:r>
        <w:t xml:space="preserve"> </w:t>
      </w:r>
      <w:r>
        <w:t xml:space="preserve">The existing literature has treated convergence mainly as a phenomenon between industries or between technological fields (Curran &amp; Leker, 2011; Hacklin et al., 2010; Zhang &amp; Zhang, 2025). The results of this study show that the same concept also applies to a boundary within an industry, namely, the boundary between the fabrication-process domain and the bonding domain of semiconductor manufacturing, and that the crossing of this boundary can be observed in individual patents. Of the patents related to hybrid bonding, 45.8% carry symbols of both domains, and even under the narrow definition, the share reaches 37.2%.</w:t>
      </w:r>
      <w:r>
        <w:t xml:space="preserve"> </w:t>
      </w:r>
      <w:r>
        <w:rPr>
          <w:highlight w:val="yellow"/>
        </w:rPr>
        <w:t xml:space="preserve">In knowledge terms, this extends the study of knowledge boundaries (Brusoni et al., 2001; Kapoor &amp; Adner, 2012) from the boundaries of firms to vertically separated process domains within a single industry.</w:t>
      </w:r>
      <w:r>
        <w:t xml:space="preserve"> </w:t>
      </w:r>
      <w:r>
        <w:t xml:space="preserve">If industry architecture is the template for the division of labor, as Jacobides et al. (2006) argue, then inventions that begin to incorporate both sides once the interface between stages becomes unstable reflect an expansion of technological interdependence that may precede the reorganization of that template; this study captures this expansion through patent co-classification. Whereas Kapoor (2013) showed that organizational integration persisted amid the division of labor, this study points to a possible technological basis for that integration, namely, that the knowledge of the two domains is being combined within individual inventions. According to the stage logic of convergence (Hacklin et al., 2010), the combination of technologies precedes the combination of organizations; the hypothesis that the distribution of boundary-spanning patents can therefore serve as a leading indicator of changes in organizational boundaries is left for future research.</w:t>
      </w:r>
    </w:p>
    <w:p>
      <w:pPr>
        <w:pStyle w:val="BodyText"/>
      </w:pPr>
      <w:r>
        <w:t xml:space="preserve">This result also has implications for the characteristics of boundary-spanning inventions. In this study, boundary-spanning patents were found to include more diverse technical elements. Whereas Kodama (1992) defined fusion at the level of firms’ R&amp;D organizations and convergence indices operate at the level of fields, this study used patent-level evidence to identify technological diversity as a characteristic of boundary-spanning inventions. This provides one answer to the question raised in Section 2.1, namely, which inventions embody convergence, a question that field-level indicators could hardly address. Applications that span more CPC subgroups are more likely to carry both fabrication-process and bonding symbols, whereas applications with a narrow scope tend to remain within one domain.</w:t>
      </w:r>
      <w:r>
        <w:t xml:space="preserve"> </w:t>
      </w:r>
      <w:r>
        <w:rPr>
          <w:highlight w:val="yellow"/>
        </w:rPr>
        <w:t xml:space="preserve">This is a compositional association, partly built into the definitions of the types, rather than evidence that diversity causes integration (Sections 5.4 and 6.3).</w:t>
      </w:r>
      <w:r>
        <w:t xml:space="preserve"> </w:t>
      </w:r>
      <w:r>
        <w:t xml:space="preserve">This association appeared in the formation, diffusion, and reconfiguration phases alike and thus persisted while the center of convergence shifted. This pattern accords with Lerner’s (1994) finding that patent scope has economic value and with Ziedonis’s (2004) explanation that broad portfolios are advantageous in fragmented markets for technology, although the value of patents is not measured in this study. In technologies whose performance and yield depend on the capabilities of adjacent process stages, broad technological diversity may also be related to intellectual property protection strategies (Zhao et al., 2023), and it is one way in which cross-stage convergence manifests itself in patent classification.</w:t>
      </w:r>
    </w:p>
    <w:p>
      <w:pPr>
        <w:pStyle w:val="BodyText"/>
      </w:pPr>
      <w:r>
        <w:rPr>
          <w:b/>
          <w:bCs/>
        </w:rPr>
        <w:t xml:space="preserve">Second, cross-stage convergence did not expand linearly but unfolded through three phases, namely, formation, diffusion, and reconfiguration, during which the center of gravity of filings shifted from fabrication processes toward bonding (RQ2).</w:t>
      </w:r>
      <w:r>
        <w:t xml:space="preserve"> </w:t>
      </w:r>
      <w:r>
        <w:t xml:space="preserve">Table 15 summarizes the results of this study in chronological order. If convergence were understood as a simple process of expansion, the share of boundary-spanning patents would be expected to increase steadily over time. The results, however, show otherwise. In the formation phase (1968–2014), stand-alone fabrication-process inventions, such as those on planarization, surface activation, and wafer bonding, were the most common type (process-only, 43.6%), and inventions dealing with the core of bonding mostly incorporated fabrication-process knowledge as well (OR of the core technologies, 11.071). In the diffusion phase (2015–2019), process inventions were more often classified together with bonding technologies than on their own, and the integrated share peaked at 62.2%. In the reconfiguration phase (2020–2024), the integrated share fell to 44.3%, and the bonding-only share rose to 45.4%. In this phase, applications containing the core technologies did not cross the boundary more often than applications without them (OR 0.658, not significant), and the fabrication processes most often assigned together with the core technologies were die support and encapsulation processes using temporary substrates. Meanwhile, the integrated share of bonding applications without the core technologies rose from 27.7% to 56.9%. The average number of symbols per application points in the same direction: the average number of bonding (H01L24) symbols increased from 3.03 in 1968–2014 to 4.73 in 2015–2019 and then decreased to 3.91 in 2020–2024, whereas that of fabrication-process (H01L21) symbols was 2.12 and 2.23 in the first two periods and then decreased to 1.46.</w:t>
      </w:r>
    </w:p>
    <w:p>
      <w:pPr>
        <w:pStyle w:val="BodyText"/>
        <w:keepNext/>
      </w:pPr>
      <w:r>
        <w:rPr>
          <w:b/>
          <w:bCs/>
          <w:sz w:val="20"/>
          <w:szCs w:val="20"/>
        </w:rPr>
        <w:t xml:space="preserve">Table 15.</w:t>
      </w:r>
      <w:r>
        <w:rPr>
          <w:sz w:val="20"/>
          <w:szCs w:val="20"/>
        </w:rPr>
        <w:t xml:space="preserve"> </w:t>
      </w:r>
      <w:r>
        <w:rPr>
          <w:sz w:val="20"/>
          <w:szCs w:val="20"/>
        </w:rPr>
        <w:t xml:space="preserve">Three phases of cross-stage convergence in hybrid bonding (type shares from Table 9, odds ratios from Table 10, and the share of core technologies and the main fabrication processes from Section 5.3).</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23"/>
        <w:gridCol w:w="1026"/>
        <w:gridCol w:w="864"/>
        <w:gridCol w:w="864"/>
        <w:gridCol w:w="1674"/>
        <w:gridCol w:w="1187"/>
        <w:gridCol w:w="1834"/>
      </w:tblGrid>
      <w:tr>
        <w:trPr>
          <w:tblHeader w:val="on"/>
          <w:cantSplit/>
        </w:trPr>
        <w:tc>
          <w:tcPr>
            <w:tcW w:type="dxa" w:w="1623"/>
            <w:tcBorders>
              <w:bottom w:val="single" w:sz="4" w:space="0" w:color="000000"/>
            </w:tcBorders>
          </w:tcPr>
          <w:p>
            <w:pPr>
              <w:pStyle w:val="Compact"/>
              <w:spacing w:before="20" w:after="20" w:line="240" w:lineRule="auto"/>
              <w:keepNext/>
            </w:pPr>
            <w:r>
              <w:rPr>
                <w:sz w:val="13"/>
                <w:szCs w:val="13"/>
              </w:rPr>
              <w:t xml:space="preserve">Phase (period)</w:t>
            </w:r>
          </w:p>
        </w:tc>
        <w:tc>
          <w:tcPr>
            <w:tcW w:type="dxa" w:w="1026"/>
            <w:tcBorders>
              <w:bottom w:val="single" w:sz="4" w:space="0" w:color="000000"/>
            </w:tcBorders>
          </w:tcPr>
          <w:p>
            <w:pPr>
              <w:pStyle w:val="Compact"/>
              <w:spacing w:before="20" w:after="20" w:line="240" w:lineRule="auto"/>
              <w:jc w:val="right"/>
              <w:keepNext/>
            </w:pPr>
            <w:r>
              <w:rPr>
                <w:sz w:val="13"/>
                <w:szCs w:val="13"/>
              </w:rPr>
              <w:t xml:space="preserve">Integrated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Process-only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Bonding-only (%)</w:t>
            </w:r>
          </w:p>
        </w:tc>
        <w:tc>
          <w:tcPr>
            <w:tcW w:type="dxa" w:w="1674"/>
            <w:tcBorders>
              <w:bottom w:val="single" w:sz="4" w:space="0" w:color="000000"/>
            </w:tcBorders>
          </w:tcPr>
          <w:p>
            <w:pPr>
              <w:pStyle w:val="Compact"/>
              <w:spacing w:before="20" w:after="20" w:line="240" w:lineRule="auto"/>
              <w:jc w:val="right"/>
              <w:keepNext/>
            </w:pPr>
            <w:r>
              <w:rPr>
                <w:sz w:val="13"/>
                <w:szCs w:val="13"/>
              </w:rPr>
              <w:t xml:space="preserve">Share with core technologies (bonding applications, %)</w:t>
            </w:r>
          </w:p>
        </w:tc>
        <w:tc>
          <w:tcPr>
            <w:tcW w:type="dxa" w:w="1187"/>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834"/>
            <w:tcBorders>
              <w:bottom w:val="single" w:sz="4" w:space="0" w:color="000000"/>
            </w:tcBorders>
          </w:tcPr>
          <w:p>
            <w:pPr>
              <w:pStyle w:val="Compact"/>
              <w:spacing w:before="20" w:after="20" w:line="240" w:lineRule="auto"/>
              <w:keepNext/>
            </w:pPr>
            <w:r>
              <w:rPr>
                <w:sz w:val="13"/>
                <w:szCs w:val="13"/>
              </w:rPr>
              <w:t xml:space="preserve">Main fabrication processes combined with core technologies</w:t>
            </w:r>
          </w:p>
        </w:tc>
      </w:tr>
      <w:tr>
        <w:trPr>
          <w:cantSplit/>
        </w:trPr>
        <w:tc>
          <w:tcPr>
            <w:tcW w:type="dxa" w:w="1623"/>
          </w:tcPr>
          <w:p>
            <w:pPr>
              <w:pStyle w:val="Compact"/>
              <w:spacing w:before="20" w:after="20" w:line="240" w:lineRule="auto"/>
              <w:keepNext/>
            </w:pPr>
            <w:r>
              <w:rPr>
                <w:sz w:val="13"/>
                <w:szCs w:val="13"/>
              </w:rPr>
              <w:t xml:space="preserve">Formation (1968–2014)</w:t>
            </w:r>
          </w:p>
        </w:tc>
        <w:tc>
          <w:tcPr>
            <w:tcW w:type="dxa" w:w="1026"/>
          </w:tcPr>
          <w:p>
            <w:pPr>
              <w:pStyle w:val="Compact"/>
              <w:spacing w:before="20" w:after="20" w:line="240" w:lineRule="auto"/>
              <w:jc w:val="right"/>
              <w:keepNext/>
            </w:pPr>
            <w:r>
              <w:rPr>
                <w:sz w:val="13"/>
                <w:szCs w:val="13"/>
              </w:rPr>
              <w:t xml:space="preserve">31.3</w:t>
            </w:r>
          </w:p>
        </w:tc>
        <w:tc>
          <w:tcPr>
            <w:tcW w:type="dxa" w:w="864"/>
          </w:tcPr>
          <w:p>
            <w:pPr>
              <w:pStyle w:val="Compact"/>
              <w:spacing w:before="20" w:after="20" w:line="240" w:lineRule="auto"/>
              <w:jc w:val="right"/>
              <w:keepNext/>
            </w:pPr>
            <w:r>
              <w:rPr>
                <w:sz w:val="13"/>
                <w:szCs w:val="13"/>
              </w:rPr>
              <w:t xml:space="preserve">43.6</w:t>
            </w:r>
          </w:p>
        </w:tc>
        <w:tc>
          <w:tcPr>
            <w:tcW w:type="dxa" w:w="864"/>
          </w:tcPr>
          <w:p>
            <w:pPr>
              <w:pStyle w:val="Compact"/>
              <w:spacing w:before="20" w:after="20" w:line="240" w:lineRule="auto"/>
              <w:jc w:val="right"/>
              <w:keepNext/>
            </w:pPr>
            <w:r>
              <w:rPr>
                <w:sz w:val="13"/>
                <w:szCs w:val="13"/>
              </w:rPr>
              <w:t xml:space="preserve">25.1</w:t>
            </w:r>
          </w:p>
        </w:tc>
        <w:tc>
          <w:tcPr>
            <w:tcW w:type="dxa" w:w="1674"/>
          </w:tcPr>
          <w:p>
            <w:pPr>
              <w:pStyle w:val="Compact"/>
              <w:spacing w:before="20" w:after="20" w:line="240" w:lineRule="auto"/>
              <w:jc w:val="right"/>
              <w:keepNext/>
            </w:pPr>
            <w:r>
              <w:rPr>
                <w:sz w:val="13"/>
                <w:szCs w:val="13"/>
              </w:rPr>
              <w:t xml:space="preserve">53.5</w:t>
            </w:r>
          </w:p>
        </w:tc>
        <w:tc>
          <w:tcPr>
            <w:tcW w:type="dxa" w:w="1187"/>
          </w:tcPr>
          <w:p>
            <w:pPr>
              <w:pStyle w:val="Compact"/>
              <w:spacing w:before="20" w:after="20" w:line="240" w:lineRule="auto"/>
              <w:jc w:val="center"/>
              <w:keepNext/>
            </w:pPr>
            <w:r>
              <w:rPr>
                <w:sz w:val="13"/>
                <w:szCs w:val="13"/>
              </w:rPr>
              <w:t xml:space="preserve">11.071***</w:t>
            </w:r>
          </w:p>
        </w:tc>
        <w:tc>
          <w:tcPr>
            <w:tcW w:type="dxa" w:w="1834"/>
          </w:tcPr>
          <w:p>
            <w:pPr>
              <w:pStyle w:val="Compact"/>
              <w:spacing w:before="20" w:after="20" w:line="240" w:lineRule="auto"/>
              <w:keepNext/>
            </w:pPr>
            <w:r>
              <w:rPr>
                <w:sz w:val="13"/>
                <w:szCs w:val="13"/>
              </w:rPr>
              <w:t xml:space="preserve">—</w:t>
            </w:r>
          </w:p>
        </w:tc>
      </w:tr>
      <w:tr>
        <w:trPr>
          <w:cantSplit/>
        </w:trPr>
        <w:tc>
          <w:tcPr>
            <w:tcW w:type="dxa" w:w="1623"/>
          </w:tcPr>
          <w:p>
            <w:pPr>
              <w:pStyle w:val="Compact"/>
              <w:spacing w:before="20" w:after="20" w:line="240" w:lineRule="auto"/>
              <w:keepNext/>
            </w:pPr>
            <w:r>
              <w:rPr>
                <w:sz w:val="13"/>
                <w:szCs w:val="13"/>
              </w:rPr>
              <w:t xml:space="preserve">Diffusion (2015–2019)</w:t>
            </w:r>
          </w:p>
        </w:tc>
        <w:tc>
          <w:tcPr>
            <w:tcW w:type="dxa" w:w="1026"/>
          </w:tcPr>
          <w:p>
            <w:pPr>
              <w:pStyle w:val="Compact"/>
              <w:spacing w:before="20" w:after="20" w:line="240" w:lineRule="auto"/>
              <w:jc w:val="right"/>
              <w:keepNext/>
            </w:pPr>
            <w:r>
              <w:rPr>
                <w:sz w:val="13"/>
                <w:szCs w:val="13"/>
              </w:rPr>
              <w:t xml:space="preserve">62.2</w:t>
            </w:r>
          </w:p>
        </w:tc>
        <w:tc>
          <w:tcPr>
            <w:tcW w:type="dxa" w:w="864"/>
          </w:tcPr>
          <w:p>
            <w:pPr>
              <w:pStyle w:val="Compact"/>
              <w:spacing w:before="20" w:after="20" w:line="240" w:lineRule="auto"/>
              <w:jc w:val="right"/>
              <w:keepNext/>
            </w:pPr>
            <w:r>
              <w:rPr>
                <w:sz w:val="13"/>
                <w:szCs w:val="13"/>
              </w:rPr>
              <w:t xml:space="preserve">14.8</w:t>
            </w:r>
          </w:p>
        </w:tc>
        <w:tc>
          <w:tcPr>
            <w:tcW w:type="dxa" w:w="864"/>
          </w:tcPr>
          <w:p>
            <w:pPr>
              <w:pStyle w:val="Compact"/>
              <w:spacing w:before="20" w:after="20" w:line="240" w:lineRule="auto"/>
              <w:jc w:val="right"/>
              <w:keepNext/>
            </w:pPr>
            <w:r>
              <w:rPr>
                <w:sz w:val="13"/>
                <w:szCs w:val="13"/>
              </w:rPr>
              <w:t xml:space="preserve">23.0</w:t>
            </w:r>
          </w:p>
        </w:tc>
        <w:tc>
          <w:tcPr>
            <w:tcW w:type="dxa" w:w="1674"/>
          </w:tcPr>
          <w:p>
            <w:pPr>
              <w:pStyle w:val="Compact"/>
              <w:spacing w:before="20" w:after="20" w:line="240" w:lineRule="auto"/>
              <w:jc w:val="right"/>
              <w:keepNext/>
            </w:pPr>
            <w:r>
              <w:rPr>
                <w:sz w:val="13"/>
                <w:szCs w:val="13"/>
              </w:rPr>
              <w:t xml:space="preserve">78.7</w:t>
            </w:r>
          </w:p>
        </w:tc>
        <w:tc>
          <w:tcPr>
            <w:tcW w:type="dxa" w:w="1187"/>
          </w:tcPr>
          <w:p>
            <w:pPr>
              <w:pStyle w:val="Compact"/>
              <w:spacing w:before="20" w:after="20" w:line="240" w:lineRule="auto"/>
              <w:jc w:val="center"/>
              <w:keepNext/>
            </w:pPr>
            <w:r>
              <w:rPr>
                <w:sz w:val="13"/>
                <w:szCs w:val="13"/>
              </w:rPr>
              <w:t xml:space="preserve">2.452**</w:t>
            </w:r>
          </w:p>
        </w:tc>
        <w:tc>
          <w:tcPr>
            <w:tcW w:type="dxa" w:w="1834"/>
          </w:tcPr>
          <w:p>
            <w:pPr>
              <w:pStyle w:val="Compact"/>
              <w:spacing w:before="20" w:after="20" w:line="240" w:lineRule="auto"/>
              <w:keepNext/>
            </w:pPr>
            <w:r>
              <w:rPr>
                <w:sz w:val="13"/>
                <w:szCs w:val="13"/>
              </w:rPr>
              <w:t xml:space="preserve">Joining of semiconductor bodies (21/187), through-substrate vias (21/76898)</w:t>
            </w:r>
          </w:p>
        </w:tc>
      </w:tr>
      <w:tr>
        <w:trPr>
          <w:cantSplit/>
        </w:trPr>
        <w:tc>
          <w:tcPr>
            <w:tcW w:type="dxa" w:w="1623"/>
          </w:tcPr>
          <w:p>
            <w:pPr>
              <w:pStyle w:val="Compact"/>
              <w:spacing w:before="20" w:after="20" w:line="240" w:lineRule="auto"/>
              <w:keepNext/>
            </w:pPr>
            <w:r>
              <w:rPr>
                <w:sz w:val="13"/>
                <w:szCs w:val="13"/>
              </w:rPr>
              <w:t xml:space="preserve">Reconfiguration (2020–2024)</w:t>
            </w:r>
          </w:p>
        </w:tc>
        <w:tc>
          <w:tcPr>
            <w:tcW w:type="dxa" w:w="1026"/>
          </w:tcPr>
          <w:p>
            <w:pPr>
              <w:pStyle w:val="Compact"/>
              <w:spacing w:before="20" w:after="20" w:line="240" w:lineRule="auto"/>
              <w:jc w:val="right"/>
              <w:keepNext/>
            </w:pPr>
            <w:r>
              <w:rPr>
                <w:sz w:val="13"/>
                <w:szCs w:val="13"/>
              </w:rPr>
              <w:t xml:space="preserve">44.3</w:t>
            </w:r>
          </w:p>
        </w:tc>
        <w:tc>
          <w:tcPr>
            <w:tcW w:type="dxa" w:w="864"/>
          </w:tcPr>
          <w:p>
            <w:pPr>
              <w:pStyle w:val="Compact"/>
              <w:spacing w:before="20" w:after="20" w:line="240" w:lineRule="auto"/>
              <w:jc w:val="right"/>
              <w:keepNext/>
            </w:pPr>
            <w:r>
              <w:rPr>
                <w:sz w:val="13"/>
                <w:szCs w:val="13"/>
              </w:rPr>
              <w:t xml:space="preserve">10.4</w:t>
            </w:r>
          </w:p>
        </w:tc>
        <w:tc>
          <w:tcPr>
            <w:tcW w:type="dxa" w:w="864"/>
          </w:tcPr>
          <w:p>
            <w:pPr>
              <w:pStyle w:val="Compact"/>
              <w:spacing w:before="20" w:after="20" w:line="240" w:lineRule="auto"/>
              <w:jc w:val="right"/>
              <w:keepNext/>
            </w:pPr>
            <w:r>
              <w:rPr>
                <w:sz w:val="13"/>
                <w:szCs w:val="13"/>
              </w:rPr>
              <w:t xml:space="preserve">45.4</w:t>
            </w:r>
          </w:p>
        </w:tc>
        <w:tc>
          <w:tcPr>
            <w:tcW w:type="dxa" w:w="1674"/>
          </w:tcPr>
          <w:p>
            <w:pPr>
              <w:pStyle w:val="Compact"/>
              <w:spacing w:before="20" w:after="20" w:line="240" w:lineRule="auto"/>
              <w:jc w:val="right"/>
              <w:keepNext/>
            </w:pPr>
            <w:r>
              <w:rPr>
                <w:sz w:val="13"/>
                <w:szCs w:val="13"/>
              </w:rPr>
              <w:t xml:space="preserve">88.0</w:t>
            </w:r>
          </w:p>
        </w:tc>
        <w:tc>
          <w:tcPr>
            <w:tcW w:type="dxa" w:w="1187"/>
          </w:tcPr>
          <w:p>
            <w:pPr>
              <w:pStyle w:val="Compact"/>
              <w:spacing w:before="20" w:after="20" w:line="240" w:lineRule="auto"/>
              <w:jc w:val="center"/>
              <w:keepNext/>
            </w:pPr>
            <w:r>
              <w:rPr>
                <w:sz w:val="13"/>
                <w:szCs w:val="13"/>
              </w:rPr>
              <w:t xml:space="preserve">0.658</w:t>
            </w:r>
          </w:p>
        </w:tc>
        <w:tc>
          <w:tcPr>
            <w:tcW w:type="dxa" w:w="1834"/>
          </w:tcPr>
          <w:p>
            <w:pPr>
              <w:pStyle w:val="Compact"/>
              <w:spacing w:before="20" w:after="20" w:line="240" w:lineRule="auto"/>
              <w:keepNext/>
            </w:pPr>
            <w:r>
              <w:rPr>
                <w:sz w:val="13"/>
                <w:szCs w:val="13"/>
              </w:rPr>
              <w:t xml:space="preserve">Support using temporary substrates (21/6835), temporary substrates as encapsulation process aids (21/568)</w:t>
            </w:r>
          </w:p>
        </w:tc>
      </w:tr>
    </w:tbl>
    <w:p>
      <w:pPr>
        <w:pStyle w:val="BodyText"/>
      </w:pPr>
      <w:r>
        <w:rPr>
          <w:i/>
          <w:iCs/>
          <w:sz w:val="20"/>
          <w:szCs w:val="20"/>
        </w:rPr>
        <w:t xml:space="preserve">Note:</w:t>
      </w:r>
      <w:r>
        <w:rPr>
          <w:sz w:val="20"/>
          <w:szCs w:val="20"/>
        </w:rPr>
        <w:t xml:space="preserve"> </w:t>
      </w:r>
      <w:r>
        <w:rPr>
          <w:sz w:val="20"/>
          <w:szCs w:val="20"/>
        </w:rPr>
        <w:t xml:space="preserve">The odds ratio of the core technologies compares the odds of being integrated for bonding applications containing the core technologies with those for bonding applications not containing them (** p &lt; 0.05, *** p &lt; 0.01). The main fabrication processes are the most frequent H01L21 symbols in integrated applications containing the core technologies. For the formation phase, no representative symbol is given because the 43 relevant applications are concentrated in a few groups of applications sharing the same title (even the most frequent symbol appears under only five titles).</w:t>
      </w:r>
    </w:p>
    <w:p>
      <w:pPr>
        <w:pStyle w:val="BodyText"/>
      </w:pPr>
      <w:r>
        <w:t xml:space="preserve">Whereas theory views convergence as a staged process moving from knowledge through technologies and applications to industries (Hacklin et al., 2010), temporal changes in the content of convergence have rarely been examined empirically; these results reveal such changes. That is, in hybrid bonding, technology convergence was not a static combination that, once formed, kept expanding but a dynamic process in which the level of convergence and its composition by type varied with the developmental stage of the technology.</w:t>
      </w:r>
      <w:r>
        <w:t xml:space="preserve"> </w:t>
      </w:r>
      <w:r>
        <w:rPr>
          <w:highlight w:val="yellow"/>
        </w:rPr>
        <w:t xml:space="preserve">Put differently, the intensity and form of cross-stage knowledge integration were reorganized nonlinearly as the technological architecture evolved.</w:t>
      </w:r>
      <w:r>
        <w:t xml:space="preserve"> </w:t>
      </w:r>
      <w:r>
        <w:t xml:space="preserve">The background to these phase transitions can be understood more concretely through the following results on the shift in the structural center of convergence.</w:t>
      </w:r>
    </w:p>
    <w:p>
      <w:pPr>
        <w:pStyle w:val="BodyText"/>
      </w:pPr>
      <w:r>
        <w:rPr>
          <w:b/>
          <w:bCs/>
        </w:rPr>
        <w:t xml:space="preserve">Third, the center of convergence shifted from the core technologies to peripheral processes (RQ3).</w:t>
      </w:r>
      <w:r>
        <w:t xml:space="preserve"> </w:t>
      </w:r>
      <w:r>
        <w:t xml:space="preserve">The finding that the integrated-type advantage of applications containing the core technologies was pronounced in the formation phase but was not observed in the reconfiguration phase is consistent with the technology cycle model (Anderson &amp; Tushman, 1990), according to which the interfaces become entrenched once a dominant design has been established and subsequent innovation shifts to incremental improvement within the established design. The increase in the share of bonding applications containing the core technologies from 53.5% to 88.0% can be interpreted as invention concentrating on a single core design, and the finding that inventions dealing with this core no longer incorporate fabrication-process knowledge more often than other bonding inventions is consistent with the logic of Murmann and Frenken (2006) that once the design of a core element has become entrenched, the need to change the elements linked to it decreases. As the use of hybrid bonding expanded from wafer-level to die-level bonding and as HBM and chiplets approached volume production (Lau, 2021, 2022), the point at which the two process stages meet appears to have moved from the bonding principle to processes for handling and stacking dies. The coupling strength of each fabrication-process domain and the betweenness centrality in the technology network show the same change. While the core symbols remained hubs throughout the three periods, the center of the fabrication processes combined with bonding, as well as the links connecting the two, shifted from wafer fabrication to processing apparatus and packaging-stage processes (Section 5.3, Table 11). Here,</w:t>
      </w:r>
      <w:r>
        <w:t xml:space="preserve"> </w:t>
      </w:r>
      <w:r>
        <w:t xml:space="preserve">“peripheral”</w:t>
      </w:r>
      <w:r>
        <w:t xml:space="preserve"> </w:t>
      </w:r>
      <w:r>
        <w:t xml:space="preserve">has the structural meaning of lying outside the core bonding symbols; it does not mean that these processes are less important in volume production. Cross-stage convergence thus did not accumulate through more patents crossing the boundary but unfolded through phase-by-phase changes in the content and center of what crosses the boundary.</w:t>
      </w:r>
      <w:r>
        <w:t xml:space="preserve"> </w:t>
      </w:r>
      <w:r>
        <w:rPr>
          <w:highlight w:val="yellow"/>
        </w:rPr>
        <w:t xml:space="preserve">These findings suggest that the maturation of a technological architecture does not eliminate cross-domain knowledge integration; instead, it relocates the locus of integration from the core interface to the peripheral processes required to implement the established architecture in new applications.</w:t>
      </w:r>
      <w:r>
        <w:t xml:space="preserve"> </w:t>
      </w:r>
      <w:r>
        <w:t xml:space="preserve">This pattern is consistent with the coevolutionary logic of Hacklin et al. (2009), here observed within a single technology, and it provides empirical grounds for explaining the dynamic unfolding of technology convergence in terms of the core–periphery relationship of technological architecture and the technology cycle.</w:t>
      </w:r>
    </w:p>
    <w:bookmarkEnd w:id="48"/>
    <w:bookmarkStart w:id="49" w:name="practical-and-policy-implications"/>
    <w:p>
      <w:pPr>
        <w:pStyle w:val="Heading3"/>
      </w:pPr>
      <w:r>
        <w:t xml:space="preserve">6.2 Practical and policy implications</w:t>
      </w:r>
    </w:p>
    <w:p>
      <w:pPr>
        <w:pStyle w:val="FirstParagraph"/>
      </w:pPr>
      <w:r>
        <w:t xml:space="preserve">These results also have implications for firms and policy. The finding that a considerable number of applications include both fabrication-process and bonding technologies suggests that, in hybrid bonding, bonding capabilities alone are not sufficient and that knowledge of adjacent processes, encompassing surface planarization, contamination control, surface chemistry, and alignment, may become important. This is in line with the knowledge-boundary logic of Kapoor and Adner (2012) that firms benefit from possessing knowledge beyond the scope of what they produce themselves.</w:t>
      </w:r>
      <w:r>
        <w:t xml:space="preserve"> </w:t>
      </w:r>
      <w:r>
        <w:rPr>
          <w:highlight w:val="yellow"/>
        </w:rPr>
        <w:t xml:space="preserve">Because production boundaries and knowledge boundaries need not coincide (Brusoni et al., 2001), firms may need to maintain knowledge of adjacent stages even when they do not perform those stages themselves.</w:t>
      </w:r>
      <w:r>
        <w:t xml:space="preserve"> </w:t>
      </w:r>
      <w:r>
        <w:t xml:space="preserve">The independent industry analysis by KnowMade (2024), which identifies foundries, integrated device manufacturers, and licensing firms as the applicants leading patent activity, can be understood in the same context.</w:t>
      </w:r>
    </w:p>
    <w:p>
      <w:pPr>
        <w:pStyle w:val="BodyText"/>
      </w:pPr>
      <w:r>
        <w:t xml:space="preserve">Meanwhile, according to the period-specific results, inventions containing the core principle of hybrid bonding did not carry fabrication-process symbols more often than other bonding inventions in the reconfiguration phase, and the fabrication processes combined with the core technologies were often processes for handling dies and completing them as packages, such as support on temporary substrates and encapsulation. This suggests that the focus of competition may be shifting from the invention of the core principle to the invention of applied technologies that combine this principle with die-level processes. For the Korean memory industry, which seeks to introduce hybrid bonding into next-generation HBM stacking, these results imply that packaging competitiveness may not hinge on the bonding principle alone. In addition to fabrication-process capabilities such as planarization, surface chemistry, and alignment metrology, capabilities that extend to the handling and stacking of thin dies may be required.</w:t>
      </w:r>
    </w:p>
    <w:bookmarkEnd w:id="49"/>
    <w:bookmarkStart w:id="50" w:name="limitations-and-future-research"/>
    <w:p>
      <w:pPr>
        <w:pStyle w:val="Heading3"/>
      </w:pPr>
      <w:r>
        <w:t xml:space="preserve">6.3 Limitations and future research</w:t>
      </w:r>
    </w:p>
    <w:p>
      <w:pPr>
        <w:pStyle w:val="FirstParagraph"/>
      </w:pPr>
      <w:r>
        <w:t xml:space="preserve">The limitations of this study can be summarized in the following six points. The first concerns construct validity. H01L21–H01L24 co-classification is a proxy for cross-stage technology convergence, H01L21 also includes packaging-stage fabrication processes, and technological scope is derived from the same CPC information as the type. The regression results held under the narrow definition, but descriptive statistics such as the integrated share depend on the definition. In addition, because the CPC is revised periodically and past applications may be reclassified retroactively, part of the observed temporal change may reflect changes in the classification system and examination practices rather than in the technology itself.</w:t>
      </w:r>
      <w:r>
        <w:t xml:space="preserve"> </w:t>
      </w:r>
      <w:r>
        <w:rPr>
          <w:highlight w:val="yellow"/>
        </w:rPr>
        <w:t xml:space="preserve">Accordingly, co-classification is used as an observable trace of the integration of knowledge from two process domains within an invention; it does not measure knowledge transfer between organizations, firms’ absorptive capacity, or innovation performance.</w:t>
      </w:r>
      <w:r>
        <w:t xml:space="preserve"> </w:t>
      </w:r>
      <w:r>
        <w:t xml:space="preserve">The second concerns sample selection. The title keyword search has clear criteria but cannot capture applications whose titles lack relevant terms, and the 68 irrelevant uses of the search terms had to be identified separately and examined through a sensitivity analysis. The third concerns the unit of observation and duplication. The unit of analysis is the application, and because the extracted data lack a patent family identifier, duplication was adjusted approximately on the basis of identical titles, so the independence of observations is not fully guaranteed. The fourth concerns omitted variables. The data do not include applicants and their firm types, nationality, end-use areas, or the distinction between wafer-level and die-level bonding, and CPC symbols outside the two classes are absent from the regression data. Because the indexing codes in the technology cluster and technology network tables come from a separate tabulation of all CPC symbols of the same applications, the core technology variable was defined using only the four bonding symbols included in the regression data. The boundary of the core technologies also depends on the threshold of 200 or more applications, although the substantive results held when the core technologies were restricted to the most strongly linked pair of core symbols (24/08 and 24/80). The fifth concerns causality. Because diversity and type are likely to be determined jointly and no suitable instrumental variable is available, no causal relationship is claimed, and filing office was included only as a control variable. The period division in the core technology analysis likewise approximates the timing of the formation of the dominant design by filing period rather than measuring it directly. The sixth concerns the timing of measurement. The CPC co-classification used as a signal of convergence is reproducible but is assigned later than the invention. Text-based methods (Lei et al., 2019; Preschitschek et al., 2013; Zhu &amp; Motohashi, 2022) allow earlier detection but depend on trained models. Because the boundary between H01L21 and H01L24 is institutionally clear, this study prioritized reproducibility.</w:t>
      </w:r>
      <w:r>
        <w:t xml:space="preserve"> </w:t>
      </w:r>
      <w:r>
        <w:rPr>
          <w:highlight w:val="yellow"/>
        </w:rPr>
        <w:t xml:space="preserve">In addition, because patent applications are generally published 18 months after the priority date, filings from the most recent years are not yet fully observed (Figure 3), and the boundaries of the three periods were set in light of the concentration of filings rather than estimated from the data; the results for the reconfiguration phase should therefore be read with this truncation in mind, and alternative periodizations are left for future research.</w:t>
      </w:r>
    </w:p>
    <w:p>
      <w:pPr>
        <w:pStyle w:val="BodyText"/>
      </w:pPr>
      <w:r>
        <w:t xml:space="preserve">Despite these limitations, the design of this study can be applied to other contexts. Process technologies in which a downstream stage has begun to depend on upstream capabilities, such as advanced lithography in displays, cell-to-pack integration in batteries, and additive manufacturing in aerospace assembly, can all be analyzed with the same two-class rule and discrete choice models. A comparison of several cases would make it possible to determine whether the formation–diffusion–reconfiguration trajectory observed in this study is general. In addition, future research could exploit the fact that each patent is a set of several symbols and use representations that preserve higher-order co-occurrence or generality indices (Petralia, 2020) to test directly the general-purpose technology character of hybrid bonding as it spreads to logic, memory, and image sensors.</w:t>
      </w:r>
    </w:p>
    <w:bookmarkEnd w:id="50"/>
    <w:bookmarkEnd w:id="51"/>
    <w:bookmarkStart w:id="52" w:name="conclusion"/>
    <w:p>
      <w:pPr>
        <w:pStyle w:val="Heading2"/>
      </w:pPr>
      <w:r>
        <w:t xml:space="preserve">7. Conclusion</w:t>
      </w:r>
    </w:p>
    <w:p>
      <w:pPr>
        <w:pStyle w:val="FirstParagraph"/>
      </w:pPr>
      <w:r>
        <w:t xml:space="preserve">Technology convergence has been studied mainly as a combination between industries and as a question of whether the degree of convergence has increased. This study analyzed, at the level of individual applications, to what extent and in what forms technology convergence occurs between the process stages of a single industry, how its level and form change over time, and how its center shifts between core and peripheral technologies. To this end, each of the 928 applications related to hybrid bonding was classified as bonding-only, process-only, or integrated on the basis of its assigned CPC symbols, and this study estimated which patents cross the boundary between the two process stages and how this pattern changed over time.</w:t>
      </w:r>
    </w:p>
    <w:p>
      <w:pPr>
        <w:pStyle w:val="BodyText"/>
      </w:pPr>
      <w:r>
        <w:t xml:space="preserve">The main results for each research question are as follows. First, regarding RQ1, cross-stage convergence was found not to be an exceptional phenomenon. The integrated type was the largest group (45.8%) and still accounted for 37.2% under the narrow definition, and patents including more diverse technical elements were more likely to cross the boundary. Second, regarding RQ2, the level and form of convergence changed through three phases. In the formation phase, stand-alone fabrication-process inventions (the process-only type) were the most common; in the diffusion phase, the integrated type, which includes both process stages, peaked at 62.2%; and in the reconfiguration phase, the integrated type declined, and the bonding-only type increased. As the process-only type became less common among more recent filings, the center of gravity of filings shifted toward bonding, and this result held in all re-estimations except for the</w:t>
      </w:r>
      <w:r>
        <w:t xml:space="preserve"> </w:t>
      </w:r>
      <w:r>
        <w:rPr>
          <w:i/>
          <w:iCs/>
        </w:rPr>
        <w:t xml:space="preserve">hybrid bonding</w:t>
      </w:r>
      <w:r>
        <w:t xml:space="preserve"> </w:t>
      </w:r>
      <w:r>
        <w:t xml:space="preserve">sample, which contains few applications filed up to 2014. The association between technological diversity and the integrated type persisted in all three phases. Third, regarding RQ3, the center of convergence shifted from the core technologies to peripheral processes. In the formation phase, the odds that applications containing the core technologies identified through the technology cluster and technology network also carried a fabrication-process classification were 11.1 times those of bonding applications without them, but this difference was not significant in the reconfiguration phase, and this decline held in all re-estimations. In addition, the fabrication processes assigned together with the core technologies changed to die support and encapsulation processes using temporary substrates, and the center of the fabrication processes combined with bonding also shifted from wafer fabrication to processing apparatus and packaging-stage processes.</w:t>
      </w:r>
    </w:p>
    <w:p>
      <w:pPr>
        <w:pStyle w:val="BodyText"/>
      </w:pPr>
      <w:r>
        <w:t xml:space="preserve">These results suggest that cross-stage convergence was not a process of accumulation in one direction but a dynamic process in which the center of convergence moved from the core to the periphery</w:t>
      </w:r>
      <w:r>
        <w:rPr>
          <w:highlight w:val="yellow"/>
        </w:rPr>
        <w:t xml:space="preserve">, consistent with increasing entrenchment of the core design. As the technological architecture matured, the integration of knowledge from the two process stages did not disappear but relocated from the core interface to the peripheral processes that implement the architecture.</w:t>
      </w:r>
    </w:p>
    <w:p>
      <w:pPr>
        <w:pStyle w:val="BodyText"/>
      </w:pPr>
      <w:r>
        <w:t xml:space="preserve">The academic contributions of this study, corresponding to the three research questions, can be summarized as follows. This study extended the analytical scope of technology convergence research from convergence between industries to convergence between process stages within the same industry, analyzed technology convergence as a dynamic process whose composition by type changes over time, and empirically documented the shift in the structural center of convergence from the perspective of the core–periphery relationship of technological architecture and the technology cycle. Methodologically, the contribution of this study lies not in proposing a new convergence index but in recasting co-classification as types of individual patents, which makes it possible to estimate patent-level heterogeneity and its change over time, and in linking these types to the core technologies identified through the technology cluster and technology network.</w:t>
      </w:r>
      <w:r>
        <w:t xml:space="preserve"> </w:t>
      </w:r>
      <w:r>
        <w:rPr>
          <w:highlight w:val="yellow"/>
        </w:rPr>
        <w:t xml:space="preserve">Taken together, these contributions link innovation and knowledge: the co-classification of inventions traces how knowledge from vertically separated process domains is integrated and where that integration is located as a technology matures.</w:t>
      </w:r>
    </w:p>
    <w:p>
      <w:r>
        <w:pict>
          <v:rect style="width:0;height:1.5pt" o:hralign="center" o:hrstd="t" o:hr="t"/>
        </w:pict>
      </w:r>
    </w:p>
    <w:bookmarkEnd w:id="52"/>
    <w:bookmarkStart w:id="53" w:name="data-availability"/>
    <w:p>
      <w:pPr>
        <w:pStyle w:val="Heading2"/>
      </w:pPr>
      <w:r>
        <w:t xml:space="preserve">Data availability</w:t>
      </w:r>
    </w:p>
    <w:p>
      <w:pPr>
        <w:pStyle w:val="FirstParagraph"/>
      </w:pPr>
      <w:r>
        <w:rPr>
          <w:highlight w:val="yellow"/>
        </w:rPr>
        <w:t xml:space="preserve">The patent data were extracted from PATSTAT Global, a licensed database of the European Patent Office, and cannot be redistributed. The application identifiers and the analysis code are available from the corresponding author upon reasonable request.</w:t>
      </w:r>
    </w:p>
    <w:bookmarkEnd w:id="53"/>
    <w:bookmarkStart w:id="54" w:name="X1f74eb43af444059c7518034463b6c89b1cacf4"/>
    <w:p>
      <w:pPr>
        <w:pStyle w:val="Heading2"/>
      </w:pPr>
      <w:r>
        <w:t xml:space="preserve">Declaration of generative AI and AI-assisted technologies in the manuscript preparation process</w:t>
      </w:r>
    </w:p>
    <w:p>
      <w:pPr>
        <w:pStyle w:val="FirstParagraph"/>
      </w:pPr>
      <w:r>
        <w:rPr>
          <w:highlight w:val="yellow"/>
        </w:rPr>
        <w:t xml:space="preserve">During the preparation of this work, the authors used Claude (Anthropic) to translate the manuscript from Korean into English and to edit the language. After using this tool, the authors reviewed and edited the content as needed and take full responsibility for the content of the published article.</w:t>
      </w:r>
    </w:p>
    <w:bookmarkEnd w:id="54"/>
    <w:bookmarkStart w:id="55" w:name="references"/>
    <w:p>
      <w:pPr>
        <w:pStyle w:val="Heading2"/>
      </w:pPr>
      <w:r>
        <w:t xml:space="preserve">References</w:t>
      </w:r>
    </w:p>
    <w:p>
      <w:pPr>
        <w:pStyle w:val="FirstParagraph"/>
        <w:ind w:left="720" w:hanging="720"/>
      </w:pPr>
      <w:r>
        <w:t xml:space="preserve">Anderson, P., &amp; Tushman, M. L. (1990). Technological discontinuities and dominant designs: A cyclical model of technological change.</w:t>
      </w:r>
      <w:r>
        <w:t xml:space="preserve"> </w:t>
      </w:r>
      <w:r>
        <w:rPr>
          <w:i/>
          <w:iCs/>
        </w:rPr>
        <w:t xml:space="preserve">Administrative Science Quarterly</w:t>
      </w:r>
      <w:r>
        <w:t xml:space="preserve">,</w:t>
      </w:r>
      <w:r>
        <w:t xml:space="preserve"> </w:t>
      </w:r>
      <w:r>
        <w:rPr>
          <w:i/>
          <w:iCs/>
        </w:rPr>
        <w:t xml:space="preserve">35</w:t>
      </w:r>
      <w:r>
        <w:t xml:space="preserve">(4), 604–633. https://doi.org/10.2307/2393511</w:t>
      </w:r>
    </w:p>
    <w:p>
      <w:pPr>
        <w:pStyle w:val="BodyText"/>
        <w:ind w:left="720" w:hanging="720"/>
      </w:pPr>
      <w:r>
        <w:t xml:space="preserve">Applied Materials. (2025).</w:t>
      </w:r>
      <w:r>
        <w:t xml:space="preserve"> </w:t>
      </w:r>
      <w:r>
        <w:rPr>
          <w:i/>
          <w:iCs/>
        </w:rPr>
        <w:t xml:space="preserve">Kinex integrated die-to-wafer hybrid bonding system</w:t>
      </w:r>
      <w:r>
        <w:t xml:space="preserve"> </w:t>
      </w:r>
      <w:r>
        <w:t xml:space="preserve">[Press release, in Korean; written by J. Kim]. Retrieved October 12, 2026, from https://www.appliedmaterials.com/kr/ko/newsroom/press-releases/251126-next-gen-semi-equipment-ko.html</w:t>
      </w:r>
    </w:p>
    <w:p>
      <w:pPr>
        <w:pStyle w:val="BodyText"/>
        <w:ind w:left="720" w:hanging="720"/>
      </w:pPr>
      <w:r>
        <w:t xml:space="preserve">Arden, W., Brillouët, M., Cogez, P., Graef, M., Huizing, B., &amp; Mahnkopf, R. (2010).</w:t>
      </w:r>
      <w:r>
        <w:t xml:space="preserve"> </w:t>
      </w:r>
      <w:r>
        <w:rPr>
          <w:i/>
          <w:iCs/>
        </w:rPr>
        <w:t xml:space="preserve">“More-than-Moore”</w:t>
      </w:r>
      <w:r>
        <w:rPr>
          <w:i/>
          <w:iCs/>
        </w:rPr>
        <w:t xml:space="preserve"> </w:t>
      </w:r>
      <w:r>
        <w:rPr>
          <w:i/>
          <w:iCs/>
        </w:rPr>
        <w:t xml:space="preserve">white paper</w:t>
      </w:r>
      <w:r>
        <w:t xml:space="preserve">. International Technology Roadmap for Semiconductors (ITRS).</w:t>
      </w:r>
    </w:p>
    <w:p>
      <w:pPr>
        <w:pStyle w:val="BodyText"/>
        <w:ind w:left="720" w:hanging="720"/>
      </w:pPr>
      <w:r>
        <w:t xml:space="preserve">Breschi, S., Lissoni, F., &amp; Malerba, F. (2003). Knowledge-relatedness in firm technological diversification.</w:t>
      </w:r>
      <w:r>
        <w:t xml:space="preserve"> </w:t>
      </w:r>
      <w:r>
        <w:rPr>
          <w:i/>
          <w:iCs/>
        </w:rPr>
        <w:t xml:space="preserve">Research Policy</w:t>
      </w:r>
      <w:r>
        <w:t xml:space="preserve">,</w:t>
      </w:r>
      <w:r>
        <w:t xml:space="preserve"> </w:t>
      </w:r>
      <w:r>
        <w:rPr>
          <w:i/>
          <w:iCs/>
        </w:rPr>
        <w:t xml:space="preserve">32</w:t>
      </w:r>
      <w:r>
        <w:t xml:space="preserve">(1), 69–87. https://doi.org/10.1016/S0048-7333(02)00004-5</w:t>
      </w:r>
    </w:p>
    <w:p>
      <w:pPr>
        <w:pStyle w:val="BodyText"/>
        <w:ind w:left="720" w:hanging="720"/>
      </w:pPr>
      <w:r>
        <w:t xml:space="preserve">Bröring, S., Cloutier, L. M., &amp; Leker, J. (2006). The front end of innovation in an era of industry convergence: Evidence from nutraceuticals and functional foods.</w:t>
      </w:r>
      <w:r>
        <w:t xml:space="preserve"> </w:t>
      </w:r>
      <w:r>
        <w:rPr>
          <w:i/>
          <w:iCs/>
        </w:rPr>
        <w:t xml:space="preserve">R&amp;D Management</w:t>
      </w:r>
      <w:r>
        <w:t xml:space="preserve">,</w:t>
      </w:r>
      <w:r>
        <w:t xml:space="preserve"> </w:t>
      </w:r>
      <w:r>
        <w:rPr>
          <w:i/>
          <w:iCs/>
        </w:rPr>
        <w:t xml:space="preserve">36</w:t>
      </w:r>
      <w:r>
        <w:t xml:space="preserve">(5), 487–498. https://doi.org/10.1111/j.1467-9310.2006.00449.x</w:t>
      </w:r>
    </w:p>
    <w:p>
      <w:pPr>
        <w:pStyle w:val="BodyText"/>
        <w:ind w:left="720" w:hanging="720"/>
      </w:pPr>
      <w:r>
        <w:t xml:space="preserve">Brown, C., &amp; Linden, G. (2009).</w:t>
      </w:r>
      <w:r>
        <w:t xml:space="preserve"> </w:t>
      </w:r>
      <w:r>
        <w:rPr>
          <w:i/>
          <w:iCs/>
        </w:rPr>
        <w:t xml:space="preserve">Chips and change: How crisis reshapes the semiconductor industry</w:t>
      </w:r>
      <w:r>
        <w:t xml:space="preserve">. MIT Press.</w:t>
      </w:r>
    </w:p>
    <w:p>
      <w:pPr>
        <w:pStyle w:val="BodyText"/>
        <w:ind w:left="720" w:hanging="720"/>
      </w:pPr>
      <w:r>
        <w:t xml:space="preserve">Brusoni, S., Prencipe, A., &amp; Pavitt, K. (2001). Knowledge specialization, organizational coupling, and the boundaries of the firm: Why do firms know more than they make?</w:t>
      </w:r>
      <w:r>
        <w:t xml:space="preserve"> </w:t>
      </w:r>
      <w:r>
        <w:rPr>
          <w:i/>
          <w:iCs/>
        </w:rPr>
        <w:t xml:space="preserve">Administrative Science Quarterly</w:t>
      </w:r>
      <w:r>
        <w:t xml:space="preserve">,</w:t>
      </w:r>
      <w:r>
        <w:t xml:space="preserve"> </w:t>
      </w:r>
      <w:r>
        <w:rPr>
          <w:i/>
          <w:iCs/>
        </w:rPr>
        <w:t xml:space="preserve">46</w:t>
      </w:r>
      <w:r>
        <w:t xml:space="preserve">(4), 597–621. https://doi.org/10.2307/3094825</w:t>
      </w:r>
    </w:p>
    <w:p>
      <w:pPr>
        <w:pStyle w:val="BodyText"/>
        <w:ind w:left="720" w:hanging="720"/>
      </w:pPr>
      <w:r>
        <w:t xml:space="preserve">Caviggioli, F. (2016). Technology fusion: Identification and analysis of the drivers of technology convergence using patent data.</w:t>
      </w:r>
      <w:r>
        <w:t xml:space="preserve"> </w:t>
      </w:r>
      <w:r>
        <w:rPr>
          <w:i/>
          <w:iCs/>
        </w:rPr>
        <w:t xml:space="preserve">Technovation</w:t>
      </w:r>
      <w:r>
        <w:t xml:space="preserve">,</w:t>
      </w:r>
      <w:r>
        <w:t xml:space="preserve"> </w:t>
      </w:r>
      <w:r>
        <w:rPr>
          <w:i/>
          <w:iCs/>
        </w:rPr>
        <w:t xml:space="preserve">55–56</w:t>
      </w:r>
      <w:r>
        <w:t xml:space="preserve">, 22–32. https://doi.org/10.1016/j.technovation.2016.04.003</w:t>
      </w:r>
    </w:p>
    <w:p>
      <w:pPr>
        <w:pStyle w:val="BodyText"/>
        <w:ind w:left="720" w:hanging="720"/>
      </w:pPr>
      <w:r>
        <w:t xml:space="preserve">Cho, Y., &amp; Kim, M. (2014). Entropy and gravity concepts as new methodological indexes to investigate technological convergence: Patent network-based approach.</w:t>
      </w:r>
      <w:r>
        <w:t xml:space="preserve"> </w:t>
      </w:r>
      <w:r>
        <w:rPr>
          <w:i/>
          <w:iCs/>
        </w:rPr>
        <w:t xml:space="preserve">PLOS ONE</w:t>
      </w:r>
      <w:r>
        <w:t xml:space="preserve">,</w:t>
      </w:r>
      <w:r>
        <w:t xml:space="preserve"> </w:t>
      </w:r>
      <w:r>
        <w:rPr>
          <w:i/>
          <w:iCs/>
        </w:rPr>
        <w:t xml:space="preserve">9</w:t>
      </w:r>
      <w:r>
        <w:t xml:space="preserve">(6), e98009. https://doi.org/10.1371/journal.pone.0098009</w:t>
      </w:r>
    </w:p>
    <w:p>
      <w:pPr>
        <w:pStyle w:val="BodyText"/>
        <w:ind w:left="720" w:hanging="720"/>
      </w:pPr>
      <w:r>
        <w:t xml:space="preserve">Choi, S., Afifuddin, M., &amp; Seo, W. (2022). A supervised learning-based approach to anticipating potential technology convergence.</w:t>
      </w:r>
      <w:r>
        <w:t xml:space="preserve"> </w:t>
      </w:r>
      <w:r>
        <w:rPr>
          <w:i/>
          <w:iCs/>
        </w:rPr>
        <w:t xml:space="preserve">IEEE Access</w:t>
      </w:r>
      <w:r>
        <w:t xml:space="preserve">,</w:t>
      </w:r>
      <w:r>
        <w:t xml:space="preserve"> </w:t>
      </w:r>
      <w:r>
        <w:rPr>
          <w:i/>
          <w:iCs/>
        </w:rPr>
        <w:t xml:space="preserve">10</w:t>
      </w:r>
      <w:r>
        <w:t xml:space="preserve">, 19284–19300. https://doi.org/10.1109/ACCESS.2022.3151870</w:t>
      </w:r>
    </w:p>
    <w:p>
      <w:pPr>
        <w:pStyle w:val="BodyText"/>
        <w:ind w:left="720" w:hanging="720"/>
      </w:pPr>
      <w:r>
        <w:t xml:space="preserve">Curran, C.-S., Bröring, S., &amp; Leker, J. (2010). Anticipating converging industries using publicly available data.</w:t>
      </w:r>
      <w:r>
        <w:t xml:space="preserve"> </w:t>
      </w:r>
      <w:r>
        <w:rPr>
          <w:i/>
          <w:iCs/>
        </w:rPr>
        <w:t xml:space="preserve">Technological Forecasting and Social Change</w:t>
      </w:r>
      <w:r>
        <w:t xml:space="preserve">,</w:t>
      </w:r>
      <w:r>
        <w:t xml:space="preserve"> </w:t>
      </w:r>
      <w:r>
        <w:rPr>
          <w:i/>
          <w:iCs/>
        </w:rPr>
        <w:t xml:space="preserve">77</w:t>
      </w:r>
      <w:r>
        <w:t xml:space="preserve">(3), 385–395. https://doi.org/10.1016/j.techfore.2009.10.002</w:t>
      </w:r>
    </w:p>
    <w:p>
      <w:pPr>
        <w:pStyle w:val="BodyText"/>
        <w:ind w:left="720" w:hanging="720"/>
      </w:pPr>
      <w:r>
        <w:t xml:space="preserve">Curran, C.-S., &amp; Leker, J. (2011). Patent indicators for monitoring convergence – Examples from NFF and ICT.</w:t>
      </w:r>
      <w:r>
        <w:t xml:space="preserve"> </w:t>
      </w:r>
      <w:r>
        <w:rPr>
          <w:i/>
          <w:iCs/>
        </w:rPr>
        <w:t xml:space="preserve">Technological Forecasting and Social Change</w:t>
      </w:r>
      <w:r>
        <w:t xml:space="preserve">,</w:t>
      </w:r>
      <w:r>
        <w:t xml:space="preserve"> </w:t>
      </w:r>
      <w:r>
        <w:rPr>
          <w:i/>
          <w:iCs/>
        </w:rPr>
        <w:t xml:space="preserve">78</w:t>
      </w:r>
      <w:r>
        <w:t xml:space="preserve">(2), 256–273. https://doi.org/10.1016/j.techfore.2010.06.021</w:t>
      </w:r>
    </w:p>
    <w:p>
      <w:pPr>
        <w:pStyle w:val="BodyText"/>
        <w:ind w:left="720" w:hanging="720"/>
      </w:pPr>
      <w:r>
        <w:t xml:space="preserve">European Patent Office. (2025).</w:t>
      </w:r>
      <w:r>
        <w:t xml:space="preserve"> </w:t>
      </w:r>
      <w:r>
        <w:rPr>
          <w:i/>
          <w:iCs/>
        </w:rPr>
        <w:t xml:space="preserve">PATSTAT Global</w:t>
      </w:r>
      <w:r>
        <w:t xml:space="preserve"> </w:t>
      </w:r>
      <w:r>
        <w:t xml:space="preserve">(2025 edition) [Database]. EPO.</w:t>
      </w:r>
    </w:p>
    <w:p>
      <w:pPr>
        <w:pStyle w:val="BodyText"/>
        <w:ind w:left="720" w:hanging="720"/>
      </w:pPr>
      <w:r>
        <w:rPr>
          <w:highlight w:val="yellow"/>
        </w:rPr>
        <w:t xml:space="preserve">Fleming, L. (2001). Recombinant uncertainty in technological search.</w:t>
      </w:r>
      <w:r>
        <w:rPr>
          <w:highlight w:val="yellow"/>
        </w:rPr>
        <w:t xml:space="preserve"> </w:t>
      </w:r>
      <w:r>
        <w:rPr>
          <w:i/>
          <w:iCs/>
          <w:highlight w:val="yellow"/>
        </w:rPr>
        <w:t xml:space="preserve">Management Science</w:t>
      </w:r>
      <w:r>
        <w:rPr>
          <w:highlight w:val="yellow"/>
        </w:rPr>
        <w:t xml:space="preserve">,</w:t>
      </w:r>
      <w:r>
        <w:rPr>
          <w:highlight w:val="yellow"/>
        </w:rPr>
        <w:t xml:space="preserve"> </w:t>
      </w:r>
      <w:r>
        <w:rPr>
          <w:i/>
          <w:iCs/>
          <w:highlight w:val="yellow"/>
        </w:rPr>
        <w:t xml:space="preserve">47</w:t>
      </w:r>
      <w:r>
        <w:rPr>
          <w:highlight w:val="yellow"/>
        </w:rPr>
        <w:t xml:space="preserve">(1), 117–132. https://doi.org/10.1287/mnsc.47.1.117.10671</w:t>
      </w:r>
    </w:p>
    <w:p>
      <w:pPr>
        <w:pStyle w:val="BodyText"/>
        <w:ind w:left="720" w:hanging="720"/>
      </w:pPr>
      <w:r>
        <w:t xml:space="preserve">Freeman, L. C. (1977). A set of measures of centrality based on betweenness.</w:t>
      </w:r>
      <w:r>
        <w:t xml:space="preserve"> </w:t>
      </w:r>
      <w:r>
        <w:rPr>
          <w:i/>
          <w:iCs/>
        </w:rPr>
        <w:t xml:space="preserve">Sociometry</w:t>
      </w:r>
      <w:r>
        <w:t xml:space="preserve">,</w:t>
      </w:r>
      <w:r>
        <w:t xml:space="preserve"> </w:t>
      </w:r>
      <w:r>
        <w:rPr>
          <w:i/>
          <w:iCs/>
        </w:rPr>
        <w:t xml:space="preserve">40</w:t>
      </w:r>
      <w:r>
        <w:t xml:space="preserve">(1), 35–41. https://doi.org/10.2307/3033543</w:t>
      </w:r>
    </w:p>
    <w:p>
      <w:pPr>
        <w:pStyle w:val="BodyText"/>
        <w:ind w:left="720" w:hanging="720"/>
      </w:pPr>
      <w:r>
        <w:t xml:space="preserve">Gambardella, A., &amp; Torrisi, S. (1998). Does technological convergence imply convergence in markets? Evidence from the electronics industry.</w:t>
      </w:r>
      <w:r>
        <w:t xml:space="preserve"> </w:t>
      </w:r>
      <w:r>
        <w:rPr>
          <w:i/>
          <w:iCs/>
        </w:rPr>
        <w:t xml:space="preserve">Research Policy</w:t>
      </w:r>
      <w:r>
        <w:t xml:space="preserve">,</w:t>
      </w:r>
      <w:r>
        <w:t xml:space="preserve"> </w:t>
      </w:r>
      <w:r>
        <w:rPr>
          <w:i/>
          <w:iCs/>
        </w:rPr>
        <w:t xml:space="preserve">27</w:t>
      </w:r>
      <w:r>
        <w:t xml:space="preserve">(5), 445–463. https://doi.org/10.1016/S0048-7333(98)00062-6</w:t>
      </w:r>
    </w:p>
    <w:p>
      <w:pPr>
        <w:pStyle w:val="BodyText"/>
        <w:ind w:left="720" w:hanging="720"/>
      </w:pPr>
      <w:r>
        <w:t xml:space="preserve">Geum, Y., Kim, M.-S., &amp; Lee, S. (2016). How industrial convergence happens: A taxonomical approach based on empirical evidences.</w:t>
      </w:r>
      <w:r>
        <w:t xml:space="preserve"> </w:t>
      </w:r>
      <w:r>
        <w:rPr>
          <w:i/>
          <w:iCs/>
        </w:rPr>
        <w:t xml:space="preserve">Technological Forecasting and Social Change</w:t>
      </w:r>
      <w:r>
        <w:t xml:space="preserve">,</w:t>
      </w:r>
      <w:r>
        <w:t xml:space="preserve"> </w:t>
      </w:r>
      <w:r>
        <w:rPr>
          <w:i/>
          <w:iCs/>
        </w:rPr>
        <w:t xml:space="preserve">107</w:t>
      </w:r>
      <w:r>
        <w:t xml:space="preserve">, 112–120. https://doi.org/10.1016/j.techfore.2016.03.020</w:t>
      </w:r>
    </w:p>
    <w:p>
      <w:pPr>
        <w:pStyle w:val="BodyText"/>
        <w:ind w:left="720" w:hanging="720"/>
      </w:pPr>
      <w:r>
        <w:rPr>
          <w:highlight w:val="yellow"/>
        </w:rPr>
        <w:t xml:space="preserve">Grant, R. M. (1996). Toward a knowledge-based theory of the firm.</w:t>
      </w:r>
      <w:r>
        <w:rPr>
          <w:highlight w:val="yellow"/>
        </w:rPr>
        <w:t xml:space="preserve"> </w:t>
      </w:r>
      <w:r>
        <w:rPr>
          <w:i/>
          <w:iCs/>
          <w:highlight w:val="yellow"/>
        </w:rPr>
        <w:t xml:space="preserve">Strategic Management Journal</w:t>
      </w:r>
      <w:r>
        <w:rPr>
          <w:highlight w:val="yellow"/>
        </w:rPr>
        <w:t xml:space="preserve">,</w:t>
      </w:r>
      <w:r>
        <w:rPr>
          <w:highlight w:val="yellow"/>
        </w:rPr>
        <w:t xml:space="preserve"> </w:t>
      </w:r>
      <w:r>
        <w:rPr>
          <w:i/>
          <w:iCs/>
          <w:highlight w:val="yellow"/>
        </w:rPr>
        <w:t xml:space="preserve">17</w:t>
      </w:r>
      <w:r>
        <w:rPr>
          <w:highlight w:val="yellow"/>
        </w:rPr>
        <w:t xml:space="preserve">(S2), 109–122. https://doi.org/10.1002/smj.4250171110</w:t>
      </w:r>
    </w:p>
    <w:p>
      <w:pPr>
        <w:pStyle w:val="BodyText"/>
        <w:ind w:left="720" w:hanging="720"/>
      </w:pPr>
      <w:r>
        <w:t xml:space="preserve">Hacklin, F., Marxt, C., &amp; Fahrni, F. (2009). Coevolutionary cycles of convergence: An extrapolation from the ICT industry.</w:t>
      </w:r>
      <w:r>
        <w:t xml:space="preserve"> </w:t>
      </w:r>
      <w:r>
        <w:rPr>
          <w:i/>
          <w:iCs/>
        </w:rPr>
        <w:t xml:space="preserve">Technological Forecasting and Social Change</w:t>
      </w:r>
      <w:r>
        <w:t xml:space="preserve">,</w:t>
      </w:r>
      <w:r>
        <w:t xml:space="preserve"> </w:t>
      </w:r>
      <w:r>
        <w:rPr>
          <w:i/>
          <w:iCs/>
        </w:rPr>
        <w:t xml:space="preserve">76</w:t>
      </w:r>
      <w:r>
        <w:t xml:space="preserve">(6), 723–736. https://doi.org/10.1016/j.techfore.2009.03.003</w:t>
      </w:r>
    </w:p>
    <w:p>
      <w:pPr>
        <w:pStyle w:val="BodyText"/>
        <w:ind w:left="720" w:hanging="720"/>
      </w:pPr>
      <w:r>
        <w:t xml:space="preserve">Hacklin, F., Marxt, C., &amp; Fahrni, F. (2010). An evolutionary perspective on convergence: Inducing a stage model of inter-industry innovation.</w:t>
      </w:r>
      <w:r>
        <w:t xml:space="preserve"> </w:t>
      </w:r>
      <w:r>
        <w:rPr>
          <w:i/>
          <w:iCs/>
        </w:rPr>
        <w:t xml:space="preserve">International Journal of Technology Management</w:t>
      </w:r>
      <w:r>
        <w:t xml:space="preserve">,</w:t>
      </w:r>
      <w:r>
        <w:t xml:space="preserve"> </w:t>
      </w:r>
      <w:r>
        <w:rPr>
          <w:i/>
          <w:iCs/>
        </w:rPr>
        <w:t xml:space="preserve">49</w:t>
      </w:r>
      <w:r>
        <w:t xml:space="preserve">(1–3), 220–249. https://doi.org/10.1504/IJTM.2010.029419</w:t>
      </w:r>
    </w:p>
    <w:p>
      <w:pPr>
        <w:pStyle w:val="BodyText"/>
        <w:ind w:left="720" w:hanging="720"/>
      </w:pPr>
      <w:r>
        <w:t xml:space="preserve">Hall, B. H., &amp; Ziedonis, R. H. (2001). The patent paradox revisited: An empirical study of patenting in the U.S. semiconductor industry, 1979–1995.</w:t>
      </w:r>
      <w:r>
        <w:t xml:space="preserve"> </w:t>
      </w:r>
      <w:r>
        <w:rPr>
          <w:i/>
          <w:iCs/>
        </w:rPr>
        <w:t xml:space="preserve">RAND Journal of Economics</w:t>
      </w:r>
      <w:r>
        <w:t xml:space="preserve">,</w:t>
      </w:r>
      <w:r>
        <w:t xml:space="preserve"> </w:t>
      </w:r>
      <w:r>
        <w:rPr>
          <w:i/>
          <w:iCs/>
        </w:rPr>
        <w:t xml:space="preserve">32</w:t>
      </w:r>
      <w:r>
        <w:t xml:space="preserve">(1), 101–128. https://doi.org/10.2307/2696400</w:t>
      </w:r>
    </w:p>
    <w:p>
      <w:pPr>
        <w:pStyle w:val="BodyText"/>
        <w:ind w:left="720" w:hanging="720"/>
      </w:pPr>
      <w:r>
        <w:rPr>
          <w:highlight w:val="yellow"/>
        </w:rPr>
        <w:t xml:space="preserve">Henderson, R. M., &amp; Clark, K. B. (1990). Architectural innovation: The reconfiguration of existing product technologies and the failure of established firms.</w:t>
      </w:r>
      <w:r>
        <w:rPr>
          <w:highlight w:val="yellow"/>
        </w:rPr>
        <w:t xml:space="preserve"> </w:t>
      </w:r>
      <w:r>
        <w:rPr>
          <w:i/>
          <w:iCs/>
          <w:highlight w:val="yellow"/>
        </w:rPr>
        <w:t xml:space="preserve">Administrative Science Quarterly</w:t>
      </w:r>
      <w:r>
        <w:rPr>
          <w:highlight w:val="yellow"/>
        </w:rPr>
        <w:t xml:space="preserve">,</w:t>
      </w:r>
      <w:r>
        <w:rPr>
          <w:highlight w:val="yellow"/>
        </w:rPr>
        <w:t xml:space="preserve"> </w:t>
      </w:r>
      <w:r>
        <w:rPr>
          <w:i/>
          <w:iCs/>
          <w:highlight w:val="yellow"/>
        </w:rPr>
        <w:t xml:space="preserve">35</w:t>
      </w:r>
      <w:r>
        <w:rPr>
          <w:highlight w:val="yellow"/>
        </w:rPr>
        <w:t xml:space="preserve">(1), 9–30. https://doi.org/10.2307/2393549</w:t>
      </w:r>
    </w:p>
    <w:p>
      <w:pPr>
        <w:pStyle w:val="BodyText"/>
        <w:ind w:left="720" w:hanging="720"/>
      </w:pPr>
      <w:r>
        <w:t xml:space="preserve">Hosmer, D. W., Lemeshow, S., &amp; Sturdivant, R. X. (2013).</w:t>
      </w:r>
      <w:r>
        <w:t xml:space="preserve"> </w:t>
      </w:r>
      <w:r>
        <w:rPr>
          <w:i/>
          <w:iCs/>
        </w:rPr>
        <w:t xml:space="preserve">Applied logistic regression</w:t>
      </w:r>
      <w:r>
        <w:t xml:space="preserve"> </w:t>
      </w:r>
      <w:r>
        <w:t xml:space="preserve">(3rd ed.). Wiley.</w:t>
      </w:r>
    </w:p>
    <w:p>
      <w:pPr>
        <w:pStyle w:val="BodyText"/>
        <w:ind w:left="720" w:hanging="720"/>
      </w:pPr>
      <w:r>
        <w:t xml:space="preserve">Hwang, I. (2020). The effect of collaborative innovation on ICT-based technological convergence: A patent-based analysis.</w:t>
      </w:r>
      <w:r>
        <w:t xml:space="preserve"> </w:t>
      </w:r>
      <w:r>
        <w:rPr>
          <w:i/>
          <w:iCs/>
        </w:rPr>
        <w:t xml:space="preserve">PLOS ONE</w:t>
      </w:r>
      <w:r>
        <w:t xml:space="preserve">,</w:t>
      </w:r>
      <w:r>
        <w:t xml:space="preserve"> </w:t>
      </w:r>
      <w:r>
        <w:rPr>
          <w:i/>
          <w:iCs/>
        </w:rPr>
        <w:t xml:space="preserve">15</w:t>
      </w:r>
      <w:r>
        <w:t xml:space="preserve">(2), e0228616. https://doi.org/10.1371/journal.pone.0228616</w:t>
      </w:r>
    </w:p>
    <w:p>
      <w:pPr>
        <w:pStyle w:val="BodyText"/>
        <w:ind w:left="720" w:hanging="720"/>
      </w:pPr>
      <w:r>
        <w:t xml:space="preserve">Iyer, S. S. (2016). Heterogeneous integration for performance and scaling.</w:t>
      </w:r>
      <w:r>
        <w:t xml:space="preserve"> </w:t>
      </w:r>
      <w:r>
        <w:rPr>
          <w:i/>
          <w:iCs/>
        </w:rPr>
        <w:t xml:space="preserve">IEEE Transactions on Components, Packaging and Manufacturing Technology</w:t>
      </w:r>
      <w:r>
        <w:t xml:space="preserve">,</w:t>
      </w:r>
      <w:r>
        <w:t xml:space="preserve"> </w:t>
      </w:r>
      <w:r>
        <w:rPr>
          <w:i/>
          <w:iCs/>
        </w:rPr>
        <w:t xml:space="preserve">6</w:t>
      </w:r>
      <w:r>
        <w:t xml:space="preserve">(7), 973–982. https://doi.org/10.1109/TCPMT.2015.2511626</w:t>
      </w:r>
    </w:p>
    <w:p>
      <w:pPr>
        <w:pStyle w:val="BodyText"/>
        <w:ind w:left="720" w:hanging="720"/>
      </w:pPr>
      <w:r>
        <w:t xml:space="preserve">Jaccard, P. (1912). The distribution of the flora in the alpine zone.</w:t>
      </w:r>
      <w:r>
        <w:t xml:space="preserve"> </w:t>
      </w:r>
      <w:r>
        <w:rPr>
          <w:i/>
          <w:iCs/>
        </w:rPr>
        <w:t xml:space="preserve">New Phytologist</w:t>
      </w:r>
      <w:r>
        <w:t xml:space="preserve">,</w:t>
      </w:r>
      <w:r>
        <w:t xml:space="preserve"> </w:t>
      </w:r>
      <w:r>
        <w:rPr>
          <w:i/>
          <w:iCs/>
        </w:rPr>
        <w:t xml:space="preserve">11</w:t>
      </w:r>
      <w:r>
        <w:t xml:space="preserve">(2), 37–50. https://doi.org/10.1111/j.1469-8137.1912.tb05611.x</w:t>
      </w:r>
    </w:p>
    <w:p>
      <w:pPr>
        <w:pStyle w:val="BodyText"/>
        <w:ind w:left="720" w:hanging="720"/>
      </w:pPr>
      <w:r>
        <w:t xml:space="preserve">Jacobides, M. G., Knudsen, T., &amp; Augier, M. (2006). Benefiting from innovation: Value creation, value appropriation and the role of industry architectures.</w:t>
      </w:r>
      <w:r>
        <w:t xml:space="preserve"> </w:t>
      </w:r>
      <w:r>
        <w:rPr>
          <w:i/>
          <w:iCs/>
        </w:rPr>
        <w:t xml:space="preserve">Research Policy</w:t>
      </w:r>
      <w:r>
        <w:t xml:space="preserve">,</w:t>
      </w:r>
      <w:r>
        <w:t xml:space="preserve"> </w:t>
      </w:r>
      <w:r>
        <w:rPr>
          <w:i/>
          <w:iCs/>
        </w:rPr>
        <w:t xml:space="preserve">35</w:t>
      </w:r>
      <w:r>
        <w:t xml:space="preserve">(8), 1200–1221. https://doi.org/10.1016/j.respol.2006.09.005</w:t>
      </w:r>
    </w:p>
    <w:p>
      <w:pPr>
        <w:pStyle w:val="BodyText"/>
        <w:ind w:left="720" w:hanging="720"/>
      </w:pPr>
      <w:r>
        <w:t xml:space="preserve">Jeong, S., Kim, J.-C., &amp; Choi, J. Y. (2015). Technology convergence: What developmental stage are we in?</w:t>
      </w:r>
      <w:r>
        <w:t xml:space="preserve"> </w:t>
      </w:r>
      <w:r>
        <w:rPr>
          <w:i/>
          <w:iCs/>
        </w:rPr>
        <w:t xml:space="preserve">Scientometrics</w:t>
      </w:r>
      <w:r>
        <w:t xml:space="preserve">,</w:t>
      </w:r>
      <w:r>
        <w:t xml:space="preserve"> </w:t>
      </w:r>
      <w:r>
        <w:rPr>
          <w:i/>
          <w:iCs/>
        </w:rPr>
        <w:t xml:space="preserve">104</w:t>
      </w:r>
      <w:r>
        <w:t xml:space="preserve">(3), 841–871. https://doi.org/10.1007/s11192-015-1606-6</w:t>
      </w:r>
    </w:p>
    <w:p>
      <w:pPr>
        <w:pStyle w:val="BodyText"/>
        <w:ind w:left="720" w:hanging="720"/>
      </w:pPr>
      <w:r>
        <w:t xml:space="preserve">Kapoor, R. (2013). Persistence of integration in the face of specialization: How firms navigated the winds of disintegration and shaped the architecture of the semiconductor industry.</w:t>
      </w:r>
      <w:r>
        <w:t xml:space="preserve"> </w:t>
      </w:r>
      <w:r>
        <w:rPr>
          <w:i/>
          <w:iCs/>
        </w:rPr>
        <w:t xml:space="preserve">Organization Science</w:t>
      </w:r>
      <w:r>
        <w:t xml:space="preserve">,</w:t>
      </w:r>
      <w:r>
        <w:t xml:space="preserve"> </w:t>
      </w:r>
      <w:r>
        <w:rPr>
          <w:i/>
          <w:iCs/>
        </w:rPr>
        <w:t xml:space="preserve">24</w:t>
      </w:r>
      <w:r>
        <w:t xml:space="preserve">(4), 1195–1213. https://doi.org/10.1287/orsc.1120.0802</w:t>
      </w:r>
    </w:p>
    <w:p>
      <w:pPr>
        <w:pStyle w:val="BodyText"/>
        <w:ind w:left="720" w:hanging="720"/>
      </w:pPr>
      <w:r>
        <w:t xml:space="preserve">Kapoor, R., &amp; Adner, R. (2012). What firms make vs. what they know: How firms’ production and knowledge boundaries affect competitive advantage in the face of technological change.</w:t>
      </w:r>
      <w:r>
        <w:t xml:space="preserve"> </w:t>
      </w:r>
      <w:r>
        <w:rPr>
          <w:i/>
          <w:iCs/>
        </w:rPr>
        <w:t xml:space="preserve">Organization Science</w:t>
      </w:r>
      <w:r>
        <w:t xml:space="preserve">,</w:t>
      </w:r>
      <w:r>
        <w:t xml:space="preserve"> </w:t>
      </w:r>
      <w:r>
        <w:rPr>
          <w:i/>
          <w:iCs/>
        </w:rPr>
        <w:t xml:space="preserve">23</w:t>
      </w:r>
      <w:r>
        <w:t xml:space="preserve">(5), 1227–1248. https://doi.org/10.1287/orsc.1110.0686</w:t>
      </w:r>
    </w:p>
    <w:p>
      <w:pPr>
        <w:pStyle w:val="BodyText"/>
        <w:ind w:left="720" w:hanging="720"/>
      </w:pPr>
      <w:r>
        <w:t xml:space="preserve">Karvonen, M., &amp; Kässi, T. (2012). Industry convergence analysis with patent citations in changing value systems.</w:t>
      </w:r>
      <w:r>
        <w:t xml:space="preserve"> </w:t>
      </w:r>
      <w:r>
        <w:rPr>
          <w:i/>
          <w:iCs/>
        </w:rPr>
        <w:t xml:space="preserve">International Journal of Business and Systems Research</w:t>
      </w:r>
      <w:r>
        <w:t xml:space="preserve">,</w:t>
      </w:r>
      <w:r>
        <w:t xml:space="preserve"> </w:t>
      </w:r>
      <w:r>
        <w:rPr>
          <w:i/>
          <w:iCs/>
        </w:rPr>
        <w:t xml:space="preserve">6</w:t>
      </w:r>
      <w:r>
        <w:t xml:space="preserve">(2), 150–175. https://doi.org/10.1504/IJBSR.2012.046353</w:t>
      </w:r>
    </w:p>
    <w:p>
      <w:pPr>
        <w:pStyle w:val="BodyText"/>
        <w:ind w:left="720" w:hanging="720"/>
      </w:pPr>
      <w:r>
        <w:t xml:space="preserve">Khan, H. N., Hounshell, D. A., &amp; Fuchs, E. R. H. (2018). Science and research policy at the end of Moore’s law.</w:t>
      </w:r>
      <w:r>
        <w:t xml:space="preserve"> </w:t>
      </w:r>
      <w:r>
        <w:rPr>
          <w:i/>
          <w:iCs/>
        </w:rPr>
        <w:t xml:space="preserve">Nature Electronics</w:t>
      </w:r>
      <w:r>
        <w:t xml:space="preserve">,</w:t>
      </w:r>
      <w:r>
        <w:t xml:space="preserve"> </w:t>
      </w:r>
      <w:r>
        <w:rPr>
          <w:i/>
          <w:iCs/>
        </w:rPr>
        <w:t xml:space="preserve">1</w:t>
      </w:r>
      <w:r>
        <w:t xml:space="preserve">(1), 14–21. https://doi.org/10.1038/s41928-017-0005-9</w:t>
      </w:r>
    </w:p>
    <w:p>
      <w:pPr>
        <w:pStyle w:val="BodyText"/>
        <w:ind w:left="720" w:hanging="720"/>
      </w:pPr>
      <w:r>
        <w:t xml:space="preserve">KnowMade. (2024).</w:t>
      </w:r>
      <w:r>
        <w:t xml:space="preserve"> </w:t>
      </w:r>
      <w:r>
        <w:rPr>
          <w:i/>
          <w:iCs/>
        </w:rPr>
        <w:t xml:space="preserve">Hybrid bonding patent landscape analysis 2024</w:t>
      </w:r>
      <w:r>
        <w:t xml:space="preserve"> </w:t>
      </w:r>
      <w:r>
        <w:t xml:space="preserve">[Industry report]. KnowMade (Yole Group). https://www.knowmade.com/patent-analytics-services/patent-report/semiconductor-patent-landscape/semiconductor-advanced-packaging-patent-landscape/hybrid-bonding-patent-landscape-analysis-2024/</w:t>
      </w:r>
    </w:p>
    <w:p>
      <w:pPr>
        <w:pStyle w:val="BodyText"/>
        <w:ind w:left="720" w:hanging="720"/>
      </w:pPr>
      <w:r>
        <w:t xml:space="preserve">Kodama, F. (1992). Technology fusion and the new R&amp;D.</w:t>
      </w:r>
      <w:r>
        <w:t xml:space="preserve"> </w:t>
      </w:r>
      <w:r>
        <w:rPr>
          <w:i/>
          <w:iCs/>
        </w:rPr>
        <w:t xml:space="preserve">Harvard Business Review</w:t>
      </w:r>
      <w:r>
        <w:t xml:space="preserve">,</w:t>
      </w:r>
      <w:r>
        <w:t xml:space="preserve"> </w:t>
      </w:r>
      <w:r>
        <w:rPr>
          <w:i/>
          <w:iCs/>
        </w:rPr>
        <w:t xml:space="preserve">70</w:t>
      </w:r>
      <w:r>
        <w:t xml:space="preserve">(4), 70–78.</w:t>
      </w:r>
    </w:p>
    <w:p>
      <w:pPr>
        <w:pStyle w:val="BodyText"/>
        <w:ind w:left="720" w:hanging="720"/>
      </w:pPr>
      <w:r>
        <w:t xml:space="preserve">Kwon, O., An, Y., Kim, M., &amp; Lee, C. (2020). Anticipating technology-driven industry convergence: Evidence from large-scale patent analysis.</w:t>
      </w:r>
      <w:r>
        <w:t xml:space="preserve"> </w:t>
      </w:r>
      <w:r>
        <w:rPr>
          <w:i/>
          <w:iCs/>
        </w:rPr>
        <w:t xml:space="preserve">Technology Analysis &amp; Strategic Management</w:t>
      </w:r>
      <w:r>
        <w:t xml:space="preserve">,</w:t>
      </w:r>
      <w:r>
        <w:t xml:space="preserve"> </w:t>
      </w:r>
      <w:r>
        <w:rPr>
          <w:i/>
          <w:iCs/>
        </w:rPr>
        <w:t xml:space="preserve">32</w:t>
      </w:r>
      <w:r>
        <w:t xml:space="preserve">(4), 363–378. https://doi.org/10.1080/09537325.2019.1661374</w:t>
      </w:r>
    </w:p>
    <w:p>
      <w:pPr>
        <w:pStyle w:val="BodyText"/>
        <w:ind w:left="720" w:hanging="720"/>
      </w:pPr>
      <w:r>
        <w:t xml:space="preserve">Langlois, R. N., &amp; Steinmueller, W. E. (1999). The evolution of competitive advantage in the worldwide semiconductor industry, 1947–1996. In D. C. Mowery &amp; R. R. Nelson (Eds.),</w:t>
      </w:r>
      <w:r>
        <w:t xml:space="preserve"> </w:t>
      </w:r>
      <w:r>
        <w:rPr>
          <w:i/>
          <w:iCs/>
        </w:rPr>
        <w:t xml:space="preserve">Sources of industrial leadership: Studies of seven industries</w:t>
      </w:r>
      <w:r>
        <w:t xml:space="preserve"> </w:t>
      </w:r>
      <w:r>
        <w:t xml:space="preserve">(pp. 19–78). Cambridge University Press.</w:t>
      </w:r>
    </w:p>
    <w:p>
      <w:pPr>
        <w:pStyle w:val="BodyText"/>
        <w:ind w:left="720" w:hanging="720"/>
      </w:pPr>
      <w:r>
        <w:t xml:space="preserve">Lau, J. H. (2021). State-of-the-art and outlooks of chiplets heterogeneous integration and hybrid bonding.</w:t>
      </w:r>
      <w:r>
        <w:t xml:space="preserve"> </w:t>
      </w:r>
      <w:r>
        <w:rPr>
          <w:i/>
          <w:iCs/>
        </w:rPr>
        <w:t xml:space="preserve">Journal of Microelectronics and Electronic Packaging</w:t>
      </w:r>
      <w:r>
        <w:t xml:space="preserve">,</w:t>
      </w:r>
      <w:r>
        <w:t xml:space="preserve"> </w:t>
      </w:r>
      <w:r>
        <w:rPr>
          <w:i/>
          <w:iCs/>
        </w:rPr>
        <w:t xml:space="preserve">18</w:t>
      </w:r>
      <w:r>
        <w:t xml:space="preserve">(4), 145–160. https://doi.org/10.4071/imaps.1542066</w:t>
      </w:r>
    </w:p>
    <w:p>
      <w:pPr>
        <w:pStyle w:val="BodyText"/>
        <w:ind w:left="720" w:hanging="720"/>
      </w:pPr>
      <w:r>
        <w:t xml:space="preserve">Lau, J. H. (2022). Recent advances and trends in advanced packaging.</w:t>
      </w:r>
      <w:r>
        <w:t xml:space="preserve"> </w:t>
      </w:r>
      <w:r>
        <w:rPr>
          <w:i/>
          <w:iCs/>
        </w:rPr>
        <w:t xml:space="preserve">IEEE Transactions on Components, Packaging and Manufacturing Technology</w:t>
      </w:r>
      <w:r>
        <w:t xml:space="preserve">,</w:t>
      </w:r>
      <w:r>
        <w:t xml:space="preserve"> </w:t>
      </w:r>
      <w:r>
        <w:rPr>
          <w:i/>
          <w:iCs/>
        </w:rPr>
        <w:t xml:space="preserve">12</w:t>
      </w:r>
      <w:r>
        <w:t xml:space="preserve">(2), 228–252. https://doi.org/10.1109/TCPMT.2022.3144461</w:t>
      </w:r>
    </w:p>
    <w:p>
      <w:pPr>
        <w:pStyle w:val="BodyText"/>
        <w:ind w:left="720" w:hanging="720"/>
      </w:pPr>
      <w:r>
        <w:t xml:space="preserve">Lee, C., Kim, J., Noh, M., Woo, H., &amp; Gang, K. (2017). Patterns of technology life cycles: Stochastic analysis based on patent citations.</w:t>
      </w:r>
      <w:r>
        <w:t xml:space="preserve"> </w:t>
      </w:r>
      <w:r>
        <w:rPr>
          <w:i/>
          <w:iCs/>
        </w:rPr>
        <w:t xml:space="preserve">Technology Analysis &amp; Strategic Management</w:t>
      </w:r>
      <w:r>
        <w:t xml:space="preserve">,</w:t>
      </w:r>
      <w:r>
        <w:t xml:space="preserve"> </w:t>
      </w:r>
      <w:r>
        <w:rPr>
          <w:i/>
          <w:iCs/>
        </w:rPr>
        <w:t xml:space="preserve">29</w:t>
      </w:r>
      <w:r>
        <w:t xml:space="preserve">(1), 53–67. https://doi.org/10.1080/09537325.2016.1194974</w:t>
      </w:r>
    </w:p>
    <w:p>
      <w:pPr>
        <w:pStyle w:val="BodyText"/>
        <w:ind w:left="720" w:hanging="720"/>
      </w:pPr>
      <w:r>
        <w:t xml:space="preserve">Lee, W. S., Han, E. J., &amp; Sohn, S. Y. (2015). Predicting the pattern of technology convergence using big-data technology on large-scale triadic patents.</w:t>
      </w:r>
      <w:r>
        <w:t xml:space="preserve"> </w:t>
      </w:r>
      <w:r>
        <w:rPr>
          <w:i/>
          <w:iCs/>
        </w:rPr>
        <w:t xml:space="preserve">Technological Forecasting and Social Change</w:t>
      </w:r>
      <w:r>
        <w:t xml:space="preserve">,</w:t>
      </w:r>
      <w:r>
        <w:t xml:space="preserve"> </w:t>
      </w:r>
      <w:r>
        <w:rPr>
          <w:i/>
          <w:iCs/>
        </w:rPr>
        <w:t xml:space="preserve">100</w:t>
      </w:r>
      <w:r>
        <w:t xml:space="preserve">, 317–329. https://doi.org/10.1016/j.techfore.2015.07.022</w:t>
      </w:r>
    </w:p>
    <w:p>
      <w:pPr>
        <w:pStyle w:val="BodyText"/>
        <w:ind w:left="720" w:hanging="720"/>
      </w:pPr>
      <w:r>
        <w:t xml:space="preserve">Lei, L., Qi, J., &amp; Zheng, K. (2019). Patent analytics based on feature vector space model: A case of IoT.</w:t>
      </w:r>
      <w:r>
        <w:t xml:space="preserve"> </w:t>
      </w:r>
      <w:r>
        <w:rPr>
          <w:i/>
          <w:iCs/>
        </w:rPr>
        <w:t xml:space="preserve">IEEE Access</w:t>
      </w:r>
      <w:r>
        <w:t xml:space="preserve">,</w:t>
      </w:r>
      <w:r>
        <w:t xml:space="preserve"> </w:t>
      </w:r>
      <w:r>
        <w:rPr>
          <w:i/>
          <w:iCs/>
        </w:rPr>
        <w:t xml:space="preserve">7</w:t>
      </w:r>
      <w:r>
        <w:t xml:space="preserve">, 45705–45715. https://doi.org/10.1109/ACCESS.2019.2909123</w:t>
      </w:r>
    </w:p>
    <w:p>
      <w:pPr>
        <w:pStyle w:val="BodyText"/>
        <w:ind w:left="720" w:hanging="720"/>
      </w:pPr>
      <w:r>
        <w:t xml:space="preserve">Lerner, J. (1994). The importance of patent scope: An empirical analysis.</w:t>
      </w:r>
      <w:r>
        <w:t xml:space="preserve"> </w:t>
      </w:r>
      <w:r>
        <w:rPr>
          <w:i/>
          <w:iCs/>
        </w:rPr>
        <w:t xml:space="preserve">RAND Journal of Economics</w:t>
      </w:r>
      <w:r>
        <w:t xml:space="preserve">,</w:t>
      </w:r>
      <w:r>
        <w:t xml:space="preserve"> </w:t>
      </w:r>
      <w:r>
        <w:rPr>
          <w:i/>
          <w:iCs/>
        </w:rPr>
        <w:t xml:space="preserve">25</w:t>
      </w:r>
      <w:r>
        <w:t xml:space="preserve">(2), 319–333. https://doi.org/10.2307/2555833</w:t>
      </w:r>
    </w:p>
    <w:p>
      <w:pPr>
        <w:pStyle w:val="BodyText"/>
        <w:ind w:left="720" w:hanging="720"/>
      </w:pPr>
      <w:r>
        <w:t xml:space="preserve">Macher, J. T., &amp; Mowery, D. C. (2004). Vertical specialization and industry structure in high technology industries. In J. A. C. Baum &amp; A. M. McGahan (Eds.),</w:t>
      </w:r>
      <w:r>
        <w:t xml:space="preserve"> </w:t>
      </w:r>
      <w:r>
        <w:rPr>
          <w:i/>
          <w:iCs/>
        </w:rPr>
        <w:t xml:space="preserve">Business strategy over the industry lifecycle</w:t>
      </w:r>
      <w:r>
        <w:t xml:space="preserve"> </w:t>
      </w:r>
      <w:r>
        <w:t xml:space="preserve">(Advances in Strategic Management, Vol. 21, pp. 317–355). Emerald. https://doi.org/10.1016/S0742-3322(04)21011-7</w:t>
      </w:r>
    </w:p>
    <w:p>
      <w:pPr>
        <w:pStyle w:val="BodyText"/>
        <w:ind w:left="720" w:hanging="720"/>
      </w:pPr>
      <w:r>
        <w:t xml:space="preserve">McFadden, D. (1974). Conditional logit analysis of qualitative choice behavior. In P. Zarembka (Ed.),</w:t>
      </w:r>
      <w:r>
        <w:t xml:space="preserve"> </w:t>
      </w:r>
      <w:r>
        <w:rPr>
          <w:i/>
          <w:iCs/>
        </w:rPr>
        <w:t xml:space="preserve">Frontiers in econometrics</w:t>
      </w:r>
      <w:r>
        <w:t xml:space="preserve"> </w:t>
      </w:r>
      <w:r>
        <w:t xml:space="preserve">(pp. 105–142). Academic Press.</w:t>
      </w:r>
    </w:p>
    <w:p>
      <w:pPr>
        <w:pStyle w:val="BodyText"/>
        <w:ind w:left="720" w:hanging="720"/>
      </w:pPr>
      <w:r>
        <w:t xml:space="preserve">Murmann, J. P., &amp; Frenken, K. (2006). Toward a systematic framework for research on dominant designs, technological innovations, and industrial change.</w:t>
      </w:r>
      <w:r>
        <w:t xml:space="preserve"> </w:t>
      </w:r>
      <w:r>
        <w:rPr>
          <w:i/>
          <w:iCs/>
        </w:rPr>
        <w:t xml:space="preserve">Research Policy</w:t>
      </w:r>
      <w:r>
        <w:t xml:space="preserve">,</w:t>
      </w:r>
      <w:r>
        <w:t xml:space="preserve"> </w:t>
      </w:r>
      <w:r>
        <w:rPr>
          <w:i/>
          <w:iCs/>
        </w:rPr>
        <w:t xml:space="preserve">35</w:t>
      </w:r>
      <w:r>
        <w:t xml:space="preserve">(7), 925–952. https://doi.org/10.1016/j.respol.2006.04.011</w:t>
      </w:r>
    </w:p>
    <w:p>
      <w:pPr>
        <w:pStyle w:val="BodyText"/>
        <w:ind w:left="720" w:hanging="720"/>
      </w:pPr>
      <w:r>
        <w:t xml:space="preserve">No, H. J., &amp; Park, Y. (2010). Trajectory patterns of technology fusion: Trend analysis and taxonomical grouping in nanobiotechnology.</w:t>
      </w:r>
      <w:r>
        <w:t xml:space="preserve"> </w:t>
      </w:r>
      <w:r>
        <w:rPr>
          <w:i/>
          <w:iCs/>
        </w:rPr>
        <w:t xml:space="preserve">Technological Forecasting and Social Change</w:t>
      </w:r>
      <w:r>
        <w:t xml:space="preserve">,</w:t>
      </w:r>
      <w:r>
        <w:t xml:space="preserve"> </w:t>
      </w:r>
      <w:r>
        <w:rPr>
          <w:i/>
          <w:iCs/>
        </w:rPr>
        <w:t xml:space="preserve">77</w:t>
      </w:r>
      <w:r>
        <w:t xml:space="preserve">(1), 63–75. https://doi.org/10.1016/j.techfore.2009.06.006</w:t>
      </w:r>
    </w:p>
    <w:p>
      <w:pPr>
        <w:pStyle w:val="BodyText"/>
        <w:ind w:left="720" w:hanging="720"/>
      </w:pPr>
      <w:r>
        <w:t xml:space="preserve">Petralia, S. (2020). Mapping general purpose technologies with patent data.</w:t>
      </w:r>
      <w:r>
        <w:t xml:space="preserve"> </w:t>
      </w:r>
      <w:r>
        <w:rPr>
          <w:i/>
          <w:iCs/>
        </w:rPr>
        <w:t xml:space="preserve">Research Policy</w:t>
      </w:r>
      <w:r>
        <w:t xml:space="preserve">,</w:t>
      </w:r>
      <w:r>
        <w:t xml:space="preserve"> </w:t>
      </w:r>
      <w:r>
        <w:rPr>
          <w:i/>
          <w:iCs/>
        </w:rPr>
        <w:t xml:space="preserve">49</w:t>
      </w:r>
      <w:r>
        <w:t xml:space="preserve">(7), 104013. https://doi.org/10.1016/j.respol.2020.104013</w:t>
      </w:r>
    </w:p>
    <w:p>
      <w:pPr>
        <w:pStyle w:val="BodyText"/>
        <w:ind w:left="720" w:hanging="720"/>
      </w:pPr>
      <w:r>
        <w:t xml:space="preserve">Preschitschek, N., Niemann, H., Leker, J., &amp; Moehrle, M. G. (2013). Anticipating industry convergence: Semantic analyses vs IPC co-classification analyses of patents.</w:t>
      </w:r>
      <w:r>
        <w:t xml:space="preserve"> </w:t>
      </w:r>
      <w:r>
        <w:rPr>
          <w:i/>
          <w:iCs/>
        </w:rPr>
        <w:t xml:space="preserve">Foresight</w:t>
      </w:r>
      <w:r>
        <w:t xml:space="preserve">,</w:t>
      </w:r>
      <w:r>
        <w:t xml:space="preserve"> </w:t>
      </w:r>
      <w:r>
        <w:rPr>
          <w:i/>
          <w:iCs/>
        </w:rPr>
        <w:t xml:space="preserve">15</w:t>
      </w:r>
      <w:r>
        <w:t xml:space="preserve">(6), 446–464. https://doi.org/10.1108/FS-10-2012-0075</w:t>
      </w:r>
    </w:p>
    <w:p>
      <w:pPr>
        <w:pStyle w:val="BodyText"/>
        <w:ind w:left="720" w:hanging="720"/>
      </w:pPr>
      <w:r>
        <w:t xml:space="preserve">Rosenberg, N. (1963). Technological change in the machine tool industry, 1840–1910.</w:t>
      </w:r>
      <w:r>
        <w:t xml:space="preserve"> </w:t>
      </w:r>
      <w:r>
        <w:rPr>
          <w:i/>
          <w:iCs/>
        </w:rPr>
        <w:t xml:space="preserve">Journal of Economic History</w:t>
      </w:r>
      <w:r>
        <w:t xml:space="preserve">,</w:t>
      </w:r>
      <w:r>
        <w:t xml:space="preserve"> </w:t>
      </w:r>
      <w:r>
        <w:rPr>
          <w:i/>
          <w:iCs/>
        </w:rPr>
        <w:t xml:space="preserve">23</w:t>
      </w:r>
      <w:r>
        <w:t xml:space="preserve">(4), 414–443. https://doi.org/10.1017/S0022050700109155</w:t>
      </w:r>
    </w:p>
    <w:p>
      <w:pPr>
        <w:pStyle w:val="BodyText"/>
        <w:ind w:left="720" w:hanging="720"/>
      </w:pPr>
      <w:r>
        <w:t xml:space="preserve">Sick, N., &amp; Bröring, S. (2022). Exploring the research landscape of convergence from a TIM perspective: A review and research agenda.</w:t>
      </w:r>
      <w:r>
        <w:t xml:space="preserve"> </w:t>
      </w:r>
      <w:r>
        <w:rPr>
          <w:i/>
          <w:iCs/>
        </w:rPr>
        <w:t xml:space="preserve">Technological Forecasting and Social Change</w:t>
      </w:r>
      <w:r>
        <w:t xml:space="preserve">,</w:t>
      </w:r>
      <w:r>
        <w:t xml:space="preserve"> </w:t>
      </w:r>
      <w:r>
        <w:rPr>
          <w:i/>
          <w:iCs/>
        </w:rPr>
        <w:t xml:space="preserve">175</w:t>
      </w:r>
      <w:r>
        <w:t xml:space="preserve">, 121321. https://doi.org/10.1016/j.techfore.2021.121321</w:t>
      </w:r>
    </w:p>
    <w:p>
      <w:pPr>
        <w:pStyle w:val="BodyText"/>
        <w:ind w:left="720" w:hanging="720"/>
      </w:pPr>
      <w:r>
        <w:t xml:space="preserve">Song, C. H., Elvers, D., &amp; Leker, J. (2017). Anticipation of converging technology areas – A refined approach for the identification of attractive fields of innovation.</w:t>
      </w:r>
      <w:r>
        <w:t xml:space="preserve"> </w:t>
      </w:r>
      <w:r>
        <w:rPr>
          <w:i/>
          <w:iCs/>
        </w:rPr>
        <w:t xml:space="preserve">Technological Forecasting and Social Change</w:t>
      </w:r>
      <w:r>
        <w:t xml:space="preserve">,</w:t>
      </w:r>
      <w:r>
        <w:t xml:space="preserve"> </w:t>
      </w:r>
      <w:r>
        <w:rPr>
          <w:i/>
          <w:iCs/>
        </w:rPr>
        <w:t xml:space="preserve">116</w:t>
      </w:r>
      <w:r>
        <w:t xml:space="preserve">, 98–115. https://doi.org/10.1016/j.techfore.2016.11.001</w:t>
      </w:r>
    </w:p>
    <w:p>
      <w:pPr>
        <w:pStyle w:val="BodyText"/>
        <w:ind w:left="720" w:hanging="720"/>
      </w:pPr>
      <w:r>
        <w:t xml:space="preserve">Sternitzke, C., Bartkowski, A., &amp; Schramm, R. (2008). Visualizing patent statistics by means of social network analysis tools.</w:t>
      </w:r>
      <w:r>
        <w:t xml:space="preserve"> </w:t>
      </w:r>
      <w:r>
        <w:rPr>
          <w:i/>
          <w:iCs/>
        </w:rPr>
        <w:t xml:space="preserve">World Patent Information</w:t>
      </w:r>
      <w:r>
        <w:t xml:space="preserve">,</w:t>
      </w:r>
      <w:r>
        <w:t xml:space="preserve"> </w:t>
      </w:r>
      <w:r>
        <w:rPr>
          <w:i/>
          <w:iCs/>
        </w:rPr>
        <w:t xml:space="preserve">30</w:t>
      </w:r>
      <w:r>
        <w:t xml:space="preserve">(2), 115–131. https://doi.org/10.1016/j.wpi.2007.08.003</w:t>
      </w:r>
    </w:p>
    <w:p>
      <w:pPr>
        <w:pStyle w:val="BodyText"/>
        <w:ind w:left="720" w:hanging="720"/>
      </w:pPr>
      <w:r>
        <w:t xml:space="preserve">Whang, Y.-K. (2018). Convergence processes in the mobile communication processor.</w:t>
      </w:r>
      <w:r>
        <w:t xml:space="preserve"> </w:t>
      </w:r>
      <w:r>
        <w:rPr>
          <w:i/>
          <w:iCs/>
        </w:rPr>
        <w:t xml:space="preserve">Technology Analysis &amp; Strategic Management</w:t>
      </w:r>
      <w:r>
        <w:t xml:space="preserve">,</w:t>
      </w:r>
      <w:r>
        <w:t xml:space="preserve"> </w:t>
      </w:r>
      <w:r>
        <w:rPr>
          <w:i/>
          <w:iCs/>
        </w:rPr>
        <w:t xml:space="preserve">30</w:t>
      </w:r>
      <w:r>
        <w:t xml:space="preserve">(11), 1338–1350. https://doi.org/10.1080/09537325.2018.1461206</w:t>
      </w:r>
    </w:p>
    <w:p>
      <w:pPr>
        <w:pStyle w:val="BodyText"/>
        <w:ind w:left="720" w:hanging="720"/>
      </w:pPr>
      <w:r>
        <w:t xml:space="preserve">Yun, J., &amp; Geum, Y. (2019). Analysing the dynamics of technological convergence using a co-classification approach: A case of healthcare services.</w:t>
      </w:r>
      <w:r>
        <w:t xml:space="preserve"> </w:t>
      </w:r>
      <w:r>
        <w:rPr>
          <w:i/>
          <w:iCs/>
        </w:rPr>
        <w:t xml:space="preserve">Technology Analysis &amp; Strategic Management</w:t>
      </w:r>
      <w:r>
        <w:t xml:space="preserve">,</w:t>
      </w:r>
      <w:r>
        <w:t xml:space="preserve"> </w:t>
      </w:r>
      <w:r>
        <w:rPr>
          <w:i/>
          <w:iCs/>
        </w:rPr>
        <w:t xml:space="preserve">31</w:t>
      </w:r>
      <w:r>
        <w:t xml:space="preserve">(12), 1412–1429. https://doi.org/10.1080/09537325.2019.1616082</w:t>
      </w:r>
    </w:p>
    <w:p>
      <w:pPr>
        <w:pStyle w:val="BodyText"/>
        <w:ind w:left="720" w:hanging="720"/>
      </w:pPr>
      <w:r>
        <w:t xml:space="preserve">Zhang, Z., &amp; Zhang, Q. (2025). Bridging the digital and green divide: Technology convergence and productivity in innovative manufacturing.</w:t>
      </w:r>
      <w:r>
        <w:t xml:space="preserve"> </w:t>
      </w:r>
      <w:r>
        <w:rPr>
          <w:i/>
          <w:iCs/>
        </w:rPr>
        <w:t xml:space="preserve">Journal of Innovation &amp; Knowledge</w:t>
      </w:r>
      <w:r>
        <w:t xml:space="preserve">,</w:t>
      </w:r>
      <w:r>
        <w:t xml:space="preserve"> </w:t>
      </w:r>
      <w:r>
        <w:rPr>
          <w:i/>
          <w:iCs/>
        </w:rPr>
        <w:t xml:space="preserve">10</w:t>
      </w:r>
      <w:r>
        <w:t xml:space="preserve">(6), 100848. https://doi.org/10.1016/j.jik.2025.100848</w:t>
      </w:r>
    </w:p>
    <w:p>
      <w:pPr>
        <w:pStyle w:val="BodyText"/>
        <w:ind w:left="720" w:hanging="720"/>
      </w:pPr>
      <w:r>
        <w:t xml:space="preserve">Zhao, X., Guo, Y., &amp; Mi, J. (2023). Value creation and value capture from patents: Theory and implications for patent strategies.</w:t>
      </w:r>
      <w:r>
        <w:t xml:space="preserve"> </w:t>
      </w:r>
      <w:r>
        <w:rPr>
          <w:i/>
          <w:iCs/>
        </w:rPr>
        <w:t xml:space="preserve">Journal of Innovation &amp; Knowledge</w:t>
      </w:r>
      <w:r>
        <w:t xml:space="preserve">,</w:t>
      </w:r>
      <w:r>
        <w:t xml:space="preserve"> </w:t>
      </w:r>
      <w:r>
        <w:rPr>
          <w:i/>
          <w:iCs/>
        </w:rPr>
        <w:t xml:space="preserve">8</w:t>
      </w:r>
      <w:r>
        <w:t xml:space="preserve">(3), 100397. https://doi.org/10.1016/j.jik.2023.100397</w:t>
      </w:r>
    </w:p>
    <w:p>
      <w:pPr>
        <w:pStyle w:val="BodyText"/>
        <w:ind w:left="720" w:hanging="720"/>
      </w:pPr>
      <w:r>
        <w:t xml:space="preserve">Zhu, C., &amp; Motohashi, K. (2022). Identifying the technology convergence using patent text information: A graph convolutional networks (GCN)-based approach.</w:t>
      </w:r>
      <w:r>
        <w:t xml:space="preserve"> </w:t>
      </w:r>
      <w:r>
        <w:rPr>
          <w:i/>
          <w:iCs/>
        </w:rPr>
        <w:t xml:space="preserve">Technological Forecasting and Social Change</w:t>
      </w:r>
      <w:r>
        <w:t xml:space="preserve">,</w:t>
      </w:r>
      <w:r>
        <w:t xml:space="preserve"> </w:t>
      </w:r>
      <w:r>
        <w:rPr>
          <w:i/>
          <w:iCs/>
        </w:rPr>
        <w:t xml:space="preserve">176</w:t>
      </w:r>
      <w:r>
        <w:t xml:space="preserve">, 121477. https://doi.org/10.1016/j.techfore.2022.121477</w:t>
      </w:r>
    </w:p>
    <w:p>
      <w:pPr>
        <w:pStyle w:val="BodyText"/>
        <w:ind w:left="720" w:hanging="720"/>
      </w:pPr>
      <w:r>
        <w:t xml:space="preserve">Ziedonis, R. H. (2004). Don’t fence me in: Fragmented markets for technology and the patent acquisition strategies of firms.</w:t>
      </w:r>
      <w:r>
        <w:t xml:space="preserve"> </w:t>
      </w:r>
      <w:r>
        <w:rPr>
          <w:i/>
          <w:iCs/>
        </w:rPr>
        <w:t xml:space="preserve">Management Science</w:t>
      </w:r>
      <w:r>
        <w:t xml:space="preserve">,</w:t>
      </w:r>
      <w:r>
        <w:t xml:space="preserve"> </w:t>
      </w:r>
      <w:r>
        <w:rPr>
          <w:i/>
          <w:iCs/>
        </w:rPr>
        <w:t xml:space="preserve">50</w:t>
      </w:r>
      <w:r>
        <w:t xml:space="preserve">(6), 804–820. https://doi.org/10.1287/mnsc.1040.0208</w:t>
      </w:r>
    </w:p>
    <w:bookmarkEnd w:id="55"/>
    <w:bookmarkStart w:id="58" w:name="appendix"/>
    <w:p>
      <w:pPr>
        <w:pStyle w:val="Heading2"/>
      </w:pPr>
      <w:r>
        <w:t xml:space="preserve">Appendix</w:t>
      </w:r>
    </w:p>
    <w:bookmarkStart w:id="56" w:name="X8eef6854ffa15d3451632e3fffabc5bc9a15d00"/>
    <w:p>
      <w:pPr>
        <w:pStyle w:val="Heading3"/>
      </w:pPr>
      <w:r>
        <w:t xml:space="preserve">Appendix A. Detailed re-estimation results</w:t>
      </w:r>
    </w:p>
    <w:p>
      <w:pPr>
        <w:pStyle w:val="FirstParagraph"/>
      </w:pPr>
      <w:r>
        <w:t xml:space="preserve">Tables A.1 and A.2 present the main coefficients and standard errors of the re-estimations reported in Table 12 of the main text, with the adjusted scope and the 2010–2024 sample added. Each column is a multinomial logit in which one sample or variable definition is changed, and the baseline column is identical to the multinomial logit table in the main text (Table 8). Filing office dummies are included as control variables in all columns, but their coefficients are omitted. Adjusted scope refers to the type-minimum-adjusted CPC scope (breadth_adj), which subtracts one symbol for each class an application carries; same-title deduplication refers to the sample that keeps only the earliest application among applications with the same title; narrow fabrication-process definition refers to the variables that exclude the packaging-stage process symbols of H01L21 from fabrication processes; irrelevant uses excluded refers to the sample that excludes the 68 applications in Appendix B; and the</w:t>
      </w:r>
      <w:r>
        <w:t xml:space="preserve"> </w:t>
      </w:r>
      <w:r>
        <w:rPr>
          <w:i/>
          <w:iCs/>
        </w:rPr>
        <w:t xml:space="preserve">hybrid bonding</w:t>
      </w:r>
      <w:r>
        <w:t xml:space="preserve"> </w:t>
      </w:r>
      <w:r>
        <w:t xml:space="preserve">sample refers to the sample that keeps only applications with</w:t>
      </w:r>
      <w:r>
        <w:t xml:space="preserve"> </w:t>
      </w:r>
      <w:r>
        <w:rPr>
          <w:i/>
          <w:iCs/>
        </w:rPr>
        <w:t xml:space="preserve">hybrid bonding</w:t>
      </w:r>
      <w:r>
        <w:t xml:space="preserve"> </w:t>
      </w:r>
      <w:r>
        <w:t xml:space="preserve">in their titles. The 2010–2024 sample is the sample of applications filed in 2010 or later mentioned in Section 5.2 of the main text.</w:t>
      </w:r>
    </w:p>
    <w:p>
      <w:pPr>
        <w:pStyle w:val="BodyText"/>
        <w:keepNext/>
      </w:pPr>
      <w:r>
        <w:rPr>
          <w:b/>
          <w:bCs/>
          <w:sz w:val="20"/>
          <w:szCs w:val="20"/>
        </w:rPr>
        <w:t xml:space="preserve">Table A.1.</w:t>
      </w:r>
      <w:r>
        <w:rPr>
          <w:sz w:val="20"/>
          <w:szCs w:val="20"/>
        </w:rPr>
        <w:t xml:space="preserve"> </w:t>
      </w:r>
      <w:r>
        <w:rPr>
          <w:sz w:val="20"/>
          <w:szCs w:val="20"/>
        </w:rPr>
        <w:t xml:space="preserve">Integrated-type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00"/>
        <w:gridCol w:w="980"/>
        <w:gridCol w:w="980"/>
        <w:gridCol w:w="1267"/>
        <w:gridCol w:w="1460"/>
        <w:gridCol w:w="1026"/>
        <w:gridCol w:w="962"/>
        <w:gridCol w:w="999"/>
      </w:tblGrid>
      <w:tr>
        <w:trPr>
          <w:tblHeader w:val="on"/>
          <w:cantSplit/>
        </w:trPr>
        <w:tc>
          <w:tcPr>
            <w:tcW w:type="dxa" w:w="1400"/>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60"/>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6"/>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962"/>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999"/>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00"/>
          </w:tcPr>
          <w:p>
            <w:pPr>
              <w:pStyle w:val="Compact"/>
              <w:spacing w:before="20" w:after="20" w:line="240" w:lineRule="auto"/>
              <w:keepNext/>
            </w:pPr>
            <w:r>
              <w:rPr>
                <w:sz w:val="13"/>
                <w:szCs w:val="13"/>
              </w:rPr>
              <w:t xml:space="preserve">Technological scope</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1267"/>
          </w:tcPr>
          <w:p>
            <w:pPr>
              <w:pStyle w:val="Compact"/>
              <w:spacing w:before="20" w:after="20" w:line="240" w:lineRule="auto"/>
              <w:jc w:val="center"/>
              <w:keepNext/>
            </w:pPr>
            <w:r>
              <w:rPr>
                <w:sz w:val="13"/>
                <w:szCs w:val="13"/>
              </w:rPr>
              <w:t xml:space="preserve">1.295*** (0.039)</w:t>
            </w:r>
          </w:p>
        </w:tc>
        <w:tc>
          <w:tcPr>
            <w:tcW w:type="dxa" w:w="1460"/>
          </w:tcPr>
          <w:p>
            <w:pPr>
              <w:pStyle w:val="Compact"/>
              <w:spacing w:before="20" w:after="20" w:line="240" w:lineRule="auto"/>
              <w:jc w:val="center"/>
              <w:keepNext/>
            </w:pPr>
            <w:r>
              <w:rPr>
                <w:sz w:val="13"/>
                <w:szCs w:val="13"/>
              </w:rPr>
              <w:t xml:space="preserve">1.352*** (0.028)</w:t>
            </w:r>
          </w:p>
        </w:tc>
        <w:tc>
          <w:tcPr>
            <w:tcW w:type="dxa" w:w="1026"/>
          </w:tcPr>
          <w:p>
            <w:pPr>
              <w:pStyle w:val="Compact"/>
              <w:spacing w:before="20" w:after="20" w:line="240" w:lineRule="auto"/>
              <w:jc w:val="center"/>
              <w:keepNext/>
            </w:pPr>
            <w:r>
              <w:rPr>
                <w:sz w:val="13"/>
                <w:szCs w:val="13"/>
              </w:rPr>
              <w:t xml:space="preserve">1.384*** (0.031)</w:t>
            </w:r>
          </w:p>
        </w:tc>
        <w:tc>
          <w:tcPr>
            <w:tcW w:type="dxa" w:w="962"/>
          </w:tcPr>
          <w:p>
            <w:pPr>
              <w:pStyle w:val="Compact"/>
              <w:spacing w:before="20" w:after="20" w:line="240" w:lineRule="auto"/>
              <w:jc w:val="center"/>
              <w:keepNext/>
            </w:pPr>
            <w:r>
              <w:rPr>
                <w:sz w:val="13"/>
                <w:szCs w:val="13"/>
              </w:rPr>
              <w:t xml:space="preserve">1.485*** (0.044)</w:t>
            </w:r>
          </w:p>
        </w:tc>
        <w:tc>
          <w:tcPr>
            <w:tcW w:type="dxa" w:w="999"/>
          </w:tcPr>
          <w:p>
            <w:pPr>
              <w:pStyle w:val="Compact"/>
              <w:spacing w:before="20" w:after="20" w:line="240" w:lineRule="auto"/>
              <w:jc w:val="center"/>
              <w:keepNext/>
            </w:pPr>
            <w:r>
              <w:rPr>
                <w:sz w:val="13"/>
                <w:szCs w:val="13"/>
              </w:rPr>
              <w:t xml:space="preserve">1.385*** (0.032)</w:t>
            </w:r>
          </w:p>
        </w:tc>
      </w:tr>
      <w:tr>
        <w:trPr>
          <w:cantSplit/>
        </w:trPr>
        <w:tc>
          <w:tcPr>
            <w:tcW w:type="dxa" w:w="1400"/>
          </w:tcPr>
          <w:p>
            <w:pPr>
              <w:pStyle w:val="Compact"/>
              <w:spacing w:before="20" w:after="20" w:line="240" w:lineRule="auto"/>
              <w:keepNext/>
            </w:pPr>
            <w:r>
              <w:rPr>
                <w:sz w:val="13"/>
                <w:szCs w:val="13"/>
              </w:rPr>
              <w:t xml:space="preserve">Filing year (yc)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1267"/>
          </w:tcPr>
          <w:p>
            <w:pPr>
              <w:pStyle w:val="Compact"/>
              <w:spacing w:before="20" w:after="20" w:line="240" w:lineRule="auto"/>
              <w:jc w:val="center"/>
              <w:keepNext/>
            </w:pPr>
            <w:r>
              <w:rPr>
                <w:sz w:val="13"/>
                <w:szCs w:val="13"/>
              </w:rPr>
              <w:t xml:space="preserve">0.997 (0.018)</w:t>
            </w:r>
          </w:p>
        </w:tc>
        <w:tc>
          <w:tcPr>
            <w:tcW w:type="dxa" w:w="1460"/>
          </w:tcPr>
          <w:p>
            <w:pPr>
              <w:pStyle w:val="Compact"/>
              <w:spacing w:before="20" w:after="20" w:line="240" w:lineRule="auto"/>
              <w:jc w:val="center"/>
              <w:keepNext/>
            </w:pPr>
            <w:r>
              <w:rPr>
                <w:sz w:val="13"/>
                <w:szCs w:val="13"/>
              </w:rPr>
              <w:t xml:space="preserve">0.967** (0.015)</w:t>
            </w:r>
          </w:p>
        </w:tc>
        <w:tc>
          <w:tcPr>
            <w:tcW w:type="dxa" w:w="1026"/>
          </w:tcPr>
          <w:p>
            <w:pPr>
              <w:pStyle w:val="Compact"/>
              <w:spacing w:before="20" w:after="20" w:line="240" w:lineRule="auto"/>
              <w:jc w:val="center"/>
              <w:keepNext/>
            </w:pPr>
            <w:r>
              <w:rPr>
                <w:sz w:val="13"/>
                <w:szCs w:val="13"/>
              </w:rPr>
              <w:t xml:space="preserve">0.949** (0.022)</w:t>
            </w:r>
          </w:p>
        </w:tc>
        <w:tc>
          <w:tcPr>
            <w:tcW w:type="dxa" w:w="962"/>
          </w:tcPr>
          <w:p>
            <w:pPr>
              <w:pStyle w:val="Compact"/>
              <w:spacing w:before="20" w:after="20" w:line="240" w:lineRule="auto"/>
              <w:jc w:val="center"/>
              <w:keepNext/>
            </w:pPr>
            <w:r>
              <w:rPr>
                <w:sz w:val="13"/>
                <w:szCs w:val="13"/>
              </w:rPr>
              <w:t xml:space="preserve">0.965 (0.033)</w:t>
            </w:r>
          </w:p>
        </w:tc>
        <w:tc>
          <w:tcPr>
            <w:tcW w:type="dxa" w:w="999"/>
          </w:tcPr>
          <w:p>
            <w:pPr>
              <w:pStyle w:val="Compact"/>
              <w:spacing w:before="20" w:after="20" w:line="240" w:lineRule="auto"/>
              <w:jc w:val="center"/>
              <w:keepNext/>
            </w:pPr>
            <w:r>
              <w:rPr>
                <w:sz w:val="13"/>
                <w:szCs w:val="13"/>
              </w:rPr>
              <w:t xml:space="preserve">0.934** (0.027)</w:t>
            </w:r>
          </w:p>
        </w:tc>
      </w:tr>
      <w:tr>
        <w:trPr>
          <w:cantSplit/>
        </w:trPr>
        <w:tc>
          <w:tcPr>
            <w:tcW w:type="dxa" w:w="1400"/>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60"/>
          </w:tcPr>
          <w:p>
            <w:pPr>
              <w:pStyle w:val="Compact"/>
              <w:spacing w:before="20" w:after="20" w:line="240" w:lineRule="auto"/>
              <w:jc w:val="center"/>
              <w:keepNext/>
            </w:pPr>
            <w:r>
              <w:rPr>
                <w:sz w:val="13"/>
                <w:szCs w:val="13"/>
              </w:rPr>
              <w:t xml:space="preserve">908</w:t>
            </w:r>
          </w:p>
        </w:tc>
        <w:tc>
          <w:tcPr>
            <w:tcW w:type="dxa" w:w="1026"/>
          </w:tcPr>
          <w:p>
            <w:pPr>
              <w:pStyle w:val="Compact"/>
              <w:spacing w:before="20" w:after="20" w:line="240" w:lineRule="auto"/>
              <w:jc w:val="center"/>
              <w:keepNext/>
            </w:pPr>
            <w:r>
              <w:rPr>
                <w:sz w:val="13"/>
                <w:szCs w:val="13"/>
              </w:rPr>
              <w:t xml:space="preserve">860</w:t>
            </w:r>
          </w:p>
        </w:tc>
        <w:tc>
          <w:tcPr>
            <w:tcW w:type="dxa" w:w="962"/>
          </w:tcPr>
          <w:p>
            <w:pPr>
              <w:pStyle w:val="Compact"/>
              <w:spacing w:before="20" w:after="20" w:line="240" w:lineRule="auto"/>
              <w:jc w:val="center"/>
              <w:keepNext/>
            </w:pPr>
            <w:r>
              <w:rPr>
                <w:sz w:val="13"/>
                <w:szCs w:val="13"/>
              </w:rPr>
              <w:t xml:space="preserve">467</w:t>
            </w:r>
          </w:p>
        </w:tc>
        <w:tc>
          <w:tcPr>
            <w:tcW w:type="dxa" w:w="999"/>
          </w:tcPr>
          <w:p>
            <w:pPr>
              <w:pStyle w:val="Compact"/>
              <w:spacing w:before="20" w:after="20" w:line="240" w:lineRule="auto"/>
              <w:jc w:val="center"/>
              <w:keepNext/>
            </w:pPr>
            <w:r>
              <w:rPr>
                <w:sz w:val="13"/>
                <w:szCs w:val="13"/>
              </w:rPr>
              <w:t xml:space="preserve">830</w:t>
            </w:r>
          </w:p>
        </w:tc>
      </w:tr>
      <w:tr>
        <w:trPr>
          <w:cantSplit/>
        </w:trPr>
        <w:tc>
          <w:tcPr>
            <w:tcW w:type="dxa" w:w="1400"/>
          </w:tcPr>
          <w:p>
            <w:pPr>
              <w:pStyle w:val="Compact"/>
              <w:spacing w:before="20" w:after="20" w:line="240" w:lineRule="auto"/>
              <w:keepNext/>
            </w:pPr>
            <w:r>
              <w:rPr>
                <w:sz w:val="13"/>
                <w:szCs w:val="13"/>
              </w:rPr>
              <w:t xml:space="preserve">Log-likelihood</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60"/>
          </w:tcPr>
          <w:p>
            <w:pPr>
              <w:pStyle w:val="Compact"/>
              <w:spacing w:before="20" w:after="20" w:line="240" w:lineRule="auto"/>
              <w:jc w:val="center"/>
              <w:keepNext/>
            </w:pPr>
            <w:r>
              <w:rPr>
                <w:sz w:val="13"/>
                <w:szCs w:val="13"/>
              </w:rPr>
              <w:t xml:space="preserve">−755.9</w:t>
            </w:r>
          </w:p>
        </w:tc>
        <w:tc>
          <w:tcPr>
            <w:tcW w:type="dxa" w:w="1026"/>
          </w:tcPr>
          <w:p>
            <w:pPr>
              <w:pStyle w:val="Compact"/>
              <w:spacing w:before="20" w:after="20" w:line="240" w:lineRule="auto"/>
              <w:jc w:val="center"/>
              <w:keepNext/>
            </w:pPr>
            <w:r>
              <w:rPr>
                <w:sz w:val="13"/>
                <w:szCs w:val="13"/>
              </w:rPr>
              <w:t xml:space="preserve">−682.7</w:t>
            </w:r>
          </w:p>
        </w:tc>
        <w:tc>
          <w:tcPr>
            <w:tcW w:type="dxa" w:w="962"/>
          </w:tcPr>
          <w:p>
            <w:pPr>
              <w:pStyle w:val="Compact"/>
              <w:spacing w:before="20" w:after="20" w:line="240" w:lineRule="auto"/>
              <w:jc w:val="center"/>
              <w:keepNext/>
            </w:pPr>
            <w:r>
              <w:rPr>
                <w:sz w:val="13"/>
                <w:szCs w:val="13"/>
              </w:rPr>
              <w:t xml:space="preserve">−364.0</w:t>
            </w:r>
          </w:p>
        </w:tc>
        <w:tc>
          <w:tcPr>
            <w:tcW w:type="dxa" w:w="999"/>
          </w:tcPr>
          <w:p>
            <w:pPr>
              <w:pStyle w:val="Compact"/>
              <w:spacing w:before="20" w:after="20" w:line="240" w:lineRule="auto"/>
              <w:jc w:val="center"/>
              <w:keepNext/>
            </w:pPr>
            <w:r>
              <w:rPr>
                <w:sz w:val="13"/>
                <w:szCs w:val="13"/>
              </w:rPr>
              <w:t xml:space="preserve">−683.0</w:t>
            </w:r>
          </w:p>
        </w:tc>
      </w:tr>
    </w:tbl>
    <w:p>
      <w:pPr>
        <w:pStyle w:val="BodyText"/>
        <w:keepNext/>
      </w:pPr>
      <w:r>
        <w:rPr>
          <w:b/>
          <w:bCs/>
          <w:sz w:val="20"/>
          <w:szCs w:val="20"/>
        </w:rPr>
        <w:t xml:space="preserve">Table A.2.</w:t>
      </w:r>
      <w:r>
        <w:rPr>
          <w:sz w:val="20"/>
          <w:szCs w:val="20"/>
        </w:rPr>
        <w:t xml:space="preserve"> </w:t>
      </w:r>
      <w:r>
        <w:rPr>
          <w:sz w:val="20"/>
          <w:szCs w:val="20"/>
        </w:rPr>
        <w:t xml:space="preserve">Process-only-type equation of the multinomial logit: Relative risk ratios by sample and variable (base category = bonding-only; filing office dummies included; standard errors of the logit coefficients in parentheses;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18"/>
        <w:gridCol w:w="994"/>
        <w:gridCol w:w="994"/>
        <w:gridCol w:w="1267"/>
        <w:gridCol w:w="1483"/>
        <w:gridCol w:w="1028"/>
        <w:gridCol w:w="880"/>
        <w:gridCol w:w="1011"/>
      </w:tblGrid>
      <w:tr>
        <w:trPr>
          <w:tblHeader w:val="on"/>
          <w:cantSplit/>
        </w:trPr>
        <w:tc>
          <w:tcPr>
            <w:tcW w:type="dxa" w:w="1418"/>
            <w:tcBorders>
              <w:bottom w:val="single" w:sz="4" w:space="0" w:color="000000"/>
            </w:tcBorders>
          </w:tcPr>
          <w:p>
            <w:pPr>
              <w:pStyle w:val="Compact"/>
              <w:spacing w:before="20" w:after="20" w:line="240" w:lineRule="auto"/>
              <w:keepNext/>
            </w:pPr>
          </w:p>
        </w:tc>
        <w:tc>
          <w:tcPr>
            <w:tcW w:type="dxa" w:w="994"/>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94"/>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83"/>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8"/>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880"/>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1011"/>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18"/>
          </w:tcPr>
          <w:p>
            <w:pPr>
              <w:pStyle w:val="Compact"/>
              <w:spacing w:before="20" w:after="20" w:line="240" w:lineRule="auto"/>
              <w:keepNext/>
            </w:pPr>
            <w:r>
              <w:rPr>
                <w:sz w:val="13"/>
                <w:szCs w:val="13"/>
              </w:rPr>
              <w:t xml:space="preserve">Technological scope</w:t>
            </w:r>
          </w:p>
        </w:tc>
        <w:tc>
          <w:tcPr>
            <w:tcW w:type="dxa" w:w="994"/>
          </w:tcPr>
          <w:p>
            <w:pPr>
              <w:pStyle w:val="Compact"/>
              <w:spacing w:before="20" w:after="20" w:line="240" w:lineRule="auto"/>
              <w:jc w:val="center"/>
              <w:keepNext/>
            </w:pPr>
            <w:r>
              <w:rPr>
                <w:sz w:val="13"/>
                <w:szCs w:val="13"/>
              </w:rPr>
              <w:t xml:space="preserve">0.905** (0.048)</w:t>
            </w:r>
          </w:p>
        </w:tc>
        <w:tc>
          <w:tcPr>
            <w:tcW w:type="dxa" w:w="994"/>
          </w:tcPr>
          <w:p>
            <w:pPr>
              <w:pStyle w:val="Compact"/>
              <w:spacing w:before="20" w:after="20" w:line="240" w:lineRule="auto"/>
              <w:jc w:val="center"/>
              <w:keepNext/>
            </w:pPr>
            <w:r>
              <w:rPr>
                <w:sz w:val="13"/>
                <w:szCs w:val="13"/>
              </w:rPr>
              <w:t xml:space="preserve">0.915** (0.044)</w:t>
            </w:r>
          </w:p>
        </w:tc>
        <w:tc>
          <w:tcPr>
            <w:tcW w:type="dxa" w:w="1267"/>
          </w:tcPr>
          <w:p>
            <w:pPr>
              <w:pStyle w:val="Compact"/>
              <w:spacing w:before="20" w:after="20" w:line="240" w:lineRule="auto"/>
              <w:jc w:val="center"/>
              <w:keepNext/>
            </w:pPr>
            <w:r>
              <w:rPr>
                <w:sz w:val="13"/>
                <w:szCs w:val="13"/>
              </w:rPr>
              <w:t xml:space="preserve">0.826*** (0.061)</w:t>
            </w:r>
          </w:p>
        </w:tc>
        <w:tc>
          <w:tcPr>
            <w:tcW w:type="dxa" w:w="1483"/>
          </w:tcPr>
          <w:p>
            <w:pPr>
              <w:pStyle w:val="Compact"/>
              <w:spacing w:before="20" w:after="20" w:line="240" w:lineRule="auto"/>
              <w:jc w:val="center"/>
              <w:keepNext/>
            </w:pPr>
            <w:r>
              <w:rPr>
                <w:sz w:val="13"/>
                <w:szCs w:val="13"/>
              </w:rPr>
              <w:t xml:space="preserve">0.923* (0.045)</w:t>
            </w:r>
          </w:p>
        </w:tc>
        <w:tc>
          <w:tcPr>
            <w:tcW w:type="dxa" w:w="1028"/>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011"/>
          </w:tcPr>
          <w:p>
            <w:pPr>
              <w:pStyle w:val="Compact"/>
              <w:spacing w:before="20" w:after="20" w:line="240" w:lineRule="auto"/>
              <w:jc w:val="center"/>
              <w:keepNext/>
            </w:pPr>
            <w:r>
              <w:rPr>
                <w:sz w:val="13"/>
                <w:szCs w:val="13"/>
              </w:rPr>
              <w:t xml:space="preserve">0.910* (0.051)</w:t>
            </w:r>
          </w:p>
        </w:tc>
      </w:tr>
      <w:tr>
        <w:trPr>
          <w:cantSplit/>
        </w:trPr>
        <w:tc>
          <w:tcPr>
            <w:tcW w:type="dxa" w:w="1418"/>
          </w:tcPr>
          <w:p>
            <w:pPr>
              <w:pStyle w:val="Compact"/>
              <w:spacing w:before="20" w:after="20" w:line="240" w:lineRule="auto"/>
              <w:keepNext/>
            </w:pPr>
            <w:r>
              <w:rPr>
                <w:sz w:val="13"/>
                <w:szCs w:val="13"/>
              </w:rPr>
              <w:t xml:space="preserve">Filing year (yc)</w:t>
            </w:r>
          </w:p>
        </w:tc>
        <w:tc>
          <w:tcPr>
            <w:tcW w:type="dxa" w:w="994"/>
          </w:tcPr>
          <w:p>
            <w:pPr>
              <w:pStyle w:val="Compact"/>
              <w:spacing w:before="20" w:after="20" w:line="240" w:lineRule="auto"/>
              <w:jc w:val="center"/>
              <w:keepNext/>
            </w:pPr>
            <w:r>
              <w:rPr>
                <w:sz w:val="13"/>
                <w:szCs w:val="13"/>
              </w:rPr>
              <w:t xml:space="preserve">0.913*** (0.015)</w:t>
            </w:r>
          </w:p>
        </w:tc>
        <w:tc>
          <w:tcPr>
            <w:tcW w:type="dxa" w:w="994"/>
          </w:tcPr>
          <w:p>
            <w:pPr>
              <w:pStyle w:val="Compact"/>
              <w:spacing w:before="20" w:after="20" w:line="240" w:lineRule="auto"/>
              <w:jc w:val="center"/>
              <w:keepNext/>
            </w:pPr>
            <w:r>
              <w:rPr>
                <w:sz w:val="13"/>
                <w:szCs w:val="13"/>
              </w:rPr>
              <w:t xml:space="preserve">0.911*** (0.015)</w:t>
            </w:r>
          </w:p>
        </w:tc>
        <w:tc>
          <w:tcPr>
            <w:tcW w:type="dxa" w:w="1267"/>
          </w:tcPr>
          <w:p>
            <w:pPr>
              <w:pStyle w:val="Compact"/>
              <w:spacing w:before="20" w:after="20" w:line="240" w:lineRule="auto"/>
              <w:jc w:val="center"/>
              <w:keepNext/>
            </w:pPr>
            <w:r>
              <w:rPr>
                <w:sz w:val="13"/>
                <w:szCs w:val="13"/>
              </w:rPr>
              <w:t xml:space="preserve">0.935*** (0.016)</w:t>
            </w:r>
          </w:p>
        </w:tc>
        <w:tc>
          <w:tcPr>
            <w:tcW w:type="dxa" w:w="1483"/>
          </w:tcPr>
          <w:p>
            <w:pPr>
              <w:pStyle w:val="Compact"/>
              <w:spacing w:before="20" w:after="20" w:line="240" w:lineRule="auto"/>
              <w:jc w:val="center"/>
              <w:keepNext/>
            </w:pPr>
            <w:r>
              <w:rPr>
                <w:sz w:val="13"/>
                <w:szCs w:val="13"/>
              </w:rPr>
              <w:t xml:space="preserve">0.898*** (0.015)</w:t>
            </w:r>
          </w:p>
        </w:tc>
        <w:tc>
          <w:tcPr>
            <w:tcW w:type="dxa" w:w="1028"/>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011"/>
          </w:tcPr>
          <w:p>
            <w:pPr>
              <w:pStyle w:val="Compact"/>
              <w:spacing w:before="20" w:after="20" w:line="240" w:lineRule="auto"/>
              <w:jc w:val="center"/>
              <w:keepNext/>
            </w:pPr>
            <w:r>
              <w:rPr>
                <w:sz w:val="13"/>
                <w:szCs w:val="13"/>
              </w:rPr>
              <w:t xml:space="preserve">0.862*** (0.033)</w:t>
            </w:r>
          </w:p>
        </w:tc>
      </w:tr>
      <w:tr>
        <w:trPr>
          <w:cantSplit/>
        </w:trPr>
        <w:tc>
          <w:tcPr>
            <w:tcW w:type="dxa" w:w="1418"/>
          </w:tcPr>
          <w:p>
            <w:pPr>
              <w:pStyle w:val="Compact"/>
              <w:spacing w:before="20" w:after="20" w:line="240" w:lineRule="auto"/>
              <w:keepNext/>
            </w:pPr>
            <w:r>
              <w:rPr>
                <w:sz w:val="13"/>
                <w:szCs w:val="13"/>
              </w:rPr>
              <w:t xml:space="preserve">N</w:t>
            </w:r>
          </w:p>
        </w:tc>
        <w:tc>
          <w:tcPr>
            <w:tcW w:type="dxa" w:w="994"/>
          </w:tcPr>
          <w:p>
            <w:pPr>
              <w:pStyle w:val="Compact"/>
              <w:spacing w:before="20" w:after="20" w:line="240" w:lineRule="auto"/>
              <w:jc w:val="center"/>
              <w:keepNext/>
            </w:pPr>
            <w:r>
              <w:rPr>
                <w:sz w:val="13"/>
                <w:szCs w:val="13"/>
              </w:rPr>
              <w:t xml:space="preserve">928</w:t>
            </w:r>
          </w:p>
        </w:tc>
        <w:tc>
          <w:tcPr>
            <w:tcW w:type="dxa" w:w="994"/>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83"/>
          </w:tcPr>
          <w:p>
            <w:pPr>
              <w:pStyle w:val="Compact"/>
              <w:spacing w:before="20" w:after="20" w:line="240" w:lineRule="auto"/>
              <w:jc w:val="center"/>
              <w:keepNext/>
            </w:pPr>
            <w:r>
              <w:rPr>
                <w:sz w:val="13"/>
                <w:szCs w:val="13"/>
              </w:rPr>
              <w:t xml:space="preserve">908</w:t>
            </w:r>
          </w:p>
        </w:tc>
        <w:tc>
          <w:tcPr>
            <w:tcW w:type="dxa" w:w="1028"/>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011"/>
          </w:tcPr>
          <w:p>
            <w:pPr>
              <w:pStyle w:val="Compact"/>
              <w:spacing w:before="20" w:after="20" w:line="240" w:lineRule="auto"/>
              <w:jc w:val="center"/>
              <w:keepNext/>
            </w:pPr>
            <w:r>
              <w:rPr>
                <w:sz w:val="13"/>
                <w:szCs w:val="13"/>
              </w:rPr>
              <w:t xml:space="preserve">830</w:t>
            </w:r>
          </w:p>
        </w:tc>
      </w:tr>
      <w:tr>
        <w:trPr>
          <w:cantSplit/>
        </w:trPr>
        <w:tc>
          <w:tcPr>
            <w:tcW w:type="dxa" w:w="1418"/>
          </w:tcPr>
          <w:p>
            <w:pPr>
              <w:pStyle w:val="Compact"/>
              <w:spacing w:before="20" w:after="20" w:line="240" w:lineRule="auto"/>
              <w:keepNext/>
            </w:pPr>
            <w:r>
              <w:rPr>
                <w:sz w:val="13"/>
                <w:szCs w:val="13"/>
              </w:rPr>
              <w:t xml:space="preserve">Log-likelihood</w:t>
            </w:r>
          </w:p>
        </w:tc>
        <w:tc>
          <w:tcPr>
            <w:tcW w:type="dxa" w:w="994"/>
          </w:tcPr>
          <w:p>
            <w:pPr>
              <w:pStyle w:val="Compact"/>
              <w:spacing w:before="20" w:after="20" w:line="240" w:lineRule="auto"/>
              <w:jc w:val="center"/>
              <w:keepNext/>
            </w:pPr>
            <w:r>
              <w:rPr>
                <w:sz w:val="13"/>
                <w:szCs w:val="13"/>
              </w:rPr>
              <w:t xml:space="preserve">−774.5</w:t>
            </w:r>
          </w:p>
        </w:tc>
        <w:tc>
          <w:tcPr>
            <w:tcW w:type="dxa" w:w="994"/>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83"/>
          </w:tcPr>
          <w:p>
            <w:pPr>
              <w:pStyle w:val="Compact"/>
              <w:spacing w:before="20" w:after="20" w:line="240" w:lineRule="auto"/>
              <w:jc w:val="center"/>
              <w:keepNext/>
            </w:pPr>
            <w:r>
              <w:rPr>
                <w:sz w:val="13"/>
                <w:szCs w:val="13"/>
              </w:rPr>
              <w:t xml:space="preserve">−755.9</w:t>
            </w:r>
          </w:p>
        </w:tc>
        <w:tc>
          <w:tcPr>
            <w:tcW w:type="dxa" w:w="1028"/>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011"/>
          </w:tcPr>
          <w:p>
            <w:pPr>
              <w:pStyle w:val="Compact"/>
              <w:spacing w:before="20" w:after="20" w:line="240" w:lineRule="auto"/>
              <w:jc w:val="center"/>
              <w:keepNext/>
            </w:pPr>
            <w:r>
              <w:rPr>
                <w:sz w:val="13"/>
                <w:szCs w:val="13"/>
              </w:rPr>
              <w:t xml:space="preserve">−683.0</w:t>
            </w:r>
          </w:p>
        </w:tc>
      </w:tr>
    </w:tbl>
    <w:p>
      <w:pPr>
        <w:pStyle w:val="BodyText"/>
      </w:pPr>
      <w:r>
        <w:rPr>
          <w:b/>
          <w:bCs/>
        </w:rPr>
        <w:t xml:space="preserve">Alternative-exclusion sensitivity analysis.</w:t>
      </w:r>
      <w:r>
        <w:t xml:space="preserve"> </w:t>
      </w:r>
      <w:r>
        <w:t xml:space="preserve">To examine indirectly the sensitivity related to the IIA assumption, a binary logit of integrated versus bonding-only was estimated on the sample excluding the process-only type (N = 763). The odds ratio was 1.463 for technological scope and 0.987 for filing year, so the direction and relative magnitude of the main coefficients were similar to the values in the integrated-type equation of the multinomial logit (1.403 and 0.993). This sensitivity analysis shows that excluding the process-only type does not substantially change the interpretation of the results for the integrated type; it does not, however, replace formal IIA tests (Hausman–McFadden, Small–Hsiao). The core technology model in the main text also uses the same sample.</w:t>
      </w:r>
    </w:p>
    <w:bookmarkEnd w:id="56"/>
    <w:bookmarkStart w:id="57" w:name="X3123abb87784e383aa5c5dcfcaefc00ba6812c9"/>
    <w:p>
      <w:pPr>
        <w:pStyle w:val="Heading3"/>
      </w:pPr>
      <w:r>
        <w:t xml:space="preserve">Appendix B. Irrelevant uses of the search terms</w:t>
      </w:r>
    </w:p>
    <w:p>
      <w:pPr>
        <w:pStyle w:val="FirstParagraph"/>
      </w:pPr>
      <w:r>
        <w:t xml:space="preserve">The search terms of the keyword filter are also used in senses unrelated to hybrid bonding. Most such cases are uses of</w:t>
      </w:r>
      <w:r>
        <w:t xml:space="preserve"> </w:t>
      </w:r>
      <w:r>
        <w:rPr>
          <w:i/>
          <w:iCs/>
        </w:rPr>
        <w:t xml:space="preserve">direct bonding</w:t>
      </w:r>
      <w:r>
        <w:t xml:space="preserve"> </w:t>
      </w:r>
      <w:r>
        <w:t xml:space="preserve">in a different sense, and a few are uses of</w:t>
      </w:r>
      <w:r>
        <w:t xml:space="preserve"> </w:t>
      </w:r>
      <w:r>
        <w:rPr>
          <w:i/>
          <w:iCs/>
        </w:rPr>
        <w:t xml:space="preserve">hybrid bonding</w:t>
      </w:r>
      <w:r>
        <w:t xml:space="preserve"> </w:t>
      </w:r>
      <w:r>
        <w:t xml:space="preserve">in the sense of chemical bonding or bonding sheets for power modules. Applications whose titles contained the following terms were judged to be irrelevant uses: ceramic, DBC (direct bonded copper), alumina, zirconia, and aluminum nitride substrates; copper alloys; diamond–molybdenum bonding; laser precursors; electrostatic chucks; power module and power device substrates; heat spreaders; direct bonded metal substrates; direct bonded circuit assemblies; and sp³–sp² hybrid bonding (in the sense of chemical bonding). These applications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their distribution is shown in Table B.1. After the irrelevant uses are excluded, many of the remaining applications filed before 2010 concern the direct bonding of silicon wafers (e.g., for manufacturing silicon-on-insulator (SOI) wafers); because these are precursor technologies of the dielectric bonding in hybrid bonding, they were retained in the sample. The list of the 68 titles is available from the authors upon request.</w:t>
      </w:r>
    </w:p>
    <w:p>
      <w:pPr>
        <w:pStyle w:val="BodyText"/>
        <w:keepNext/>
      </w:pPr>
      <w:r>
        <w:rPr>
          <w:b/>
          <w:bCs/>
          <w:sz w:val="20"/>
          <w:szCs w:val="20"/>
        </w:rPr>
        <w:t xml:space="preserve">Table B.1.</w:t>
      </w:r>
      <w:r>
        <w:rPr>
          <w:sz w:val="20"/>
          <w:szCs w:val="20"/>
        </w:rPr>
        <w:t xml:space="preserve"> </w:t>
      </w:r>
      <w:r>
        <w:rPr>
          <w:sz w:val="20"/>
          <w:szCs w:val="20"/>
        </w:rPr>
        <w:t xml:space="preserve">Distribution of the 68 applications judged to be irrelevant uses.</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046"/>
        <w:gridCol w:w="3023"/>
      </w:tblGrid>
      <w:tr>
        <w:trPr>
          <w:tblHeader w:val="on"/>
          <w:cantSplit/>
        </w:trPr>
        <w:tc>
          <w:tcPr>
            <w:tcW w:type="dxa" w:w="6046"/>
            <w:tcBorders>
              <w:bottom w:val="single" w:sz="4" w:space="0" w:color="000000"/>
            </w:tcBorders>
          </w:tcPr>
          <w:p>
            <w:pPr>
              <w:pStyle w:val="Compact"/>
              <w:spacing w:before="20" w:after="20" w:line="240" w:lineRule="auto"/>
              <w:keepNext/>
            </w:pPr>
            <w:r>
              <w:rPr>
                <w:sz w:val="18"/>
                <w:szCs w:val="18"/>
              </w:rPr>
              <w:t xml:space="preserve">Category</w:t>
            </w:r>
          </w:p>
        </w:tc>
        <w:tc>
          <w:tcPr>
            <w:tcW w:type="dxa" w:w="3023"/>
            <w:tcBorders>
              <w:bottom w:val="single" w:sz="4" w:space="0" w:color="000000"/>
            </w:tcBorders>
          </w:tcPr>
          <w:p>
            <w:pPr>
              <w:pStyle w:val="Compact"/>
              <w:spacing w:before="20" w:after="20" w:line="240" w:lineRule="auto"/>
              <w:jc w:val="right"/>
              <w:keepNext/>
            </w:pPr>
            <w:r>
              <w:rPr>
                <w:sz w:val="18"/>
                <w:szCs w:val="18"/>
              </w:rPr>
              <w:t xml:space="preserve">Applications</w:t>
            </w:r>
          </w:p>
        </w:tc>
      </w:tr>
      <w:tr>
        <w:trPr>
          <w:cantSplit/>
        </w:trPr>
        <w:tc>
          <w:tcPr>
            <w:tcW w:type="dxa" w:w="6046"/>
          </w:tcPr>
          <w:p>
            <w:pPr>
              <w:pStyle w:val="Compact"/>
              <w:spacing w:before="20" w:after="20" w:line="240" w:lineRule="auto"/>
              <w:keepNext/>
            </w:pPr>
            <w:r>
              <w:rPr>
                <w:sz w:val="18"/>
                <w:szCs w:val="18"/>
              </w:rPr>
              <w:t xml:space="preserve">Type: bonding-only</w:t>
            </w:r>
          </w:p>
        </w:tc>
        <w:tc>
          <w:tcPr>
            <w:tcW w:type="dxa" w:w="3023"/>
          </w:tcPr>
          <w:p>
            <w:pPr>
              <w:pStyle w:val="Compact"/>
              <w:spacing w:before="20" w:after="20" w:line="240" w:lineRule="auto"/>
              <w:jc w:val="right"/>
              <w:keepNext/>
            </w:pPr>
            <w:r>
              <w:rPr>
                <w:sz w:val="18"/>
                <w:szCs w:val="18"/>
              </w:rPr>
              <w:t xml:space="preserve">34</w:t>
            </w:r>
          </w:p>
        </w:tc>
      </w:tr>
      <w:tr>
        <w:trPr>
          <w:cantSplit/>
        </w:trPr>
        <w:tc>
          <w:tcPr>
            <w:tcW w:type="dxa" w:w="6046"/>
          </w:tcPr>
          <w:p>
            <w:pPr>
              <w:pStyle w:val="Compact"/>
              <w:spacing w:before="20" w:after="20" w:line="240" w:lineRule="auto"/>
              <w:keepNext/>
            </w:pPr>
            <w:r>
              <w:rPr>
                <w:sz w:val="18"/>
                <w:szCs w:val="18"/>
              </w:rPr>
              <w:t xml:space="preserve">Type: integrated</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Type: process-only</w:t>
            </w:r>
          </w:p>
        </w:tc>
        <w:tc>
          <w:tcPr>
            <w:tcW w:type="dxa" w:w="3023"/>
          </w:tcPr>
          <w:p>
            <w:pPr>
              <w:pStyle w:val="Compact"/>
              <w:spacing w:before="20" w:after="20" w:line="240" w:lineRule="auto"/>
              <w:jc w:val="right"/>
              <w:keepNext/>
            </w:pPr>
            <w:r>
              <w:rPr>
                <w:sz w:val="18"/>
                <w:szCs w:val="18"/>
              </w:rPr>
              <w:t xml:space="preserve">17</w:t>
            </w:r>
          </w:p>
        </w:tc>
      </w:tr>
      <w:tr>
        <w:trPr>
          <w:cantSplit/>
        </w:trPr>
        <w:tc>
          <w:tcPr>
            <w:tcW w:type="dxa" w:w="6046"/>
          </w:tcPr>
          <w:p>
            <w:pPr>
              <w:pStyle w:val="Compact"/>
              <w:spacing w:before="20" w:after="20" w:line="240" w:lineRule="auto"/>
              <w:keepNext/>
            </w:pPr>
            <w:r>
              <w:rPr>
                <w:sz w:val="18"/>
                <w:szCs w:val="18"/>
              </w:rPr>
              <w:t xml:space="preserve">Filing period: 1968–2014</w:t>
            </w:r>
          </w:p>
        </w:tc>
        <w:tc>
          <w:tcPr>
            <w:tcW w:type="dxa" w:w="3023"/>
          </w:tcPr>
          <w:p>
            <w:pPr>
              <w:pStyle w:val="Compact"/>
              <w:spacing w:before="20" w:after="20" w:line="240" w:lineRule="auto"/>
              <w:jc w:val="right"/>
              <w:keepNext/>
            </w:pPr>
            <w:r>
              <w:rPr>
                <w:sz w:val="18"/>
                <w:szCs w:val="18"/>
              </w:rPr>
              <w:t xml:space="preserve">36</w:t>
            </w:r>
          </w:p>
        </w:tc>
      </w:tr>
      <w:tr>
        <w:trPr>
          <w:cantSplit/>
        </w:trPr>
        <w:tc>
          <w:tcPr>
            <w:tcW w:type="dxa" w:w="6046"/>
          </w:tcPr>
          <w:p>
            <w:pPr>
              <w:pStyle w:val="Compact"/>
              <w:spacing w:before="20" w:after="20" w:line="240" w:lineRule="auto"/>
              <w:keepNext/>
            </w:pPr>
            <w:r>
              <w:rPr>
                <w:sz w:val="18"/>
                <w:szCs w:val="18"/>
              </w:rPr>
              <w:t xml:space="preserve">Filing period: 2015–2024</w:t>
            </w:r>
          </w:p>
        </w:tc>
        <w:tc>
          <w:tcPr>
            <w:tcW w:type="dxa" w:w="3023"/>
          </w:tcPr>
          <w:p>
            <w:pPr>
              <w:pStyle w:val="Compact"/>
              <w:spacing w:before="20" w:after="20" w:line="240" w:lineRule="auto"/>
              <w:jc w:val="right"/>
              <w:keepNext/>
            </w:pPr>
            <w:r>
              <w:rPr>
                <w:sz w:val="18"/>
                <w:szCs w:val="18"/>
              </w:rPr>
              <w:t xml:space="preserve">32</w:t>
            </w:r>
          </w:p>
        </w:tc>
      </w:tr>
    </w:tbl>
    <w:bookmarkEnd w:id="57"/>
    <w:bookmarkEnd w:id="58"/>
    <w:sectPr>
      <w:footerReference w:type="default" r:id="rId9"/>
      <w:footnotePr>
        <w:numRestart w:val="eachSect"/>
      </w:footnotePr>
      <w:pgSz w:w="11906" w:h="16838"/>
      <w:pgMar w:left="1417" w:right="1417" w:top="1417" w:bottom="1417"/>
      <w:lnNumType w:countBy="1" w:restart="continuous" w:distance="2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uppressLineNumbers/>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2026-10-13T08:59:03Z</dcterms:created>
  <dcterms:modified xsi:type="dcterms:W3CDTF">2026-10-13T08:59:03Z</dcterms:modified>
  <cp:lastModifiedBy/>
  <dc:description/>
</cp:coreProperties>
</file>

<file path=docProps/custom.xml><?xml version="1.0" encoding="utf-8"?>
<Properties xmlns="http://schemas.openxmlformats.org/officeDocument/2006/custom-properties" xmlns:vt="http://schemas.openxmlformats.org/officeDocument/2006/docPropsVTypes"/>
</file>