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rPr>
          <w:highlight w:val="yellow"/>
        </w:rPr>
        <w:t xml:space="preserve">하이라이트(Highlights)</w:t>
      </w:r>
    </w:p>
    <w:p>
      <w:pPr>
        <w:pStyle w:val="Compact"/>
        <w:numPr>
          <w:ilvl w:val="0"/>
          <w:numId w:val="1001"/>
        </w:numPr>
      </w:pPr>
      <w:r>
        <w:rPr>
          <w:highlight w:val="yellow"/>
        </w:rPr>
        <w:t xml:space="preserve">하이브리드 본딩 특허에서 전공정과 후공정 지식의 통합을 확인함</w:t>
      </w:r>
    </w:p>
    <w:p>
      <w:pPr>
        <w:pStyle w:val="Compact"/>
        <w:numPr>
          <w:ilvl w:val="0"/>
          <w:numId w:val="1001"/>
        </w:numPr>
      </w:pPr>
      <w:r>
        <w:rPr>
          <w:highlight w:val="yellow"/>
        </w:rPr>
        <w:t xml:space="preserve">접합과 제조공정을 함께 포함한 통합형 출원이 가장 큰 비중을 차지함</w:t>
      </w:r>
    </w:p>
    <w:p>
      <w:pPr>
        <w:pStyle w:val="Compact"/>
        <w:numPr>
          <w:ilvl w:val="0"/>
          <w:numId w:val="1001"/>
        </w:numPr>
      </w:pPr>
      <w:r>
        <w:rPr>
          <w:highlight w:val="yellow"/>
        </w:rPr>
        <w:t xml:space="preserve">공정 단계 간 융합은 형성기, 확산기, 재편기의 세 국면을 거쳐 전개됨</w:t>
      </w:r>
    </w:p>
    <w:p>
      <w:pPr>
        <w:pStyle w:val="Compact"/>
        <w:numPr>
          <w:ilvl w:val="0"/>
          <w:numId w:val="1001"/>
        </w:numPr>
      </w:pPr>
      <w:r>
        <w:rPr>
          <w:highlight w:val="yellow"/>
        </w:rPr>
        <w:t xml:space="preserve">출원의 무게중심이 제조공정에서 접합 쪽으로 이동함</w:t>
      </w:r>
    </w:p>
    <w:p>
      <w:pPr>
        <w:pStyle w:val="Compact"/>
        <w:numPr>
          <w:ilvl w:val="0"/>
          <w:numId w:val="1001"/>
        </w:numPr>
      </w:pPr>
      <w:r>
        <w:rPr>
          <w:highlight w:val="yellow"/>
        </w:rPr>
        <w:t xml:space="preserve">핵심 설계가 성숙하면서 지식 통합의 위치가 핵심에서 주변 공정으로 이동함</w:t>
      </w:r>
    </w:p>
    <w:p>
      <w:r>
        <w:br w:type="page"/>
      </w:r>
    </w:p>
    <w:p>
      <w:pPr>
        <w:pStyle w:val="FirstParagraph"/>
      </w:pPr>
      <w:r>
        <w:rPr>
          <w:b/>
          <w:bCs/>
        </w:rPr>
        <w:t xml:space="preserve">반도체 하이브리드 본딩의 공정 단계 간 기술융합: 특허 기반 종단 분석</w:t>
      </w:r>
    </w:p>
    <w:p>
      <w:pPr>
        <w:pStyle w:val="BodyText"/>
      </w:pPr>
      <w:r>
        <w:rPr>
          <w:b/>
          <w:bCs/>
        </w:rPr>
        <w:t xml:space="preserve">Cross-stage technology convergence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w:t>
      </w:r>
      <w:r>
        <w:t xml:space="preserve"> </w:t>
      </w:r>
      <w:r>
        <w:rPr>
          <w:highlight w:val="yellow"/>
        </w:rPr>
        <w:t xml:space="preserve">지식</w:t>
      </w:r>
      <w:r>
        <w:t xml:space="preserve"> </w:t>
      </w:r>
      <w:r>
        <w:t xml:space="preserve">영역으로 다루어져 왔다. 그러나 후공정의 접합 기술인 하이브리드 본딩은 전공정의 제조공정</w:t>
      </w:r>
      <w:r>
        <w:t xml:space="preserve"> </w:t>
      </w:r>
      <w:r>
        <w:rPr>
          <w:highlight w:val="yellow"/>
        </w:rPr>
        <w:t xml:space="preserve">지식</w:t>
      </w:r>
      <w:r>
        <w:t xml:space="preserve">이 뒷받침되어야 요구 성능을 확보할 수 있어 공정 단계 간의 기술융합</w:t>
      </w:r>
      <w:r>
        <w:rPr>
          <w:highlight w:val="yellow"/>
        </w:rPr>
        <w:t xml:space="preserve">, 즉 두 공정 단계의 지식 통합</w:t>
      </w:r>
      <w:r>
        <w:t xml:space="preserve">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w:t>
      </w:r>
      <w:r>
        <w:t xml:space="preserve"> </w:t>
      </w:r>
      <w:r>
        <w:rPr>
          <w:highlight w:val="yellow"/>
        </w:rPr>
        <w:t xml:space="preserve">이러한 지식 통합의 흔적인</w:t>
      </w:r>
      <w:r>
        <w:t xml:space="preserve"> </w:t>
      </w:r>
      <w:r>
        <w:t xml:space="preserve">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w:t>
      </w:r>
      <w:r>
        <w:t xml:space="preserve"> </w:t>
      </w:r>
      <w:r>
        <w:rPr>
          <w:highlight w:val="yellow"/>
        </w:rPr>
        <w:t xml:space="preserve">또한 통합형 출원은 세부 기술을 더 다양하게 포함하였다.</w:t>
      </w:r>
      <w:r>
        <w:t xml:space="preserve"> </w:t>
      </w:r>
      <w:r>
        <w:t xml:space="preserve">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w:t>
      </w:r>
      <w:r>
        <w:t xml:space="preserve"> </w:t>
      </w:r>
      <w:r>
        <w:rPr>
          <w:highlight w:val="yellow"/>
        </w:rPr>
        <w:t xml:space="preserve">핵심 기술 설계의 고착화가 진행되었다는 해석과 부합하게 공정 단계 간 지식 통합이 사라지는 것이 아니라 그 위치를 옮겨 감을 시사한다.</w:t>
      </w:r>
    </w:p>
    <w:p>
      <w:pPr>
        <w:pStyle w:val="BodyText"/>
      </w:pPr>
      <w:r>
        <w:rPr>
          <w:b/>
          <w:bCs/>
        </w:rPr>
        <w:t xml:space="preserve">주제어:</w:t>
      </w:r>
      <w:r>
        <w:t xml:space="preserve"> </w:t>
      </w:r>
      <w:r>
        <w:t xml:space="preserve">기술융합; 공정 단계 간 융합; 하이브리드 본딩; 첨단 패키징;</w:t>
      </w:r>
      <w:r>
        <w:t xml:space="preserve"> </w:t>
      </w:r>
      <w:r>
        <w:rPr>
          <w:highlight w:val="yellow"/>
        </w:rPr>
        <w:t xml:space="preserve">지식 통합</w:t>
      </w:r>
      <w:r>
        <w:t xml:space="preserve">; 지배적 설계</w:t>
      </w:r>
    </w:p>
    <w:p>
      <w:pPr>
        <w:pStyle w:val="BodyText"/>
      </w:pPr>
      <w:r>
        <w:rPr>
          <w:b/>
          <w:bCs/>
          <w:highlight w:val="yellow"/>
        </w:rPr>
        <w:t xml:space="preserve">JEL 분류:</w:t>
      </w:r>
      <w:r>
        <w:rPr>
          <w:highlight w:val="yellow"/>
        </w:rPr>
        <w:t xml:space="preserve"> </w:t>
      </w:r>
      <w:r>
        <w:rPr>
          <w:highlight w:val="yellow"/>
        </w:rP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외주화되었다(Brown &amp; Linden, 2009; Macher &amp; Mowery, 2004). 이러한 분업은 두 단계 사이의 인터페이스가 비교적 안정적으로 관리되었기 때문에 가능하였다.</w:t>
      </w:r>
      <w:r>
        <w:t xml:space="preserve"> </w:t>
      </w:r>
      <w:r>
        <w:rPr>
          <w:highlight w:val="yellow"/>
        </w:rPr>
        <w:t xml:space="preserve">안정적인 인터페이스는 각 공정 단계가 서로 구분되는 지식 영역을 유지하면서 전문화할 수 있게 한다(Brusoni et al., 2001; Henderson &amp; Clark, 1990).</w:t>
      </w:r>
      <w:r>
        <w:t xml:space="preserve"> </w:t>
      </w:r>
      <w:r>
        <w:t xml:space="preserve">그러나 첨단 패키징이 등장하면서 이 인터페이스에도 변화가 나타나고 있다. 한 단계의 성능이 다른 단계의 공정 역량에 보다 직접적으로 의존하게 된 것이다.</w:t>
      </w:r>
      <w:r>
        <w:t xml:space="preserve"> </w:t>
      </w:r>
      <w:r>
        <w:rPr>
          <w:highlight w:val="yellow"/>
        </w:rPr>
        <w:t xml:space="preserve">기술 변화가 이러한 인터페이스를 불안정하게 만들면, 혁신은 경계 양쪽의 전문 지식을 통합할 것을 점점 더 요구하게 된다(Grant, 1996).</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있다(KnowMade, 2024; Lau, 2022).</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왔다(Curran &amp; Leker, 2011; Kodama, 1992; Rosenberg, 1963; Sick &amp;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r>
        <w:t xml:space="preserve"> </w:t>
      </w:r>
      <w:r>
        <w:rPr>
          <w:highlight w:val="yellow"/>
        </w:rPr>
        <w:t xml:space="preserve">지식의 관점에서 보면, 이는 두 단계의 지식 영역이 융합하는지뿐 아니라 기술 아키텍처가 진화함에 따라 그 지식이 통합되는 위치가 어떻게 달라지는지에 관한 질문이기도 하다.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w:t>
      </w:r>
      <w:r>
        <w:t xml:space="preserve"> </w:t>
      </w:r>
      <w:r>
        <w:rPr>
          <w:highlight w:val="yellow"/>
        </w:rPr>
        <w:t xml:space="preserve">발명은 기존 지식의 새로운 결합이므로(Fleming, 2001), 한 출원의 공동분류는 두 공정 영역의 지식이 하나의 발명 안에서 통합되었음을 보여 주는, 불완전하지만 관찰 가능한 흔적이다.</w:t>
      </w:r>
      <w:r>
        <w:t xml:space="preserve"> </w:t>
      </w:r>
      <w:r>
        <w:t xml:space="preserve">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지식의 관점에서 이는 지식 경계에 관한 논의를 한 산업 내에서 수직적으로 분리된 공정 영역으로 확장하는 것이다.</w:t>
      </w:r>
      <w:r>
        <w:t xml:space="preserve"> </w:t>
      </w:r>
      <w:r>
        <w:t xml:space="preserve">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t xml:space="preserve"> </w:t>
      </w:r>
      <w:r>
        <w:rPr>
          <w:highlight w:val="yellow"/>
        </w:rPr>
        <w:t xml:space="preserve">즉, 공정 단계 간 지식 통합의 강도와 형태는 기술이 발전함에 따라 비선형적으로 재편된다.</w:t>
      </w:r>
      <w:r>
        <w:t xml:space="preserve"> </w:t>
      </w:r>
      <w:r>
        <w:t xml:space="preserve">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r>
        <w:t xml:space="preserve"> </w:t>
      </w:r>
      <w:r>
        <w:rPr>
          <w:highlight w:val="yellow"/>
        </w:rPr>
        <w:t xml:space="preserve">또한 핵심 설계가 고착화됨에 따라 지식 통합이 사라지는 것이 아니라 핵심 접합부에서 이를 구현하는 주변 공정으로 그 위치를 옮겨 간다는 점을 시사한다.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5"/>
    <w:bookmarkStart w:id="20" w:name="이론적-배경"/>
    <w:p>
      <w:pPr>
        <w:pStyle w:val="Heading2"/>
      </w:pPr>
      <w:r>
        <w:t xml:space="preserve">2. 이론적 배경</w:t>
      </w:r>
    </w:p>
    <w:bookmarkStart w:id="16"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지식 기반 관점에서 보면 이러한 결합은 분리되어 있던 전문 지식의 통합에 해당하며(Grant, 1996), 각 발명은 기존 지식 요소의 새로운 결합으로 볼 수 있다(Fleming, 2001).</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&amp;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해당한다(Bröring et al., 2006; Gambardella &amp; Torrisi, 1998; No &amp; Park, 2010). 둘째, 융합은 일반적으로 두 분야 사이의 공동분류나 인용을 집계한 분야 수준의 지표로 측정된다(Cho &amp; Kim, 2014; Choi et al., 2022; Curran et al., 2010;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6"/>
    <w:bookmarkStart w:id="17"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Henderson과 Clark(1990)은 반도체 노광 정렬 장비 산업을 분석하여 부품에 관한 지식과 부품들이 어떻게 연결되는지에 관한 아키텍처 지식을 구분하고, 연결 방식이 바뀌면 기존 아키텍처 지식의 유용성이 훼손됨을 보였다.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7"/>
    <w:bookmarkStart w:id="18"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&amp;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&amp;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&amp;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8"/>
    <w:bookmarkStart w:id="19"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&amp; Leker, 2011). 기존 연구는 대체로 두 분야의 기호가 함께 부여된 특허의 수를 집계하여 분야 수준의 지수로 융합을 측정해 왔다(Cho &amp; Kim, 2014; Jeong et al., 2015; Kwon et al., 2020; Lee et al., 2015; Yun &amp; Geum, 2019). 한편 분류 체계가 발명을 사후적으로 반영한다는 한계를 보완하기 위해 특허 텍스트를 활용하는 연구도 이루어졌다(Preschitschek et al., 2013; Zhu &amp;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w:t>
      </w:r>
      <w:r>
        <w:t xml:space="preserve"> </w:t>
      </w:r>
      <w:r>
        <w:rPr>
          <w:highlight w:val="yellow"/>
        </w:rPr>
        <w:t xml:space="preserve">이러한 의미에서 공동분류는 발명 수준의 지식 통합을 보여 주는 관찰 가능한 흔적이며, 조직 간 지식 이전의 측정치는 아니다.</w:t>
      </w:r>
      <w:r>
        <w:t xml:space="preserve"> </w:t>
      </w:r>
      <w:r>
        <w:t xml:space="preserve">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&amp;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9"/>
    <w:bookmarkEnd w:id="20"/>
    <w:bookmarkStart w:id="29"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4"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8"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6" name="Picture"/>
            <a:graphic>
              <a:graphicData uri="http://schemas.openxmlformats.org/drawingml/2006/picture">
                <pic:pic>
                  <pic:nvPicPr>
                    <pic:cNvPr descr="figures/fig_d2w_flow_amat_ko.png" id="27" name="Picture"/>
                    <pic:cNvPicPr>
                      <a:picLocks noChangeArrowheads="1" noChangeAspect="1"/>
                    </pic:cNvPicPr>
                  </pic:nvPicPr>
                  <pic:blipFill>
                    <a:blip r:embed="rId25"/>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8"/>
    <w:bookmarkEnd w:id="29"/>
    <w:bookmarkStart w:id="41" w:name="자료와-방법"/>
    <w:p>
      <w:pPr>
        <w:pStyle w:val="Heading2"/>
      </w:pPr>
      <w:r>
        <w:t xml:space="preserve">4. 자료와 방법</w:t>
      </w:r>
    </w:p>
    <w:bookmarkStart w:id="30"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30"/>
    <w:bookmarkStart w:id="31"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1"/>
    <w:bookmarkStart w:id="35"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3" name="Picture"/>
            <a:graphic>
              <a:graphicData uri="http://schemas.openxmlformats.org/drawingml/2006/picture">
                <pic:pic>
                  <pic:nvPicPr>
                    <pic:cNvPr descr="figures/fig2_applications_by_year_ko.png" id="34" name="Picture"/>
                    <pic:cNvPicPr>
                      <a:picLocks noChangeArrowheads="1" noChangeAspect="1"/>
                    </pic:cNvPicPr>
                  </pic:nvPicPr>
                  <pic:blipFill>
                    <a:blip r:embed="rId3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5"/>
    <w:bookmarkStart w:id="39"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7" name="Picture"/>
            <a:graphic>
              <a:graphicData uri="http://schemas.openxmlformats.org/drawingml/2006/picture">
                <pic:pic>
                  <pic:nvPicPr>
                    <pic:cNvPr descr="figures/fig_core_network_v58_ko.png" id="38" name="Picture"/>
                    <pic:cNvPicPr>
                      <a:picLocks noChangeArrowheads="1" noChangeAspect="1"/>
                    </pic:cNvPicPr>
                  </pic:nvPicPr>
                  <pic:blipFill>
                    <a:blip r:embed="rId36"/>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9"/>
    <w:bookmarkStart w:id="40"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40"/>
    <w:bookmarkEnd w:id="41"/>
    <w:bookmarkStart w:id="52"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5"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3" name="Picture"/>
            <a:graphic>
              <a:graphicData uri="http://schemas.openxmlformats.org/drawingml/2006/picture">
                <pic:pic>
                  <pic:nvPicPr>
                    <pic:cNvPr descr="figures/fig_pred_types_v37_ko.png" id="44" name="Picture"/>
                    <pic:cNvPicPr>
                      <a:picLocks noChangeArrowheads="1" noChangeAspect="1"/>
                    </pic:cNvPicPr>
                  </pic:nvPicPr>
                  <pic:blipFill>
                    <a:blip r:embed="rId42"/>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5"/>
    <w:bookmarkStart w:id="49"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7" name="Picture"/>
            <a:graphic>
              <a:graphicData uri="http://schemas.openxmlformats.org/drawingml/2006/picture">
                <pic:pic>
                  <pic:nvPicPr>
                    <pic:cNvPr descr="figures/fig7_period_shares_v37_ko.png" id="48" name="Picture"/>
                    <pic:cNvPicPr>
                      <a:picLocks noChangeArrowheads="1" noChangeAspect="1"/>
                    </pic:cNvPicPr>
                  </pic:nvPicPr>
                  <pic:blipFill>
                    <a:blip r:embed="rId46"/>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9"/>
    <w:bookmarkStart w:id="50"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50"/>
    <w:bookmarkStart w:id="51"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1"/>
    <w:bookmarkEnd w:id="52"/>
    <w:bookmarkStart w:id="56"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3"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왔다(Curran &amp; Leker, 2011; Hacklin et al., 2010; Zhang &amp;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지식의 관점에서 이는 기업 경계를 중심으로 논의되어 온 지식 경계(Brusoni et al., 2001; Kapoor &amp; Adner, 2012)를 한 산업 내에서 수직적으로 분리된 공정 영역으로 확장하는 것이다.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w:t>
      </w:r>
      <w:r>
        <w:t xml:space="preserve"> </w:t>
      </w:r>
      <w:r>
        <w:rPr>
          <w:highlight w:val="yellow"/>
        </w:rPr>
        <w:t xml:space="preserve">다만 이는 유형의 정의에 일부 내재된 구성상의 연관이며, 다양성이 통합을 유발한다는 증거는 아니다(제5.4절, 제6.3절).</w:t>
      </w:r>
      <w:r>
        <w:t xml:space="preserve"> </w:t>
      </w:r>
      <w:r>
        <w:t xml:space="preserve">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달리 말하면, 공정 단계 간 지식 통합의 강도와 형태가 기술 아키텍처의 진화와 함께 비선형적으로 재편된 것이다.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&amp;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w:t>
      </w:r>
      <w:r>
        <w:t xml:space="preserve"> </w:t>
      </w:r>
      <w:r>
        <w:rPr>
          <w:highlight w:val="yellow"/>
        </w:rPr>
        <w:t xml:space="preserve">이러한 결과는 기술 아키텍처의 성숙이 영역 간 지식 통합을 없애는 것이 아니라, 통합이 일어나는 위치를 핵심 접합부에서 확립된 아키텍처를 새로운 응용에 구현하는 데 필요한 주변 공정으로 옮긴다는 점을 시사한다.</w:t>
      </w:r>
      <w:r>
        <w:t xml:space="preserve"> </w:t>
      </w:r>
      <w:r>
        <w:t xml:space="preserve">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3"/>
    <w:bookmarkStart w:id="54"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w:t>
      </w:r>
      <w:r>
        <w:t xml:space="preserve"> </w:t>
      </w:r>
      <w:r>
        <w:rPr>
          <w:highlight w:val="yellow"/>
        </w:rPr>
        <w:t xml:space="preserve">생산 경계와 지식 경계가 반드시 일치하지는 않으므로(Brusoni et al., 2001), 기업은 직접 수행하지 않는 인접 공정 단계의 지식도 유지할 필요가 있다.</w:t>
      </w:r>
      <w:r>
        <w:t xml:space="preserve"> </w:t>
      </w:r>
      <w:r>
        <w:t xml:space="preserve">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4"/>
    <w:bookmarkStart w:id="55"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w:t>
      </w:r>
      <w:r>
        <w:t xml:space="preserve"> </w:t>
      </w:r>
      <w:r>
        <w:rPr>
          <w:highlight w:val="yellow"/>
        </w:rPr>
        <w:t xml:space="preserve">따라서 공동분류는 두 공정 영역의 지식이 하나의 발명 안에서 통합되었음을 보여 주는 관찰 가능한 흔적으로 사용되었으며, 조직 간 지식 이전, 기업의 흡수역량, 혁신 성과를 측정한 것은 아니다.</w:t>
      </w:r>
      <w:r>
        <w:t xml:space="preserve"> </w:t>
      </w:r>
      <w:r>
        <w:t xml:space="preserve">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방법(Lei et al., 2019; Preschitschek et al., 2013; Zhu &amp; Motohashi, 2022)은 보다 이른 탐지가 가능하지만 학습된 모형에 의존한다. H01L21과 H01L24의 경계가 제도적으로 명확한 본 연구에서는 재현성을 우선하였다.</w:t>
      </w:r>
      <w:r>
        <w:t xml:space="preserve"> </w:t>
      </w:r>
      <w:r>
        <w:rPr>
          <w:highlight w:val="yellow"/>
        </w:rPr>
        <w:t xml:space="preserve">또한 특허출원은 일반적으로 우선일로부터 18개월 뒤에 공개되므로 최근 연도의 출원은 아직 모두 관찰되지 않았으며(그림 3), 세 시기의 경계는 자료에서 추정한 것이 아니라 출원의 집중도를 고려하여 정한 것이다. 따라서 재편기의 결과는 이러한 절단을 감안하여 해석할 필요가 있으며, 다른 시기 구분에 따른 검토는 향후 과제로 남긴다.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5"/>
    <w:bookmarkEnd w:id="56"/>
    <w:bookmarkStart w:id="57"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융합의 중심이 핵심에서 주변으로 이동하는 동태적 과정이었음을 시사</w:t>
      </w:r>
      <w:r>
        <w:rPr>
          <w:highlight w:val="yellow"/>
        </w:rPr>
        <w:t xml:space="preserve">하며, 이는 핵심 기술 설계의 고착화가 진행되었다는 해석과 부합한다. 기술 아키텍처가 성숙하면서 두 공정 단계의 지식 통합은 사라지지 않았고, 핵심 접합부에서 아키텍처를 구현하는 주변 공정으로 그 위치를 옮겼다.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r>
        <w:t xml:space="preserve"> </w:t>
      </w:r>
      <w:r>
        <w:rPr>
          <w:highlight w:val="yellow"/>
        </w:rPr>
        <w:t xml:space="preserve">종합하면, 본 연구는 발명의 공동분류를 통해 수직적으로 분리된 공정 영역의 지식이 어떻게 통합되고 기술이 성숙함에 따라 그 통합이 어디에서 일어나는지를 추적함으로써 혁신과 지식을 연결한다.</w:t>
      </w:r>
    </w:p>
    <w:p>
      <w:r>
        <w:pict>
          <v:rect style="width:0;height:1.5pt" o:hralign="center" o:hrstd="t" o:hr="t"/>
        </w:pict>
      </w:r>
    </w:p>
    <w:bookmarkEnd w:id="57"/>
    <w:bookmarkStart w:id="58"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8"/>
    <w:bookmarkStart w:id="59"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국문 원고를 영어로 번역하고 영문을 교정하기 위해 Claude(Anthropic)를 사용하였다. 저자들은 이 도구를 사용한 뒤 내용을 검토하고 필요에 따라 수정하였으며, 출판된 논문의 내용에 대해 전적인 책임을 진다.</w:t>
      </w:r>
    </w:p>
    <w:bookmarkEnd w:id="59"/>
    <w:bookmarkStart w:id="60"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rPr>
          <w:highlight w:val="yellow"/>
        </w:rPr>
        <w:t xml:space="preserve">Fleming, L. (2001). Recombinant uncertainty in technological search.</w:t>
      </w:r>
      <w:r>
        <w:rPr>
          <w:highlight w:val="yellow"/>
        </w:rPr>
        <w:t xml:space="preserve"> </w:t>
      </w:r>
      <w:r>
        <w:rPr>
          <w:i/>
          <w:iCs/>
          <w:highlight w:val="yellow"/>
        </w:rPr>
        <w:t xml:space="preserve">Management Science</w:t>
      </w:r>
      <w:r>
        <w:rPr>
          <w:highlight w:val="yellow"/>
        </w:rPr>
        <w:t xml:space="preserve">,</w:t>
      </w:r>
      <w:r>
        <w:rPr>
          <w:highlight w:val="yellow"/>
        </w:rPr>
        <w:t xml:space="preserve"> </w:t>
      </w:r>
      <w:r>
        <w:rPr>
          <w:i/>
          <w:iCs/>
          <w:highlight w:val="yellow"/>
        </w:rPr>
        <w:t xml:space="preserve">47</w:t>
      </w:r>
      <w:r>
        <w:rPr>
          <w:highlight w:val="yellow"/>
        </w:rP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rPr>
          <w:highlight w:val="yellow"/>
        </w:rPr>
        <w:t xml:space="preserve">Grant, R. M. (1996). Toward a knowledge-based theory of the firm.</w:t>
      </w:r>
      <w:r>
        <w:rPr>
          <w:highlight w:val="yellow"/>
        </w:rPr>
        <w:t xml:space="preserve"> </w:t>
      </w:r>
      <w:r>
        <w:rPr>
          <w:i/>
          <w:iCs/>
          <w:highlight w:val="yellow"/>
        </w:rPr>
        <w:t xml:space="preserve">Strategic Management Journal</w:t>
      </w:r>
      <w:r>
        <w:rPr>
          <w:highlight w:val="yellow"/>
        </w:rPr>
        <w:t xml:space="preserve">,</w:t>
      </w:r>
      <w:r>
        <w:rPr>
          <w:highlight w:val="yellow"/>
        </w:rPr>
        <w:t xml:space="preserve"> </w:t>
      </w:r>
      <w:r>
        <w:rPr>
          <w:i/>
          <w:iCs/>
          <w:highlight w:val="yellow"/>
        </w:rPr>
        <w:t xml:space="preserve">17</w:t>
      </w:r>
      <w:r>
        <w:rPr>
          <w:highlight w:val="yellow"/>
        </w:rP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rPr>
          <w:highlight w:val="yellow"/>
        </w:rPr>
        <w:t xml:space="preserve">Henderson, R. M., &amp; Clark, K. B. (1990). Architectural innovation: The reconfiguration of existing product technologies and the failure of established firms.</w:t>
      </w:r>
      <w:r>
        <w:rPr>
          <w:highlight w:val="yellow"/>
        </w:rPr>
        <w:t xml:space="preserve"> </w:t>
      </w:r>
      <w:r>
        <w:rPr>
          <w:i/>
          <w:iCs/>
          <w:highlight w:val="yellow"/>
        </w:rPr>
        <w:t xml:space="preserve">Administrative Science Quarterly</w:t>
      </w:r>
      <w:r>
        <w:rPr>
          <w:highlight w:val="yellow"/>
        </w:rPr>
        <w:t xml:space="preserve">,</w:t>
      </w:r>
      <w:r>
        <w:rPr>
          <w:highlight w:val="yellow"/>
        </w:rPr>
        <w:t xml:space="preserve"> </w:t>
      </w:r>
      <w:r>
        <w:rPr>
          <w:i/>
          <w:iCs/>
          <w:highlight w:val="yellow"/>
        </w:rPr>
        <w:t xml:space="preserve">35</w:t>
      </w:r>
      <w:r>
        <w:rPr>
          <w:highlight w:val="yellow"/>
        </w:rP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60"/>
    <w:bookmarkStart w:id="63" w:name="부록"/>
    <w:p>
      <w:pPr>
        <w:pStyle w:val="Heading2"/>
      </w:pPr>
      <w:r>
        <w:t xml:space="preserve">부록</w:t>
      </w:r>
    </w:p>
    <w:bookmarkStart w:id="61"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61"/>
    <w:bookmarkStart w:id="62"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62"/>
    <w:bookmarkEnd w:id="63"/>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6" Type="http://schemas.openxmlformats.org/officeDocument/2006/relationships/image" Target="media/rId46.png"/><Relationship Id="rId36" Type="http://schemas.openxmlformats.org/officeDocument/2006/relationships/image" Target="media/rId36.png"/><Relationship Id="rId25" Type="http://schemas.openxmlformats.org/officeDocument/2006/relationships/image" Target="media/rId25.png"/><Relationship Id="rId21" Type="http://schemas.openxmlformats.org/officeDocument/2006/relationships/image" Target="media/rId21.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2026-10-13T08:59:04Z</dcterms:created>
  <dcterms:modified xsi:type="dcterms:W3CDTF">2026-10-13T08:59:04Z</dcterms:modified>
  <cp:lastModifiedBy/>
  <dc:description/>
</cp:coreProperties>
</file>

<file path=docProps/custom.xml><?xml version="1.0" encoding="utf-8"?>
<Properties xmlns="http://schemas.openxmlformats.org/officeDocument/2006/custom-properties" xmlns:vt="http://schemas.openxmlformats.org/officeDocument/2006/docPropsVTypes"/>
</file>