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pPr>
        <w:pStyle w:val="BodyText"/>
      </w:pPr>
      <w:r>
        <w:t xml:space="preserve">HyungKyu Lee (Department of Management of Technology, Hanyang University, Seoul, Republic of Korea)</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주로 서로 다른 산업 사이의 경계가 흐려지는 현상을 다루어 왔다. 본 연구는 한 산업 안에서 일어나는 융합, 곧 반도체 제조에서 오랫동안 분리되어 온 전공정(fabrication)과 후공정(assembly) 사이의 융합을 다룬다. 하이브리드 본딩은 구리 패드와 주변 유전체를 범프 없이 직접 접합하는 기술로, 고대역폭 메모리와 3D 로직의 핵심 공정이다. 이 기술은 후공정에 속하지만 그 성능은 화학적 기계연마(CMP)와 표면 활성화 같은 전공정 역량에 달려 있다. 본 연구는 유럽특허청 PATSTAT에서 추출한 하이브리드 본딩 특허출원 928건(출원–CPC 레코드 5,277건)을 이용하여, 융합을 개별 특허 수준의 경계 넘기(boundary spanning)로 측정한다. 접합·인터커넥트(H01L24)와 제조공정(H01L21)을 한 발명 안에서 함께 청구하는 통합형 특허를 경계를 넘는 특허로 정의하고, 이를 조립 단독형·공정 단독형과 구분한다. H01L21 기호의 보유를 제조공정 청구로 보는 조작적 정의에서 통합형은 출원의 45.8%로 최빈 유형이며, 전공정 기술을 청구하는 출원은 63.6%에 이른다. 다항 로짓과 이항 로짓으로 추정한 결과는 세 가지로 요약된다.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출원청에 따라 차이가 있다. 중국 출원청 출원은 범위가 좁고 공정 단독형에 치우치며,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범위가 넓다는 결과는 로버스트 표준오차에서 유의하지 않아 26건의 표본으로는 판정을 유보한다.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Under our operational definition, in which any H01L21 symbol counts as a fabrication-process claim,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narrower and tilted towards process-only claiming in most specifications, although the process-only tilt loses significance once the publication-lag-truncated 2023–2024 filings are excluded, whereas the Japanese-office results rest on 26 applications and are not robust to heteroskedasticity-robust standard errors.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 전공정(front end)에서 웨이퍼 위에 만들어지고, 완성된 웨이퍼는 후공정(back end)에서 절단·조립·패키징되었다. 두 단계는 기술적으로도, 조직적으로도, 지리적으로도 분리되어 있었다. 전공정 제조는 종합반도체기업(IDM)과 이후 파운드리가 운영하는 자본집약적 팹에 집중된 반면(Kapoor, 2013), 패키징과 테스트는 점차 전문 조립·테스트 하청업체(OSAT)로 외주화되었다(Macher and Mowery, 2004; Brown and Linden, 2009).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 하이브리드 본딩은 솔더 범프 없이 구리 패드와 주변 산화막을 직접 접합하여 마이크로범프로는 도달하기 어려운 10 µm 이하, 연구 단계에서는 1 µm 이하의 인터커넥트 피치를 가능하게 한다(Lau, 2021, 2022). 하이브리드 본딩이 전략적으로 중요한 이유는, 그 성패가 나노미터급 화학적 기계연마, 표면 활성화, 서브미크론 정렬처럼 전통적으로 전공정에 속해 온 역량에 달려 있기 때문이다.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흐려짐을 개별 발명 수준에서 관찰하고 측정하고 설명할 수 있는지를 묻는다. 이를 위해 기술융합 문헌, 곧 서로 구분되던 기술·산업 영역이 겹치고 다시 결합하는 과정을 다룬 연구(Rosenberg, 1963; Kodama, 1992; Curran and Leker, 2011; Sick and Bröring, 2022)를 출발점으로 삼되, 그동안 거의 주목받지 못한 방향으로 논의를 넓힌다. 융합에 관한 실증 연구의 대부분은 정보통신기술과 가전(Gambardella and Torrisi, 1998; Hacklin et al., 2009), 식품과 제약(Bröring et al., 2006; Curran et al., 2010), 나노기술과 바이오기술(No and Park, 2010)처럼 서로 다른 산업이 만나는 경우를 다루어 왔다. 반면 한 산업 내부에서 가치사슬 단계를 가로지르는 융합은 드물게만 다루어졌다. 가치사슬 상·하류 기업 간의 기술 인터페이스를 특허 인용으로 분석한 Karvonen과 Kässi(2012)의 무선인식(RFID) 연구가 가장 가까운 선례이지만, 이는 기업 간 지식 흐름을 다루었을 뿐 하나의 공정기술이 제조 단계의 경계를 넘는지를 개별 특허 수준에서 검정하지는 않았다. 그러나 누가 무엇을 하고 누가 가치를 가져가는가를 정하는 산업 아키텍처(Jacobides et al., 2006)를 바꾸는 것은 바로 이런 종류의 융합이다.</w:t>
      </w:r>
    </w:p>
    <w:p>
      <w:pPr>
        <w:pStyle w:val="BodyText"/>
      </w:pPr>
      <w:r>
        <w:t xml:space="preserve">본 연구는 하이브리드 본딩을 이러한 검토에 적합한 사례로 삼는다. 유럽특허청(EPO)의 PATSTAT에서 추출한 하이브리드 본딩 특허출원 928건과 그 협력적 특허분류(Cooperative Patent Classification, CPC) 기호를 이용하여, 경계를 넘는 특허(boundary-spanning patent)를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 통합형(integrated) 청구가 출원의 45.8%로 최빈 유형이며, 전공정 기술을 청구하는 출원은 63.6%에 이른다(H01L21 기호의 보유를 제조공정 청구로 보는 조작적 정의 기준; 제4.2절).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시간이 흐르면서 순수 전공정 청구의 비중은 모든 모형 설정에서 일관되게 줄었다(2014년 이전 43.6% → 2020–2024년 10.4%). 반면 통합형은 2015–2019년에 62.2%로 정점에 이른 뒤 2020–2024년에는 조립 수준 청구가 다시 늘면서 44.3%로 낮아졌다. 즉 융합은 경계를 넘는 청구가 꾸준히 늘어나는 형태가 아니라, 공정 단독형에서 통합형으로, 다시 통합형에서 접합 구조 청구로 이어지는 두 단계의 재구성(recomposition)으로 진행된 것으로 읽힌다. 둘째 단계는 H2가 예측하지 않은 결과이므로 이 재구성 해석은 사후적·탐색적 해석이며, 분류 관행 변화라는 대안 설명을 자료로 배제하지 못한다는 유보 아래 제6.1절에서 제시한다. 셋째, 출원청에 따른 차이가 산업 아키텍처와 추격 양상에 들어맞는 방식으로 나타난다. 중국 출원청 출원은 범위가 좁고 공정 단독형일 가능성이 훨씬 높으며, 이 결과는 대부분의 모형 설정에서 유지되지만 공개 시차로 절단된 2023–2024년 출원을 제외하면 공정 단독형 편중의 유의성이 약해진다. 일본 출원청 출원이 공정 단독형을 취하는 일이 드물다는 결과는 여러 설정에서 유지되나 2010년 이후 표본에서는 사라지고, 범위가 넓다는 결과는 로버스트 표준오차에서 유의하지 않아, 26건이라는 표본 크기 안에서는 판정을 유보한다.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 기술융합(technology fusion)으로 개념화하고, 이것이 돌파형 연구와는 다른 R&amp;D 조직을 요구한다고 주장하였다. 후속 연구는 기술의 융합을 시장의 융합, 산업의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순차적으로 이어지되 단계 간 되먹임을 통해 공진화적 순환을 이룬다고 제안하였다. Curran과 Leker(2011)는 과학·기술·시장·산업 융합의 구분을 정식화하고 이를 특허 지표로 모니터링하는 방법을 보였다(논문 지표를 함께 쓴 예는 Curran et al., 2010).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정보통신기술(ICT)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 서로 다른 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인용 또는 의미적 유사성을 집계한 지표로 측정된다(Curran et al., 2010; Karvonen and Kässi, 2013; Preschitschek et al., 2013; Cho and Kim, 2014; Song et al., 2017). 이러한 지표는 분야가 융합하는지, 언제 융합하는지를 알아내는 데 적합하다. 그러나 어떤 발명이 융합을 담고 있으며 왜 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 만드는 것과 아는 것을 구분하였고, 부품과 시스템이 상호의존적일 때 생산 경계보다 넓은 지식 경계가 우위를 준다는 것을 발견하였다. 이는 부품 기술의 변화 속도가 고르지 않고 상호의존을 예측하기 어려울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 안정적 인터페이스에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거의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 조직 경계로, 어느 기업이 어느 단계를 직접 수행하는가를 묻는다. 반면 융합 문헌의 분석 단위는 지식·기술 기반으로,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 기술적 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측정한다고 할 수 있다.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 분야 수준 지수를 구축하는 전통이다. Cho와 Kim(2014)은 인쇄전자 분야 국제특허분류(IPC)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 텍스트와 표상 학습을 이용하는 전통이다. Preschitschek et al.(2013)은 의미 분석과 IPC 공동분류를 비교하였고, Zhu와 Motohashi(2022)는 특허 텍스트 키워드 벡터에 그래프 합성곱 신경망을 학습시켰다. 셋째는 분야 또는 기업 수준에서 융합의 동인을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 경계를 넘는 특허라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 전공정 지향(front-end orientation)으로 따로 이름 붙여 경계 넘기와 구별한다.</w:t>
      </w:r>
    </w:p>
    <w:p>
      <w:pPr>
        <w:pStyle w:val="BodyText"/>
      </w:pPr>
      <w:r>
        <w:t xml:space="preserve">설명변수의 선정에는 두 흐름의 특허 연구가 근거를 제공한다. 첫째는 특허 범위(patent scope) 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관할권에 따른 특허 행태의 차이에 관한 연구다. 서로 다른 특허청에 대한 출원은 서로 다른 출원인 집단, 심사 관행, 전략적 목적을 반영한다. 중국 특허 통계는 특허법 개정과 외국인직접투자 등 제도·시장 요인(Hu and Jefferson, 2009)과 출원의 질에 영향을 미치는 보조금 정책(Dang and Motohashi, 2015)에 의해 형성되며,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문헌은 후발자가 기술 체제의 특성에 따라 선발자의 경로를 단계적으로 따르거나 일부 단계를 건너뛰며 추격한다고 본다(Lee and Lim, 2001). 이를 특허 청구에 적용하면, 추격 단계의 출원은 시스템 전체보다 특정 생산 단계에 집중될 것으로 예상할 수 있다.</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b/>
          <w:bCs/>
        </w:rPr>
        <w:t xml:space="preserve">기술범위.</w:t>
      </w:r>
      <w:r>
        <w:t xml:space="preserve"> </w:t>
      </w:r>
      <w:r>
        <w:t xml:space="preserve">Kodama(1992)의 융합은 서로 다른 기술 분야의 지식을 결합하여 어느 한쪽도 단독으로는 갖지 못한 역량을 만드는 과정을, Rosenberg(1963)의 수렴은 한 영역에서 개발된 공정 기술이 다른 영역의 문제에 적용되는 과정을 기술한다. 어느 쪽이든 융합적 발명은 둘 이상의 기술 영역에 걸친다. 경계 넘기가 융합의 한 형태라면, 더 많은 기술 분류 기호에 걸치는 특허가 접합 클래스와 전공정 클래스를 함께 포함하는 통합형일 가능성이 더 높아야 한다. 이 관계에는 기계적인 부분이 있다. 기호가 많을수록 그중 하나가 H01L21일 가능성도 커지고, 통합형은 정의상 두 클래스의 기호를 각각 하나 이상 가지므로 범위가 2 이상이기 때문이다. 그러나 전략적인 부분도 있다. 웨이퍼 준비에서 접합된 적층까지 전체 공정 흐름을 청구하는 특허는 필연적으로 제조에 닿는 반면, 조립 단계나 접합 구조만 청구하는 특허는 그렇지 않다. 범위의 선택이 보호 전략의 일부라는 점은 특허 범위 문헌이 보여 준 바와 같다(Lerner, 1994; Ziedonis, 2004). 기계적인 부분은 제5.4절에서 각 클래스의 첫 기호를 제외한 조정 범위로 따로 떼어 확인한다.</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b/>
          <w:bCs/>
        </w:rPr>
        <w:t xml:space="preserve">성숙.</w:t>
      </w:r>
      <w:r>
        <w:t xml:space="preserve"> </w:t>
      </w:r>
      <w:r>
        <w:t xml:space="preserve">융합의 단계 모형(Hacklin et al., 2009; Jeong et al., 2015)은 기술이 성숙하면서 융합의 형태가 변한다고 본다.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 순수 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b/>
          <w:bCs/>
        </w:rPr>
        <w:t xml:space="preserve">관할권과 산업 아키텍처.</w:t>
      </w:r>
      <w:r>
        <w:t xml:space="preserve"> </w:t>
      </w:r>
      <w:r>
        <w:t xml:space="preserve">특허가 어디에 출원되는가는 누가 무엇을 위해 발명하는가를 반영한다. 추격 문헌의 단계적 추격 논리(Lee and Lim, 2001), 중국 특허에 관한 증거(Hu and Jefferson, 2009; Dang and Motohashi, 2015), 반도체 가치사슬에서 중국의 위치(Grimes and Du, 2022)를 종합하면, 중국 출원청 출원은 특정 제조 단계의 내재화에 집중하여 범위가 더 좁고 공정 단독형이 더 많을 것으로 예상할 수 있다. 반대로 일본 기업의 장비·소재 강점(Langlois and Steinmueller, 1999)은 일본 출원청 출원이 넓고 공정 단독형이 드물 것임을 시사한다. 1988년 개혁으로 일본도 미국과 같은 다항 청구 체계로 이행하였으므로(Sakakibara and Branstetter, 2001), 개혁 이후의 일본 출원에 대해서는 청구 체계의 차이가 두 출원청 간 대비의 원천이 되지 않는다.</w:t>
      </w:r>
    </w:p>
    <w:p>
      <w:pPr>
        <w:pStyle w:val="BlockText"/>
      </w:pPr>
      <w:r>
        <w:rPr>
          <w:b/>
          <w:bCs/>
        </w:rPr>
        <w:t xml:space="preserve">H3a.</w:t>
      </w:r>
      <w:r>
        <w:t xml:space="preserve"> </w:t>
      </w:r>
      <w:r>
        <w:t xml:space="preserve">중국 출원청에 출원된 출원은 미국 출원청 출원보다 기술범위가 좁고, 전공정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20"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 µm 이하로 내려갈 수 있고, 접합 계면은 웨이퍼 제조공정의 금속 배선 단계(back-end-of-line, 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메모리(HBM) 적층, 3D 로직에 요구되는 형태다. 두 형태 모두에서 수율을 결정하는 단계, 즉 서브나노미터 거칠기로의 화학적 기계연마, 플라즈마 또는 화학적 표면 활성화, 파티클 제어, 서브미크론 정렬은 CPC 분류상 제조공정 클래스에 속하는 역량이다. 이들은 접합·인터커넥트 클래스인 H01L24가 아니라 반도체 제조공정 클래스인 H01L21에 속한다(제4.1절, 표 1). 그림 1은 하이브리드 본딩을 둘러싼 기반 공정, 구조, 적용 제품을 정리한 것이다. 실리콘 관통전극(TSV), 화학적 기계연마(CMP), 레이저·플라즈마 다이싱 같은 기반 공정이 접합의 품질을 좌우하고, 접합의 결과는 칩렛, 후면 전력공급망(BSPDN), 공동 패키징 광학(CPO) 같은 구조로 이어진다. 적용 제품 쪽에서는 W2W가 3D NAND와 이미지센서에, D2W가 HBM·CPU·GPU 등에 쓰인다.</w:t>
      </w:r>
    </w:p>
    <w:p>
      <w:pPr>
        <w:pStyle w:val="BodyText"/>
        <w:keepNext/>
      </w:pPr>
      <w:r>
        <w:drawing>
          <wp:inline>
            <wp:extent cx="5334000" cy="3615972"/>
            <wp:effectExtent b="0" l="0" r="0" t="0"/>
            <wp:docPr descr="" title="" id="18" name="Picture"/>
            <a:graphic>
              <a:graphicData uri="http://schemas.openxmlformats.org/drawingml/2006/picture">
                <pic:pic>
                  <pic:nvPicPr>
                    <pic:cNvPr descr="figures/fig_framework_psp.png" id="19" name="Picture"/>
                    <pic:cNvPicPr>
                      <a:picLocks noChangeArrowheads="1" noChangeAspect="1"/>
                    </pic:cNvPicPr>
                  </pic:nvPicPr>
                  <pic:blipFill>
                    <a:blip r:embed="rId17"/>
                    <a:stretch>
                      <a:fillRect/>
                    </a:stretch>
                  </pic:blipFill>
                  <pic:spPr bwMode="auto">
                    <a:xfrm>
                      <a:off x="0" y="0"/>
                      <a:ext cx="5334000" cy="3615972"/>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하이브리드 본딩의 기반 공정, 구조, 적용 제품.</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같은 방향을 가리킨다. 이러한 지형이 어떤 특허가 전/후공정 경계를 넘는지에 체계적인 흔적을 남기는가가 이하에서 다루는 질문이다.</w:t>
      </w:r>
    </w:p>
    <w:bookmarkEnd w:id="20"/>
    <w:bookmarkStart w:id="27" w:name="데이터와-방법"/>
    <w:p>
      <w:pPr>
        <w:pStyle w:val="Heading2"/>
      </w:pPr>
      <w:r>
        <w:t xml:space="preserve">4. 데이터와 방법</w:t>
      </w:r>
    </w:p>
    <w:bookmarkStart w:id="21"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출원 제목이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가운데 하나 이상을 포함하는 조건으로 필터링하였다(키워드 간에는 OR, CPC 조건과는 AND; 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 내부에서 특허가 청구하는 세부 기술의 폭을 측정하며, 반도체 외부 분야로의 확장은 포착하지 않는다.</w:t>
      </w:r>
    </w:p>
    <w:p>
      <w:pPr>
        <w:pStyle w:val="BodyText"/>
        <w:keepNext/>
      </w:pPr>
      <w:r>
        <w:rPr>
          <w:b/>
          <w:bCs/>
        </w:rPr>
        <w:t xml:space="preserve">표 1.</w:t>
      </w:r>
      <w:r>
        <w:t xml:space="preserve"> </w:t>
      </w:r>
      <w:r>
        <w:t xml:space="preserve">하이브리드 본딩 특허의 검색 전략(CPC 1차 분류와 키워드 2차 분류).</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067"/>
        <w:gridCol w:w="800"/>
        <w:gridCol w:w="2534"/>
        <w:gridCol w:w="4668"/>
      </w:tblGrid>
      <w:tr>
        <w:trPr>
          <w:tblHeader w:val="on"/>
          <w:cantSplit/>
        </w:trPr>
        <w:tc>
          <w:tcPr>
            <w:tcW w:type="dxa" w:w="1067"/>
            <w:tcBorders>
              <w:bottom w:val="single" w:sz="4" w:space="0" w:color="000000"/>
            </w:tcBorders>
          </w:tcPr>
          <w:p>
            <w:pPr>
              <w:pStyle w:val="Compact"/>
              <w:spacing w:before="20" w:after="20" w:line="240" w:lineRule="auto"/>
              <w:keepNext/>
            </w:pPr>
            <w:r>
              <w:rPr>
                <w:sz w:val="18"/>
                <w:szCs w:val="18"/>
              </w:rPr>
              <w:t xml:space="preserve">검색 순서</w:t>
            </w:r>
          </w:p>
        </w:tc>
        <w:tc>
          <w:tcPr>
            <w:tcW w:type="dxa" w:w="800"/>
            <w:tcBorders>
              <w:bottom w:val="single" w:sz="4" w:space="0" w:color="000000"/>
            </w:tcBorders>
          </w:tcPr>
          <w:p>
            <w:pPr>
              <w:pStyle w:val="Compact"/>
              <w:spacing w:before="20" w:after="20" w:line="240" w:lineRule="auto"/>
              <w:keepNext/>
            </w:pPr>
            <w:r>
              <w:rPr>
                <w:sz w:val="18"/>
                <w:szCs w:val="18"/>
              </w:rPr>
              <w:t xml:space="preserve">CPC 코드</w:t>
            </w:r>
          </w:p>
        </w:tc>
        <w:tc>
          <w:tcPr>
            <w:tcW w:type="dxa" w:w="2534"/>
            <w:tcBorders>
              <w:bottom w:val="single" w:sz="4" w:space="0" w:color="000000"/>
            </w:tcBorders>
          </w:tcPr>
          <w:p>
            <w:pPr>
              <w:pStyle w:val="Compact"/>
              <w:spacing w:before="20" w:after="20" w:line="240" w:lineRule="auto"/>
              <w:keepNext/>
            </w:pPr>
            <w:r>
              <w:rPr>
                <w:sz w:val="18"/>
                <w:szCs w:val="18"/>
              </w:rPr>
              <w:t xml:space="preserve">설명</w:t>
            </w:r>
          </w:p>
        </w:tc>
        <w:tc>
          <w:tcPr>
            <w:tcW w:type="dxa" w:w="4668"/>
            <w:tcBorders>
              <w:bottom w:val="single" w:sz="4" w:space="0" w:color="000000"/>
            </w:tcBorders>
          </w:tcPr>
          <w:p>
            <w:pPr>
              <w:pStyle w:val="Compact"/>
              <w:spacing w:before="20" w:after="20" w:line="240" w:lineRule="auto"/>
              <w:keepNext/>
            </w:pPr>
            <w:r>
              <w:rPr>
                <w:sz w:val="18"/>
                <w:szCs w:val="18"/>
              </w:rPr>
              <w:t xml:space="preserve">주요 기술</w:t>
            </w:r>
          </w:p>
        </w:tc>
      </w:tr>
      <w:tr>
        <w:trPr>
          <w:cantSplit/>
        </w:trPr>
        <w:tc>
          <w:tcPr>
            <w:tcW w:type="dxa" w:w="1067"/>
          </w:tcPr>
          <w:p>
            <w:pPr>
              <w:pStyle w:val="Compact"/>
              <w:spacing w:before="20" w:after="20" w:line="240" w:lineRule="auto"/>
              <w:keepNext/>
            </w:pPr>
            <w:r>
              <w:rPr>
                <w:sz w:val="18"/>
                <w:szCs w:val="18"/>
              </w:rPr>
              <w:t xml:space="preserve">1차 분류</w:t>
            </w:r>
          </w:p>
        </w:tc>
        <w:tc>
          <w:tcPr>
            <w:tcW w:type="dxa" w:w="800"/>
          </w:tcPr>
          <w:p>
            <w:pPr>
              <w:pStyle w:val="Compact"/>
              <w:spacing w:before="20" w:after="20" w:line="240" w:lineRule="auto"/>
              <w:keepNext/>
            </w:pPr>
            <w:r>
              <w:rPr>
                <w:sz w:val="18"/>
                <w:szCs w:val="18"/>
              </w:rPr>
              <w:t xml:space="preserve">H01L21</w:t>
            </w:r>
          </w:p>
        </w:tc>
        <w:tc>
          <w:tcPr>
            <w:tcW w:type="dxa" w:w="2534"/>
          </w:tcPr>
          <w:p>
            <w:pPr>
              <w:pStyle w:val="Compact"/>
              <w:spacing w:before="20" w:after="20" w:line="240" w:lineRule="auto"/>
              <w:keepNext/>
            </w:pPr>
            <w:r>
              <w:rPr>
                <w:sz w:val="18"/>
                <w:szCs w:val="18"/>
              </w:rPr>
              <w:t xml:space="preserve">반도체 장치 또는 부품의 제조 또는 처리에 특별히 적합한 공정 및 장치</w:t>
            </w:r>
          </w:p>
        </w:tc>
        <w:tc>
          <w:tcPr>
            <w:tcW w:type="dxa" w:w="4668"/>
          </w:tcPr>
          <w:p>
            <w:pPr>
              <w:pStyle w:val="Compact"/>
              <w:spacing w:before="20" w:after="20" w:line="240" w:lineRule="auto"/>
              <w:keepNext/>
            </w:pPr>
            <w:r>
              <w:rPr>
                <w:b/>
                <w:bCs/>
                <w:sz w:val="18"/>
                <w:szCs w:val="18"/>
              </w:rPr>
              <w:t xml:space="preserve">반도체 제조공정 기술</w:t>
            </w:r>
            <w:r>
              <w:rPr>
                <w:sz w:val="18"/>
                <w:szCs w:val="18"/>
              </w:rPr>
              <w:t xml:space="preserve">: 웨이퍼 직접 접합(21/18, 21/20), 소자 분리·SOI·BEOL 배선·TSV(21/76), 기판·절연층 처리(21/02), 화학적 기계연마·후처리(21/30–21/32) 등 웨이퍼 제조공정이 중심이나, 조립 단계 제조공정(21/48, 21/50–21/58, 21/60, 21/78)과 공정 장치(21/67–21/68)도 포함(표본 내 구성은 제4.2절)</w:t>
            </w:r>
          </w:p>
        </w:tc>
      </w:tr>
      <w:tr>
        <w:trPr>
          <w:cantSplit/>
        </w:trPr>
        <w:tc>
          <w:tcPr>
            <w:tcW w:type="dxa" w:w="1067"/>
          </w:tcPr>
          <w:p>
            <w:pPr>
              <w:pStyle w:val="Compact"/>
              <w:spacing w:before="20" w:after="20" w:line="240" w:lineRule="auto"/>
              <w:keepNext/>
            </w:pPr>
            <w:r>
              <w:rPr>
                <w:sz w:val="18"/>
                <w:szCs w:val="18"/>
              </w:rPr>
              <w:t xml:space="preserve">1차 분류</w:t>
            </w:r>
          </w:p>
        </w:tc>
        <w:tc>
          <w:tcPr>
            <w:tcW w:type="dxa" w:w="800"/>
          </w:tcPr>
          <w:p>
            <w:pPr>
              <w:pStyle w:val="Compact"/>
              <w:spacing w:before="20" w:after="20" w:line="240" w:lineRule="auto"/>
              <w:keepNext/>
            </w:pPr>
            <w:r>
              <w:rPr>
                <w:sz w:val="18"/>
                <w:szCs w:val="18"/>
              </w:rPr>
              <w:t xml:space="preserve">H01L24</w:t>
            </w:r>
          </w:p>
        </w:tc>
        <w:tc>
          <w:tcPr>
            <w:tcW w:type="dxa" w:w="2534"/>
          </w:tcPr>
          <w:p>
            <w:pPr>
              <w:pStyle w:val="Compact"/>
              <w:spacing w:before="20" w:after="20" w:line="240" w:lineRule="auto"/>
              <w:keepNext/>
            </w:pPr>
            <w:r>
              <w:rPr>
                <w:sz w:val="18"/>
                <w:szCs w:val="18"/>
              </w:rPr>
              <w:t xml:space="preserve">반도체 바디(body)의 전기적 연결 또는 분리를 위한 장치 및 방법</w:t>
            </w:r>
          </w:p>
        </w:tc>
        <w:tc>
          <w:tcPr>
            <w:tcW w:type="dxa" w:w="4668"/>
          </w:tcPr>
          <w:p>
            <w:pPr>
              <w:pStyle w:val="Compact"/>
              <w:spacing w:before="20" w:after="20" w:line="240" w:lineRule="auto"/>
              <w:keepNext/>
            </w:pPr>
            <w:r>
              <w:rPr>
                <w:b/>
                <w:bCs/>
                <w:sz w:val="18"/>
                <w:szCs w:val="18"/>
              </w:rPr>
              <w:t xml:space="preserve">패키징 인터커넥션 핵심 기술</w:t>
            </w:r>
            <w:r>
              <w:rPr>
                <w:sz w:val="18"/>
                <w:szCs w:val="18"/>
              </w:rPr>
              <w:t xml:space="preserve">: 와이어 본딩, 플립칩 본딩, TSV, 하이브리드 본딩, 솔더 범프/볼 형성, 재배선 공정</w:t>
            </w:r>
          </w:p>
        </w:tc>
      </w:tr>
      <w:tr>
        <w:trPr>
          <w:cantSplit/>
        </w:trPr>
        <w:tc>
          <w:tcPr>
            <w:tcW w:type="dxa" w:w="1067"/>
          </w:tcPr>
          <w:p>
            <w:pPr>
              <w:pStyle w:val="Compact"/>
              <w:spacing w:before="20" w:after="20" w:line="240" w:lineRule="auto"/>
              <w:keepNext/>
            </w:pPr>
            <w:r>
              <w:rPr>
                <w:sz w:val="18"/>
                <w:szCs w:val="18"/>
              </w:rPr>
              <w:t xml:space="preserve">2차 분류</w:t>
            </w:r>
          </w:p>
        </w:tc>
        <w:tc>
          <w:tcPr>
            <w:tcW w:type="dxa" w:w="800"/>
          </w:tcPr>
          <w:p>
            <w:pPr>
              <w:pStyle w:val="Compact"/>
              <w:spacing w:before="20" w:after="20" w:line="240" w:lineRule="auto"/>
              <w:keepNext/>
            </w:pPr>
            <w:r>
              <w:rPr>
                <w:sz w:val="18"/>
                <w:szCs w:val="18"/>
              </w:rPr>
              <w:t xml:space="preserve">키워드</w:t>
            </w:r>
          </w:p>
        </w:tc>
        <w:tc>
          <w:tcPr>
            <w:tcW w:type="dxa" w:w="2534"/>
          </w:tcPr>
          <w:p>
            <w:pPr>
              <w:pStyle w:val="Compact"/>
              <w:spacing w:before="20" w:after="20" w:line="240" w:lineRule="auto"/>
              <w:keepNext/>
            </w:pP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w:t>
            </w:r>
            <w:r>
              <w:rPr>
                <w:sz w:val="18"/>
                <w:szCs w:val="18"/>
              </w:rPr>
              <w:t xml:space="preserve"> </w:t>
            </w:r>
            <w:r>
              <w:rPr>
                <w:i/>
                <w:iCs/>
                <w:sz w:val="18"/>
                <w:szCs w:val="18"/>
              </w:rPr>
              <w:t xml:space="preserve">metal-oxide bond</w:t>
            </w:r>
            <w:r>
              <w:rPr>
                <w:sz w:val="18"/>
                <w:szCs w:val="18"/>
              </w:rPr>
              <w:t xml:space="preserve"> </w:t>
            </w:r>
            <w:r>
              <w:rPr>
                <w:sz w:val="18"/>
                <w:szCs w:val="18"/>
              </w:rPr>
              <w:t xml:space="preserve">(키워드 간 OR; 1차 분류와 AND)</w:t>
            </w:r>
          </w:p>
        </w:tc>
        <w:tc>
          <w:tcPr>
            <w:tcW w:type="dxa" w:w="4668"/>
          </w:tcPr>
          <w:p>
            <w:pPr>
              <w:pStyle w:val="Compact"/>
              <w:spacing w:before="20" w:after="20" w:line="240" w:lineRule="auto"/>
              <w:keepNext/>
            </w:pPr>
            <w:r>
              <w:rPr>
                <w:sz w:val="18"/>
                <w:szCs w:val="18"/>
              </w:rP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분류(검색)에는 두 클래스의 인덱싱 코드를 포함하였으나, 추출된 출원–CPC 레코드에는 H01L21·H01L24 본 클래스의 기호만 보존되었으므로 인덱싱 코드는 기술범위 계산에 포함되지 않는다.</w:t>
      </w:r>
    </w:p>
    <w:p>
      <w:pPr>
        <w:pStyle w:val="BodyText"/>
      </w:pPr>
      <w:r>
        <w:t xml:space="preserve">두 가지 자료 특성을 밝혀 둔다. 첫째, 키워드 필터는 직접 접합(direct bonding)의 무관한 용법도 포착한다. 세라믹 기판에 구리를 직접 접합하는 DBC 기판과 전력 모듈, 구리 합금과 리드프레임, 다이아몬드와 몰리브덴의 접합, 레이저 전구체 등이 그 예이며, 2010년 이전 관측치의 상당수는 이러한 무관 용법 출원과 실리콘 웨이퍼 직접 접합(SOI 웨이퍼 제조 등) 전구 기술 출원이다. 본 연구는 원 분석과의 비교 가능성을 위해 표본을 그대로 두되, 제목 기준으로 식별한 무관 용법 출원 68건을 제외한 재추정 결과를 제5.4절 여덟째 항목과 보충자료 S2에 보고한다. 둘째, 추출 자료에는 DOCDB 패밀리 식별자가 없다. 제목을 소문자로 바꾸고 영숫자 이외의 문자를 제거한 뒤 같은 제목을 가진 출원을 패밀리의 근사로 보면, 928건은 473개 제목으로 구성되며 186개 제목이 2회에서 17회까지(641건) 반복되고 그중 149개는 둘 이상의 출원청에 걸친다. 따라서 출원청 간 차이는 상당 부분 같은 발명이 어느 관할권에 출원되었는가의 구성 차이를 반영하며, 관측치의 비독립성이 표준오차에 미치는 영향은 제5.4절 일곱째 항목에서 제목 군집 표준오차와 중복 제거 표본으로 점검한다.</w:t>
      </w:r>
    </w:p>
    <w:bookmarkEnd w:id="21"/>
    <w:bookmarkStart w:id="25" w:name="변수"/>
    <w:p>
      <w:pPr>
        <w:pStyle w:val="Heading3"/>
      </w:pPr>
      <w:r>
        <w:t xml:space="preserve">4.2 변수</w:t>
      </w:r>
    </w:p>
    <w:p>
      <w:pPr>
        <w:pStyle w:val="FirstParagraph"/>
      </w:pPr>
      <w:r>
        <w:t xml:space="preserve">표 2는 변수를 정의한다. 기술범위(breadth)는 출원에 부여된 H01L21·H01L24 계열의 고유 CPC 서브그룹 기호 수로, 분류 기호 수로 범위를 재는 Lerner(1994)의 전통을 두 클래스 내부에 적용한 측정치다. tech_cat은 각 출원을 서로 겹치지 않는 세 전략 유형, 즉 조립 단독형(assembly-only; H01L24 기호만), 통합형(integrated; H01L24와 H01L21 모두), 공정 단독형(process-only; H01L21 기호만)에 배정하며, 통합형이 경계 넘기의 측정치다. has_process는 출원이 H01L21 기호를 하나라도 보유하면 1인 이항 지표로, 통합형과 공정 단독형을 합한 전공정 지향의 측정치다. 이하에서 어떤 기술을 ’청구한다’는 표현은 해당 클래스의 CPC 기호가 출원에 부여되어 있다는 뜻의 약칭이다. CPC 기호는 심사관이 발명의 기술 내용에 부여하는 것으로 청구항의 문언과 반드시 일치하지는 않는다. 두 변수는 역할이 다르다. 경계 넘기의 본 검정은 tech_cat의 통합형 방정식이며, has_process는 전공정 기술이 청구되는지 여부만을 묻는 보조 지표다. ccode는 출원이 제출된 출원청으로, 8개 수준(US, CN, KR, TW, JP, EP, WO, 기타)이며 미국 출원청이 기준이다. yc는 표본 최초 출원 이후 경과 연수로 측정한 출원연도다.</w:t>
      </w:r>
    </w:p>
    <w:p>
      <w:pPr>
        <w:pStyle w:val="BodyText"/>
      </w:pPr>
      <w:r>
        <w:t xml:space="preserve">H01L21의 구성에 관해 한 가지 단서를 둔다. H01L21은 웨이퍼 제조공정 외에 조립 단계의 제조공정(21/48 패키징 부품·기판, 21/50–21/58 조립·실장·봉지, 21/60 리드 부착, 21/78 다이싱)과 공정 장치·핸들링(21/67–21/68)도 포함한다. 표본의 H01L21 계열 레코드 1,636건 중 웨이퍼 제조공정 그룹이 905건(55.3%), 장치·핸들링 그룹이 328건(20.0%), 조립 단계 그룹이 403건(24.6%)이며, 전공정 지향 출원 590건 가운데 107건은 조립 단계 그룹의 기호만 보유한다. 따라서 본 연구의 전공정 지향과 통합형은 H01L21 기호의 보유, 곧 CPC의 제도적 경계에 따른 제조공정 클래스 청구의 유무로 정의한 조작적 개념이며, 조립 단계 그룹을 제외한 엄격한 정의로 재추정한 결과는 제5.4절 여섯째 항목에 보고한다.</w:t>
      </w:r>
    </w:p>
    <w:p>
      <w:pPr>
        <w:pStyle w:val="BodyText"/>
        <w:keepNext/>
      </w:pPr>
      <w:r>
        <w:rPr>
          <w:b/>
          <w:bCs/>
        </w:rPr>
        <w:t xml:space="preserve">표 2.</w:t>
      </w:r>
      <w:r>
        <w:t xml:space="preserve"> </w:t>
      </w:r>
      <w:r>
        <w:t xml:space="preserve">변수 정의.</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192"/>
        <w:gridCol w:w="4584"/>
        <w:gridCol w:w="2292"/>
      </w:tblGrid>
      <w:tr>
        <w:trPr>
          <w:tblHeader w:val="on"/>
          <w:cantSplit/>
        </w:trPr>
        <w:tc>
          <w:tcPr>
            <w:tcW w:type="dxa" w:w="2192"/>
            <w:tcBorders>
              <w:bottom w:val="single" w:sz="4" w:space="0" w:color="000000"/>
            </w:tcBorders>
          </w:tcPr>
          <w:p>
            <w:pPr>
              <w:pStyle w:val="Compact"/>
              <w:spacing w:before="20" w:after="20" w:line="240" w:lineRule="auto"/>
              <w:keepNext/>
            </w:pPr>
            <w:r>
              <w:rPr>
                <w:sz w:val="18"/>
                <w:szCs w:val="18"/>
              </w:rPr>
              <w:t xml:space="preserve">변수</w:t>
            </w:r>
          </w:p>
        </w:tc>
        <w:tc>
          <w:tcPr>
            <w:tcW w:type="dxa" w:w="4584"/>
            <w:tcBorders>
              <w:bottom w:val="single" w:sz="4" w:space="0" w:color="000000"/>
            </w:tcBorders>
          </w:tcPr>
          <w:p>
            <w:pPr>
              <w:pStyle w:val="Compact"/>
              <w:spacing w:before="20" w:after="20" w:line="240" w:lineRule="auto"/>
              <w:keepNext/>
            </w:pPr>
            <w:r>
              <w:rPr>
                <w:sz w:val="18"/>
                <w:szCs w:val="18"/>
              </w:rPr>
              <w:t xml:space="preserve">정의</w:t>
            </w:r>
          </w:p>
        </w:tc>
        <w:tc>
          <w:tcPr>
            <w:tcW w:type="dxa" w:w="2292"/>
            <w:tcBorders>
              <w:bottom w:val="single" w:sz="4" w:space="0" w:color="000000"/>
            </w:tcBorders>
          </w:tcPr>
          <w:p>
            <w:pPr>
              <w:pStyle w:val="Compact"/>
              <w:spacing w:before="20" w:after="20" w:line="240" w:lineRule="auto"/>
              <w:keepNext/>
            </w:pPr>
            <w:r>
              <w:rPr>
                <w:sz w:val="18"/>
                <w:szCs w:val="18"/>
              </w:rPr>
              <w:t xml:space="preserve">유형</w:t>
            </w:r>
          </w:p>
        </w:tc>
      </w:tr>
      <w:tr>
        <w:trPr>
          <w:cantSplit/>
        </w:trPr>
        <w:tc>
          <w:tcPr>
            <w:tcW w:type="dxa" w:w="2192"/>
          </w:tcPr>
          <w:p>
            <w:pPr>
              <w:pStyle w:val="Compact"/>
              <w:spacing w:before="20" w:after="20" w:line="240" w:lineRule="auto"/>
              <w:keepNext/>
            </w:pPr>
            <w:r>
              <w:rPr>
                <w:sz w:val="18"/>
                <w:szCs w:val="18"/>
              </w:rPr>
              <w:t xml:space="preserve">breadth</w:t>
            </w:r>
          </w:p>
        </w:tc>
        <w:tc>
          <w:tcPr>
            <w:tcW w:type="dxa" w:w="4584"/>
          </w:tcPr>
          <w:p>
            <w:pPr>
              <w:pStyle w:val="Compact"/>
              <w:spacing w:before="20" w:after="20" w:line="240" w:lineRule="auto"/>
              <w:keepNext/>
            </w:pPr>
            <w:r>
              <w:rPr>
                <w:sz w:val="18"/>
                <w:szCs w:val="18"/>
              </w:rPr>
              <w:t xml:space="preserve">출원의 H01L21·H01L24 계열 고유 CPC 서브그룹 기호 수(기술범위)</w:t>
            </w:r>
          </w:p>
        </w:tc>
        <w:tc>
          <w:tcPr>
            <w:tcW w:type="dxa" w:w="2292"/>
          </w:tcPr>
          <w:p>
            <w:pPr>
              <w:pStyle w:val="Compact"/>
              <w:spacing w:before="20" w:after="20" w:line="240" w:lineRule="auto"/>
              <w:keepNext/>
            </w:pPr>
            <w:r>
              <w:rPr>
                <w:sz w:val="18"/>
                <w:szCs w:val="18"/>
              </w:rPr>
              <w:t xml:space="preserve">카운트, 1–21</w:t>
            </w:r>
          </w:p>
        </w:tc>
      </w:tr>
      <w:tr>
        <w:trPr>
          <w:cantSplit/>
        </w:trPr>
        <w:tc>
          <w:tcPr>
            <w:tcW w:type="dxa" w:w="2192"/>
          </w:tcPr>
          <w:p>
            <w:pPr>
              <w:pStyle w:val="Compact"/>
              <w:spacing w:before="20" w:after="20" w:line="240" w:lineRule="auto"/>
              <w:keepNext/>
            </w:pPr>
            <w:r>
              <w:rPr>
                <w:sz w:val="18"/>
                <w:szCs w:val="18"/>
              </w:rPr>
              <w:t xml:space="preserve">breadth_adj</w:t>
            </w:r>
          </w:p>
        </w:tc>
        <w:tc>
          <w:tcPr>
            <w:tcW w:type="dxa" w:w="4584"/>
          </w:tcPr>
          <w:p>
            <w:pPr>
              <w:pStyle w:val="Compact"/>
              <w:spacing w:before="20" w:after="20" w:line="240" w:lineRule="auto"/>
              <w:keepNext/>
            </w:pPr>
            <w:r>
              <w:rPr>
                <w:sz w:val="18"/>
                <w:szCs w:val="18"/>
              </w:rPr>
              <w:t xml:space="preserve">breadth − has_process − has_assembly(각 클래스의 첫 기호를 제외한 초과 기호 수; 제5.4절)</w:t>
            </w:r>
          </w:p>
        </w:tc>
        <w:tc>
          <w:tcPr>
            <w:tcW w:type="dxa" w:w="2292"/>
          </w:tcPr>
          <w:p>
            <w:pPr>
              <w:pStyle w:val="Compact"/>
              <w:spacing w:before="20" w:after="20" w:line="240" w:lineRule="auto"/>
              <w:keepNext/>
            </w:pPr>
            <w:r>
              <w:rPr>
                <w:sz w:val="18"/>
                <w:szCs w:val="18"/>
              </w:rPr>
              <w:t xml:space="preserve">카운트, 0–19</w:t>
            </w:r>
          </w:p>
        </w:tc>
      </w:tr>
      <w:tr>
        <w:trPr>
          <w:cantSplit/>
        </w:trPr>
        <w:tc>
          <w:tcPr>
            <w:tcW w:type="dxa" w:w="2192"/>
          </w:tcPr>
          <w:p>
            <w:pPr>
              <w:pStyle w:val="Compact"/>
              <w:spacing w:before="20" w:after="20" w:line="240" w:lineRule="auto"/>
              <w:keepNext/>
            </w:pPr>
            <w:r>
              <w:rPr>
                <w:sz w:val="18"/>
                <w:szCs w:val="18"/>
              </w:rPr>
              <w:t xml:space="preserve">tech_cat</w:t>
            </w:r>
          </w:p>
        </w:tc>
        <w:tc>
          <w:tcPr>
            <w:tcW w:type="dxa" w:w="4584"/>
          </w:tcPr>
          <w:p>
            <w:pPr>
              <w:pStyle w:val="Compact"/>
              <w:spacing w:before="20" w:after="20" w:line="240" w:lineRule="auto"/>
              <w:keepNext/>
            </w:pPr>
            <w:r>
              <w:rPr>
                <w:sz w:val="18"/>
                <w:szCs w:val="18"/>
              </w:rPr>
              <w:t xml:space="preserve">조립 단독형(H01L24만) / 통합형(둘 다 = 경계 넘기) / 공정 단독형(H01L21만)</w:t>
            </w:r>
          </w:p>
        </w:tc>
        <w:tc>
          <w:tcPr>
            <w:tcW w:type="dxa" w:w="2292"/>
          </w:tcPr>
          <w:p>
            <w:pPr>
              <w:pStyle w:val="Compact"/>
              <w:spacing w:before="20" w:after="20" w:line="240" w:lineRule="auto"/>
              <w:keepNext/>
            </w:pPr>
            <w:r>
              <w:rPr>
                <w:sz w:val="18"/>
                <w:szCs w:val="18"/>
              </w:rPr>
              <w:t xml:space="preserve">범주, 3</w:t>
            </w:r>
          </w:p>
        </w:tc>
      </w:tr>
      <w:tr>
        <w:trPr>
          <w:cantSplit/>
        </w:trPr>
        <w:tc>
          <w:tcPr>
            <w:tcW w:type="dxa" w:w="2192"/>
          </w:tcPr>
          <w:p>
            <w:pPr>
              <w:pStyle w:val="Compact"/>
              <w:spacing w:before="20" w:after="20" w:line="240" w:lineRule="auto"/>
              <w:keepNext/>
            </w:pPr>
            <w:r>
              <w:rPr>
                <w:sz w:val="18"/>
                <w:szCs w:val="18"/>
              </w:rPr>
              <w:t xml:space="preserve">has_process</w:t>
            </w:r>
          </w:p>
        </w:tc>
        <w:tc>
          <w:tcPr>
            <w:tcW w:type="dxa" w:w="4584"/>
          </w:tcPr>
          <w:p>
            <w:pPr>
              <w:pStyle w:val="Compact"/>
              <w:spacing w:before="20" w:after="20" w:line="240" w:lineRule="auto"/>
              <w:keepNext/>
            </w:pPr>
            <w:r>
              <w:rPr>
                <w:sz w:val="18"/>
                <w:szCs w:val="18"/>
              </w:rPr>
              <w:t xml:space="preserve">H01L21(제조공정) 기호를 하나라도 보유하면 1(전공정 지향), 아니면 0</w:t>
            </w:r>
          </w:p>
        </w:tc>
        <w:tc>
          <w:tcPr>
            <w:tcW w:type="dxa" w:w="2292"/>
          </w:tcPr>
          <w:p>
            <w:pPr>
              <w:pStyle w:val="Compact"/>
              <w:spacing w:before="20" w:after="20" w:line="240" w:lineRule="auto"/>
              <w:keepNext/>
            </w:pPr>
            <w:r>
              <w:rPr>
                <w:sz w:val="18"/>
                <w:szCs w:val="18"/>
              </w:rPr>
              <w:t xml:space="preserve">이항</w:t>
            </w:r>
          </w:p>
        </w:tc>
      </w:tr>
      <w:tr>
        <w:trPr>
          <w:cantSplit/>
        </w:trPr>
        <w:tc>
          <w:tcPr>
            <w:tcW w:type="dxa" w:w="2192"/>
          </w:tcPr>
          <w:p>
            <w:pPr>
              <w:pStyle w:val="Compact"/>
              <w:spacing w:before="20" w:after="20" w:line="240" w:lineRule="auto"/>
              <w:keepNext/>
            </w:pPr>
            <w:r>
              <w:rPr>
                <w:sz w:val="18"/>
                <w:szCs w:val="18"/>
              </w:rPr>
              <w:t xml:space="preserve">ccode</w:t>
            </w:r>
          </w:p>
        </w:tc>
        <w:tc>
          <w:tcPr>
            <w:tcW w:type="dxa" w:w="4584"/>
          </w:tcPr>
          <w:p>
            <w:pPr>
              <w:pStyle w:val="Compact"/>
              <w:spacing w:before="20" w:after="20" w:line="240" w:lineRule="auto"/>
              <w:keepNext/>
            </w:pPr>
            <w:r>
              <w:rPr>
                <w:sz w:val="18"/>
                <w:szCs w:val="18"/>
              </w:rPr>
              <w:t xml:space="preserve">출원청: US(기준), CN, KR, TW, JP, EP, WO, 기타</w:t>
            </w:r>
          </w:p>
        </w:tc>
        <w:tc>
          <w:tcPr>
            <w:tcW w:type="dxa" w:w="2292"/>
          </w:tcPr>
          <w:p>
            <w:pPr>
              <w:pStyle w:val="Compact"/>
              <w:spacing w:before="20" w:after="20" w:line="240" w:lineRule="auto"/>
              <w:keepNext/>
            </w:pPr>
            <w:r>
              <w:rPr>
                <w:sz w:val="18"/>
                <w:szCs w:val="18"/>
              </w:rPr>
              <w:t xml:space="preserve">범주, 8</w:t>
            </w:r>
          </w:p>
        </w:tc>
      </w:tr>
      <w:tr>
        <w:trPr>
          <w:cantSplit/>
        </w:trPr>
        <w:tc>
          <w:tcPr>
            <w:tcW w:type="dxa" w:w="2192"/>
          </w:tcPr>
          <w:p>
            <w:pPr>
              <w:pStyle w:val="Compact"/>
              <w:spacing w:before="20" w:after="20" w:line="240" w:lineRule="auto"/>
              <w:keepNext/>
            </w:pPr>
            <w:r>
              <w:rPr>
                <w:sz w:val="18"/>
                <w:szCs w:val="18"/>
              </w:rPr>
              <w:t xml:space="preserve">yc</w:t>
            </w:r>
          </w:p>
        </w:tc>
        <w:tc>
          <w:tcPr>
            <w:tcW w:type="dxa" w:w="4584"/>
          </w:tcPr>
          <w:p>
            <w:pPr>
              <w:pStyle w:val="Compact"/>
              <w:spacing w:before="20" w:after="20" w:line="240" w:lineRule="auto"/>
              <w:keepNext/>
            </w:pPr>
            <w:r>
              <w:rPr>
                <w:sz w:val="18"/>
                <w:szCs w:val="18"/>
              </w:rPr>
              <w:t xml:space="preserve">출원연도, 표본 최초 출원(1968년 = 0) 이후 경과 연수; 표본 평균 49.7(2017.7년)</w:t>
            </w:r>
          </w:p>
        </w:tc>
        <w:tc>
          <w:tcPr>
            <w:tcW w:type="dxa" w:w="2292"/>
          </w:tcPr>
          <w:p>
            <w:pPr>
              <w:pStyle w:val="Compact"/>
              <w:spacing w:before="20" w:after="20" w:line="240" w:lineRule="auto"/>
              <w:keepNext/>
            </w:pPr>
            <w:r>
              <w:rPr>
                <w:sz w:val="18"/>
                <w:szCs w:val="18"/>
              </w:rPr>
              <w:t xml:space="preserve">정수, 0–56</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특허협력조약(PCT) 경로(113), EPO(83), 대만(75), 한국(58), 일본(26), 기타(16)가 뒤를 잇는다. 그림 2는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keepNext/>
      </w:pPr>
      <w:r>
        <w:drawing>
          <wp:inline>
            <wp:extent cx="5334000" cy="2844799"/>
            <wp:effectExtent b="0" l="0" r="0" t="0"/>
            <wp:docPr descr="" title="" id="23" name="Picture"/>
            <a:graphic>
              <a:graphicData uri="http://schemas.openxmlformats.org/drawingml/2006/picture">
                <pic:pic>
                  <pic:nvPicPr>
                    <pic:cNvPr descr="figures/fig2_applications_by_year_ko.png" id="24" name="Picture"/>
                    <pic:cNvPicPr>
                      <a:picLocks noChangeArrowheads="1" noChangeAspect="1"/>
                    </pic:cNvPicPr>
                  </pic:nvPicPr>
                  <pic:blipFill>
                    <a:blip r:embed="rId22"/>
                    <a:stretch>
                      <a:fillRect/>
                    </a:stretch>
                  </pic:blipFill>
                  <pic:spPr bwMode="auto">
                    <a:xfrm>
                      <a:off x="0" y="0"/>
                      <a:ext cx="5334000" cy="2844799"/>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출원연도별 하이브리드 본딩 출원, 1968–2024(N = 928). 2023–2024년의 하락은 공개 시차 인공물이다.</w:t>
      </w:r>
    </w:p>
    <w:p>
      <w:pPr>
        <w:pStyle w:val="BodyText"/>
      </w:pPr>
      <w:r>
        <w:t xml:space="preserve">표 3은 출원청별로 전략 유형의 분포와 기술범위를 정리한 것이다. 회귀분석에 앞서 원자료에서 두 가지가 눈에 띈다. 첫째, 통합형은 EPO·대만·일본·미국에서 절반 안팎으로 가장 많은 유형이지만, 중국과 PCT 경로에서는 40% 수준에 그친다. 둘째, 공정 단독형의 비중은 중국(24.6%)과 한국(27.6%)에서 높고 일본(11.5%), EPO(12.0%), 미국(13.9%)에서 낮으며, 기술범위 평균은 중국(4.83)과 PCT(5.04)가 가장 좁고 일본(6.88)이 가장 넓다. 다만 출원청마다 출원 시기가 다르다. 일본 출원은 절반이 2011년 이전에 출원된 반면(출원연도 중앙값 2011.5년) PCT 출원의 중앙 연도는 2022년이다. 따라서 이 차이가 출원 시기와 범위를 통제한 뒤에도 남는지는 제5절의 회귀분석으로 확인한다.</w:t>
      </w:r>
    </w:p>
    <w:p>
      <w:pPr>
        <w:pStyle w:val="BodyText"/>
        <w:keepNext/>
      </w:pPr>
      <w:r>
        <w:rPr>
          <w:b/>
          <w:bCs/>
        </w:rPr>
        <w:t xml:space="preserve">표 3.</w:t>
      </w:r>
      <w:r>
        <w:t xml:space="preserve"> </w:t>
      </w:r>
      <w:r>
        <w:t xml:space="preserve">출원청별 전략 유형 분포와 기술범위(N = 928; 전략 유형 열의 괄호 안은 행 비중, 기술범위 열의 괄호 안은 표준편차).</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952"/>
        <w:gridCol w:w="408"/>
        <w:gridCol w:w="1225"/>
        <w:gridCol w:w="1429"/>
        <w:gridCol w:w="1225"/>
        <w:gridCol w:w="935"/>
        <w:gridCol w:w="1769"/>
        <w:gridCol w:w="1123"/>
      </w:tblGrid>
      <w:tr>
        <w:trPr>
          <w:tblHeader w:val="on"/>
          <w:cantSplit/>
        </w:trPr>
        <w:tc>
          <w:tcPr>
            <w:tcW w:type="dxa" w:w="952"/>
            <w:tcBorders>
              <w:bottom w:val="single" w:sz="4" w:space="0" w:color="000000"/>
            </w:tcBorders>
          </w:tcPr>
          <w:p>
            <w:pPr>
              <w:pStyle w:val="Compact"/>
              <w:spacing w:before="20" w:after="20" w:line="240" w:lineRule="auto"/>
              <w:keepNext/>
            </w:pPr>
            <w:r>
              <w:rPr>
                <w:sz w:val="16"/>
                <w:szCs w:val="16"/>
              </w:rPr>
              <w:t xml:space="preserve">출원청</w:t>
            </w:r>
          </w:p>
        </w:tc>
        <w:tc>
          <w:tcPr>
            <w:tcW w:type="dxa" w:w="408"/>
            <w:tcBorders>
              <w:bottom w:val="single" w:sz="4" w:space="0" w:color="000000"/>
            </w:tcBorders>
          </w:tcPr>
          <w:p>
            <w:pPr>
              <w:pStyle w:val="Compact"/>
              <w:spacing w:before="20" w:after="20" w:line="240" w:lineRule="auto"/>
              <w:jc w:val="right"/>
              <w:keepNext/>
            </w:pPr>
            <w:r>
              <w:rPr>
                <w:sz w:val="16"/>
                <w:szCs w:val="16"/>
              </w:rPr>
              <w:t xml:space="preserve">N</w:t>
            </w:r>
          </w:p>
        </w:tc>
        <w:tc>
          <w:tcPr>
            <w:tcW w:type="dxa" w:w="1225"/>
            <w:tcBorders>
              <w:bottom w:val="single" w:sz="4" w:space="0" w:color="000000"/>
            </w:tcBorders>
          </w:tcPr>
          <w:p>
            <w:pPr>
              <w:pStyle w:val="Compact"/>
              <w:spacing w:before="20" w:after="20" w:line="240" w:lineRule="auto"/>
              <w:keepNext/>
            </w:pPr>
            <w:r>
              <w:rPr>
                <w:sz w:val="16"/>
                <w:szCs w:val="16"/>
              </w:rPr>
              <w:t xml:space="preserve">조립 단독형</w:t>
            </w:r>
          </w:p>
        </w:tc>
        <w:tc>
          <w:tcPr>
            <w:tcW w:type="dxa" w:w="1429"/>
            <w:tcBorders>
              <w:bottom w:val="single" w:sz="4" w:space="0" w:color="000000"/>
            </w:tcBorders>
          </w:tcPr>
          <w:p>
            <w:pPr>
              <w:pStyle w:val="Compact"/>
              <w:spacing w:before="20" w:after="20" w:line="240" w:lineRule="auto"/>
              <w:keepNext/>
            </w:pPr>
            <w:r>
              <w:rPr>
                <w:sz w:val="16"/>
                <w:szCs w:val="16"/>
              </w:rPr>
              <w:t xml:space="preserve">통합형(경계 넘기)</w:t>
            </w:r>
          </w:p>
        </w:tc>
        <w:tc>
          <w:tcPr>
            <w:tcW w:type="dxa" w:w="1225"/>
            <w:tcBorders>
              <w:bottom w:val="single" w:sz="4" w:space="0" w:color="000000"/>
            </w:tcBorders>
          </w:tcPr>
          <w:p>
            <w:pPr>
              <w:pStyle w:val="Compact"/>
              <w:spacing w:before="20" w:after="20" w:line="240" w:lineRule="auto"/>
              <w:keepNext/>
            </w:pPr>
            <w:r>
              <w:rPr>
                <w:sz w:val="16"/>
                <w:szCs w:val="16"/>
              </w:rPr>
              <w:t xml:space="preserve">공정 단독형</w:t>
            </w:r>
          </w:p>
        </w:tc>
        <w:tc>
          <w:tcPr>
            <w:tcW w:type="dxa" w:w="935"/>
            <w:tcBorders>
              <w:bottom w:val="single" w:sz="4" w:space="0" w:color="000000"/>
            </w:tcBorders>
          </w:tcPr>
          <w:p>
            <w:pPr>
              <w:pStyle w:val="Compact"/>
              <w:spacing w:before="20" w:after="20" w:line="240" w:lineRule="auto"/>
              <w:jc w:val="right"/>
              <w:keepNext/>
            </w:pPr>
            <w:r>
              <w:rPr>
                <w:sz w:val="16"/>
                <w:szCs w:val="16"/>
              </w:rPr>
              <w:t xml:space="preserve">전공정 지향(%)</w:t>
            </w:r>
          </w:p>
        </w:tc>
        <w:tc>
          <w:tcPr>
            <w:tcW w:type="dxa" w:w="1769"/>
            <w:tcBorders>
              <w:bottom w:val="single" w:sz="4" w:space="0" w:color="000000"/>
            </w:tcBorders>
          </w:tcPr>
          <w:p>
            <w:pPr>
              <w:pStyle w:val="Compact"/>
              <w:spacing w:before="20" w:after="20" w:line="240" w:lineRule="auto"/>
              <w:keepNext/>
            </w:pPr>
            <w:r>
              <w:rPr>
                <w:sz w:val="16"/>
                <w:szCs w:val="16"/>
              </w:rPr>
              <w:t xml:space="preserve">기술범위 평균(표준편차)</w:t>
            </w:r>
          </w:p>
        </w:tc>
        <w:tc>
          <w:tcPr>
            <w:tcW w:type="dxa" w:w="1123"/>
            <w:tcBorders>
              <w:bottom w:val="single" w:sz="4" w:space="0" w:color="000000"/>
            </w:tcBorders>
          </w:tcPr>
          <w:p>
            <w:pPr>
              <w:pStyle w:val="Compact"/>
              <w:spacing w:before="20" w:after="20" w:line="240" w:lineRule="auto"/>
              <w:jc w:val="right"/>
              <w:keepNext/>
            </w:pPr>
            <w:r>
              <w:rPr>
                <w:sz w:val="16"/>
                <w:szCs w:val="16"/>
              </w:rPr>
              <w:t xml:space="preserve">출원연도 중앙값</w:t>
            </w:r>
          </w:p>
        </w:tc>
      </w:tr>
      <w:tr>
        <w:trPr>
          <w:cantSplit/>
        </w:trPr>
        <w:tc>
          <w:tcPr>
            <w:tcW w:type="dxa" w:w="952"/>
          </w:tcPr>
          <w:p>
            <w:pPr>
              <w:pStyle w:val="Compact"/>
              <w:spacing w:before="20" w:after="20" w:line="240" w:lineRule="auto"/>
              <w:keepNext/>
            </w:pPr>
            <w:r>
              <w:rPr>
                <w:sz w:val="16"/>
                <w:szCs w:val="16"/>
              </w:rPr>
              <w:t xml:space="preserve">미국(US)</w:t>
            </w:r>
          </w:p>
        </w:tc>
        <w:tc>
          <w:tcPr>
            <w:tcW w:type="dxa" w:w="408"/>
          </w:tcPr>
          <w:p>
            <w:pPr>
              <w:pStyle w:val="Compact"/>
              <w:spacing w:before="20" w:after="20" w:line="240" w:lineRule="auto"/>
              <w:jc w:val="right"/>
              <w:keepNext/>
            </w:pPr>
            <w:r>
              <w:rPr>
                <w:sz w:val="16"/>
                <w:szCs w:val="16"/>
              </w:rPr>
              <w:t xml:space="preserve">382</w:t>
            </w:r>
          </w:p>
        </w:tc>
        <w:tc>
          <w:tcPr>
            <w:tcW w:type="dxa" w:w="1225"/>
          </w:tcPr>
          <w:p>
            <w:pPr>
              <w:pStyle w:val="Compact"/>
              <w:spacing w:before="20" w:after="20" w:line="240" w:lineRule="auto"/>
              <w:keepNext/>
            </w:pPr>
            <w:r>
              <w:rPr>
                <w:sz w:val="16"/>
                <w:szCs w:val="16"/>
              </w:rPr>
              <w:t xml:space="preserve">148 (38.7%)</w:t>
            </w:r>
          </w:p>
        </w:tc>
        <w:tc>
          <w:tcPr>
            <w:tcW w:type="dxa" w:w="1429"/>
          </w:tcPr>
          <w:p>
            <w:pPr>
              <w:pStyle w:val="Compact"/>
              <w:spacing w:before="20" w:after="20" w:line="240" w:lineRule="auto"/>
              <w:keepNext/>
            </w:pPr>
            <w:r>
              <w:rPr>
                <w:sz w:val="16"/>
                <w:szCs w:val="16"/>
              </w:rPr>
              <w:t xml:space="preserve">181 (47.4%)</w:t>
            </w:r>
          </w:p>
        </w:tc>
        <w:tc>
          <w:tcPr>
            <w:tcW w:type="dxa" w:w="1225"/>
          </w:tcPr>
          <w:p>
            <w:pPr>
              <w:pStyle w:val="Compact"/>
              <w:spacing w:before="20" w:after="20" w:line="240" w:lineRule="auto"/>
              <w:keepNext/>
            </w:pPr>
            <w:r>
              <w:rPr>
                <w:sz w:val="16"/>
                <w:szCs w:val="16"/>
              </w:rPr>
              <w:t xml:space="preserve">53 (13.9%)</w:t>
            </w:r>
          </w:p>
        </w:tc>
        <w:tc>
          <w:tcPr>
            <w:tcW w:type="dxa" w:w="935"/>
          </w:tcPr>
          <w:p>
            <w:pPr>
              <w:pStyle w:val="Compact"/>
              <w:spacing w:before="20" w:after="20" w:line="240" w:lineRule="auto"/>
              <w:jc w:val="right"/>
              <w:keepNext/>
            </w:pPr>
            <w:r>
              <w:rPr>
                <w:sz w:val="16"/>
                <w:szCs w:val="16"/>
              </w:rPr>
              <w:t xml:space="preserve">61.3</w:t>
            </w:r>
          </w:p>
        </w:tc>
        <w:tc>
          <w:tcPr>
            <w:tcW w:type="dxa" w:w="1769"/>
          </w:tcPr>
          <w:p>
            <w:pPr>
              <w:pStyle w:val="Compact"/>
              <w:spacing w:before="20" w:after="20" w:line="240" w:lineRule="auto"/>
              <w:keepNext/>
            </w:pPr>
            <w:r>
              <w:rPr>
                <w:sz w:val="16"/>
                <w:szCs w:val="16"/>
              </w:rPr>
              <w:t xml:space="preserve">5.99 (4.02)</w:t>
            </w:r>
          </w:p>
        </w:tc>
        <w:tc>
          <w:tcPr>
            <w:tcW w:type="dxa" w:w="1123"/>
          </w:tcPr>
          <w:p>
            <w:pPr>
              <w:pStyle w:val="Compact"/>
              <w:spacing w:before="20" w:after="20" w:line="240" w:lineRule="auto"/>
              <w:jc w:val="right"/>
              <w:keepNext/>
            </w:pPr>
            <w:r>
              <w:rPr>
                <w:sz w:val="16"/>
                <w:szCs w:val="16"/>
              </w:rPr>
              <w:t xml:space="preserve">2020</w:t>
            </w:r>
          </w:p>
        </w:tc>
      </w:tr>
      <w:tr>
        <w:trPr>
          <w:cantSplit/>
        </w:trPr>
        <w:tc>
          <w:tcPr>
            <w:tcW w:type="dxa" w:w="952"/>
          </w:tcPr>
          <w:p>
            <w:pPr>
              <w:pStyle w:val="Compact"/>
              <w:spacing w:before="20" w:after="20" w:line="240" w:lineRule="auto"/>
              <w:keepNext/>
            </w:pPr>
            <w:r>
              <w:rPr>
                <w:sz w:val="16"/>
                <w:szCs w:val="16"/>
              </w:rPr>
              <w:t xml:space="preserve">중국(CN)</w:t>
            </w:r>
          </w:p>
        </w:tc>
        <w:tc>
          <w:tcPr>
            <w:tcW w:type="dxa" w:w="408"/>
          </w:tcPr>
          <w:p>
            <w:pPr>
              <w:pStyle w:val="Compact"/>
              <w:spacing w:before="20" w:after="20" w:line="240" w:lineRule="auto"/>
              <w:jc w:val="right"/>
              <w:keepNext/>
            </w:pPr>
            <w:r>
              <w:rPr>
                <w:sz w:val="16"/>
                <w:szCs w:val="16"/>
              </w:rPr>
              <w:t xml:space="preserve">175</w:t>
            </w:r>
          </w:p>
        </w:tc>
        <w:tc>
          <w:tcPr>
            <w:tcW w:type="dxa" w:w="1225"/>
          </w:tcPr>
          <w:p>
            <w:pPr>
              <w:pStyle w:val="Compact"/>
              <w:spacing w:before="20" w:after="20" w:line="240" w:lineRule="auto"/>
              <w:keepNext/>
            </w:pPr>
            <w:r>
              <w:rPr>
                <w:sz w:val="16"/>
                <w:szCs w:val="16"/>
              </w:rPr>
              <w:t xml:space="preserve">63 (36.0%)</w:t>
            </w:r>
          </w:p>
        </w:tc>
        <w:tc>
          <w:tcPr>
            <w:tcW w:type="dxa" w:w="1429"/>
          </w:tcPr>
          <w:p>
            <w:pPr>
              <w:pStyle w:val="Compact"/>
              <w:spacing w:before="20" w:after="20" w:line="240" w:lineRule="auto"/>
              <w:keepNext/>
            </w:pPr>
            <w:r>
              <w:rPr>
                <w:sz w:val="16"/>
                <w:szCs w:val="16"/>
              </w:rPr>
              <w:t xml:space="preserve">69 (39.4%)</w:t>
            </w:r>
          </w:p>
        </w:tc>
        <w:tc>
          <w:tcPr>
            <w:tcW w:type="dxa" w:w="1225"/>
          </w:tcPr>
          <w:p>
            <w:pPr>
              <w:pStyle w:val="Compact"/>
              <w:spacing w:before="20" w:after="20" w:line="240" w:lineRule="auto"/>
              <w:keepNext/>
            </w:pPr>
            <w:r>
              <w:rPr>
                <w:sz w:val="16"/>
                <w:szCs w:val="16"/>
              </w:rPr>
              <w:t xml:space="preserve">43 (24.6%)</w:t>
            </w:r>
          </w:p>
        </w:tc>
        <w:tc>
          <w:tcPr>
            <w:tcW w:type="dxa" w:w="935"/>
          </w:tcPr>
          <w:p>
            <w:pPr>
              <w:pStyle w:val="Compact"/>
              <w:spacing w:before="20" w:after="20" w:line="240" w:lineRule="auto"/>
              <w:jc w:val="right"/>
              <w:keepNext/>
            </w:pPr>
            <w:r>
              <w:rPr>
                <w:sz w:val="16"/>
                <w:szCs w:val="16"/>
              </w:rPr>
              <w:t xml:space="preserve">64.0</w:t>
            </w:r>
          </w:p>
        </w:tc>
        <w:tc>
          <w:tcPr>
            <w:tcW w:type="dxa" w:w="1769"/>
          </w:tcPr>
          <w:p>
            <w:pPr>
              <w:pStyle w:val="Compact"/>
              <w:spacing w:before="20" w:after="20" w:line="240" w:lineRule="auto"/>
              <w:keepNext/>
            </w:pPr>
            <w:r>
              <w:rPr>
                <w:sz w:val="16"/>
                <w:szCs w:val="16"/>
              </w:rPr>
              <w:t xml:space="preserve">4.83 (3.39)</w:t>
            </w:r>
          </w:p>
        </w:tc>
        <w:tc>
          <w:tcPr>
            <w:tcW w:type="dxa" w:w="1123"/>
          </w:tcPr>
          <w:p>
            <w:pPr>
              <w:pStyle w:val="Compact"/>
              <w:spacing w:before="20" w:after="20" w:line="240" w:lineRule="auto"/>
              <w:jc w:val="right"/>
              <w:keepNext/>
            </w:pPr>
            <w:r>
              <w:rPr>
                <w:sz w:val="16"/>
                <w:szCs w:val="16"/>
              </w:rPr>
              <w:t xml:space="preserve">2021</w:t>
            </w:r>
          </w:p>
        </w:tc>
      </w:tr>
      <w:tr>
        <w:trPr>
          <w:cantSplit/>
        </w:trPr>
        <w:tc>
          <w:tcPr>
            <w:tcW w:type="dxa" w:w="952"/>
          </w:tcPr>
          <w:p>
            <w:pPr>
              <w:pStyle w:val="Compact"/>
              <w:spacing w:before="20" w:after="20" w:line="240" w:lineRule="auto"/>
              <w:keepNext/>
            </w:pPr>
            <w:r>
              <w:rPr>
                <w:sz w:val="16"/>
                <w:szCs w:val="16"/>
              </w:rPr>
              <w:t xml:space="preserve">PCT(WO)</w:t>
            </w:r>
          </w:p>
        </w:tc>
        <w:tc>
          <w:tcPr>
            <w:tcW w:type="dxa" w:w="408"/>
          </w:tcPr>
          <w:p>
            <w:pPr>
              <w:pStyle w:val="Compact"/>
              <w:spacing w:before="20" w:after="20" w:line="240" w:lineRule="auto"/>
              <w:jc w:val="right"/>
              <w:keepNext/>
            </w:pPr>
            <w:r>
              <w:rPr>
                <w:sz w:val="16"/>
                <w:szCs w:val="16"/>
              </w:rPr>
              <w:t xml:space="preserve">113</w:t>
            </w:r>
          </w:p>
        </w:tc>
        <w:tc>
          <w:tcPr>
            <w:tcW w:type="dxa" w:w="1225"/>
          </w:tcPr>
          <w:p>
            <w:pPr>
              <w:pStyle w:val="Compact"/>
              <w:spacing w:before="20" w:after="20" w:line="240" w:lineRule="auto"/>
              <w:keepNext/>
            </w:pPr>
            <w:r>
              <w:rPr>
                <w:sz w:val="16"/>
                <w:szCs w:val="16"/>
              </w:rPr>
              <w:t xml:space="preserve">43 (38.1%)</w:t>
            </w:r>
          </w:p>
        </w:tc>
        <w:tc>
          <w:tcPr>
            <w:tcW w:type="dxa" w:w="1429"/>
          </w:tcPr>
          <w:p>
            <w:pPr>
              <w:pStyle w:val="Compact"/>
              <w:spacing w:before="20" w:after="20" w:line="240" w:lineRule="auto"/>
              <w:keepNext/>
            </w:pPr>
            <w:r>
              <w:rPr>
                <w:sz w:val="16"/>
                <w:szCs w:val="16"/>
              </w:rPr>
              <w:t xml:space="preserve">46 (40.7%)</w:t>
            </w:r>
          </w:p>
        </w:tc>
        <w:tc>
          <w:tcPr>
            <w:tcW w:type="dxa" w:w="1225"/>
          </w:tcPr>
          <w:p>
            <w:pPr>
              <w:pStyle w:val="Compact"/>
              <w:spacing w:before="20" w:after="20" w:line="240" w:lineRule="auto"/>
              <w:keepNext/>
            </w:pPr>
            <w:r>
              <w:rPr>
                <w:sz w:val="16"/>
                <w:szCs w:val="16"/>
              </w:rPr>
              <w:t xml:space="preserve">24 (21.2%)</w:t>
            </w:r>
          </w:p>
        </w:tc>
        <w:tc>
          <w:tcPr>
            <w:tcW w:type="dxa" w:w="935"/>
          </w:tcPr>
          <w:p>
            <w:pPr>
              <w:pStyle w:val="Compact"/>
              <w:spacing w:before="20" w:after="20" w:line="240" w:lineRule="auto"/>
              <w:jc w:val="right"/>
              <w:keepNext/>
            </w:pPr>
            <w:r>
              <w:rPr>
                <w:sz w:val="16"/>
                <w:szCs w:val="16"/>
              </w:rPr>
              <w:t xml:space="preserve">61.9</w:t>
            </w:r>
          </w:p>
        </w:tc>
        <w:tc>
          <w:tcPr>
            <w:tcW w:type="dxa" w:w="1769"/>
          </w:tcPr>
          <w:p>
            <w:pPr>
              <w:pStyle w:val="Compact"/>
              <w:spacing w:before="20" w:after="20" w:line="240" w:lineRule="auto"/>
              <w:keepNext/>
            </w:pPr>
            <w:r>
              <w:rPr>
                <w:sz w:val="16"/>
                <w:szCs w:val="16"/>
              </w:rPr>
              <w:t xml:space="preserve">5.04 (3.57)</w:t>
            </w:r>
          </w:p>
        </w:tc>
        <w:tc>
          <w:tcPr>
            <w:tcW w:type="dxa" w:w="1123"/>
          </w:tcPr>
          <w:p>
            <w:pPr>
              <w:pStyle w:val="Compact"/>
              <w:spacing w:before="20" w:after="20" w:line="240" w:lineRule="auto"/>
              <w:jc w:val="right"/>
              <w:keepNext/>
            </w:pPr>
            <w:r>
              <w:rPr>
                <w:sz w:val="16"/>
                <w:szCs w:val="16"/>
              </w:rPr>
              <w:t xml:space="preserve">2022</w:t>
            </w:r>
          </w:p>
        </w:tc>
      </w:tr>
      <w:tr>
        <w:trPr>
          <w:cantSplit/>
        </w:trPr>
        <w:tc>
          <w:tcPr>
            <w:tcW w:type="dxa" w:w="952"/>
          </w:tcPr>
          <w:p>
            <w:pPr>
              <w:pStyle w:val="Compact"/>
              <w:spacing w:before="20" w:after="20" w:line="240" w:lineRule="auto"/>
              <w:keepNext/>
            </w:pPr>
            <w:r>
              <w:rPr>
                <w:sz w:val="16"/>
                <w:szCs w:val="16"/>
              </w:rPr>
              <w:t xml:space="preserve">EPO(EP)</w:t>
            </w:r>
          </w:p>
        </w:tc>
        <w:tc>
          <w:tcPr>
            <w:tcW w:type="dxa" w:w="408"/>
          </w:tcPr>
          <w:p>
            <w:pPr>
              <w:pStyle w:val="Compact"/>
              <w:spacing w:before="20" w:after="20" w:line="240" w:lineRule="auto"/>
              <w:jc w:val="right"/>
              <w:keepNext/>
            </w:pPr>
            <w:r>
              <w:rPr>
                <w:sz w:val="16"/>
                <w:szCs w:val="16"/>
              </w:rPr>
              <w:t xml:space="preserve">83</w:t>
            </w:r>
          </w:p>
        </w:tc>
        <w:tc>
          <w:tcPr>
            <w:tcW w:type="dxa" w:w="1225"/>
          </w:tcPr>
          <w:p>
            <w:pPr>
              <w:pStyle w:val="Compact"/>
              <w:spacing w:before="20" w:after="20" w:line="240" w:lineRule="auto"/>
              <w:keepNext/>
            </w:pPr>
            <w:r>
              <w:rPr>
                <w:sz w:val="16"/>
                <w:szCs w:val="16"/>
              </w:rPr>
              <w:t xml:space="preserve">29 (34.9%)</w:t>
            </w:r>
          </w:p>
        </w:tc>
        <w:tc>
          <w:tcPr>
            <w:tcW w:type="dxa" w:w="1429"/>
          </w:tcPr>
          <w:p>
            <w:pPr>
              <w:pStyle w:val="Compact"/>
              <w:spacing w:before="20" w:after="20" w:line="240" w:lineRule="auto"/>
              <w:keepNext/>
            </w:pPr>
            <w:r>
              <w:rPr>
                <w:sz w:val="16"/>
                <w:szCs w:val="16"/>
              </w:rPr>
              <w:t xml:space="preserve">44 (53.0%)</w:t>
            </w:r>
          </w:p>
        </w:tc>
        <w:tc>
          <w:tcPr>
            <w:tcW w:type="dxa" w:w="1225"/>
          </w:tcPr>
          <w:p>
            <w:pPr>
              <w:pStyle w:val="Compact"/>
              <w:spacing w:before="20" w:after="20" w:line="240" w:lineRule="auto"/>
              <w:keepNext/>
            </w:pPr>
            <w:r>
              <w:rPr>
                <w:sz w:val="16"/>
                <w:szCs w:val="16"/>
              </w:rPr>
              <w:t xml:space="preserve">10 (12.0%)</w:t>
            </w:r>
          </w:p>
        </w:tc>
        <w:tc>
          <w:tcPr>
            <w:tcW w:type="dxa" w:w="935"/>
          </w:tcPr>
          <w:p>
            <w:pPr>
              <w:pStyle w:val="Compact"/>
              <w:spacing w:before="20" w:after="20" w:line="240" w:lineRule="auto"/>
              <w:jc w:val="right"/>
              <w:keepNext/>
            </w:pPr>
            <w:r>
              <w:rPr>
                <w:sz w:val="16"/>
                <w:szCs w:val="16"/>
              </w:rPr>
              <w:t xml:space="preserve">65.1</w:t>
            </w:r>
          </w:p>
        </w:tc>
        <w:tc>
          <w:tcPr>
            <w:tcW w:type="dxa" w:w="1769"/>
          </w:tcPr>
          <w:p>
            <w:pPr>
              <w:pStyle w:val="Compact"/>
              <w:spacing w:before="20" w:after="20" w:line="240" w:lineRule="auto"/>
              <w:keepNext/>
            </w:pPr>
            <w:r>
              <w:rPr>
                <w:sz w:val="16"/>
                <w:szCs w:val="16"/>
              </w:rPr>
              <w:t xml:space="preserve">5.94 (3.75)</w:t>
            </w:r>
          </w:p>
        </w:tc>
        <w:tc>
          <w:tcPr>
            <w:tcW w:type="dxa" w:w="1123"/>
          </w:tcPr>
          <w:p>
            <w:pPr>
              <w:pStyle w:val="Compact"/>
              <w:spacing w:before="20" w:after="20" w:line="240" w:lineRule="auto"/>
              <w:jc w:val="right"/>
              <w:keepNext/>
            </w:pPr>
            <w:r>
              <w:rPr>
                <w:sz w:val="16"/>
                <w:szCs w:val="16"/>
              </w:rPr>
              <w:t xml:space="preserve">2021</w:t>
            </w:r>
          </w:p>
        </w:tc>
      </w:tr>
      <w:tr>
        <w:trPr>
          <w:cantSplit/>
        </w:trPr>
        <w:tc>
          <w:tcPr>
            <w:tcW w:type="dxa" w:w="952"/>
          </w:tcPr>
          <w:p>
            <w:pPr>
              <w:pStyle w:val="Compact"/>
              <w:spacing w:before="20" w:after="20" w:line="240" w:lineRule="auto"/>
              <w:keepNext/>
            </w:pPr>
            <w:r>
              <w:rPr>
                <w:sz w:val="16"/>
                <w:szCs w:val="16"/>
              </w:rPr>
              <w:t xml:space="preserve">대만(TW)</w:t>
            </w:r>
          </w:p>
        </w:tc>
        <w:tc>
          <w:tcPr>
            <w:tcW w:type="dxa" w:w="408"/>
          </w:tcPr>
          <w:p>
            <w:pPr>
              <w:pStyle w:val="Compact"/>
              <w:spacing w:before="20" w:after="20" w:line="240" w:lineRule="auto"/>
              <w:jc w:val="right"/>
              <w:keepNext/>
            </w:pPr>
            <w:r>
              <w:rPr>
                <w:sz w:val="16"/>
                <w:szCs w:val="16"/>
              </w:rPr>
              <w:t xml:space="preserve">75</w:t>
            </w:r>
          </w:p>
        </w:tc>
        <w:tc>
          <w:tcPr>
            <w:tcW w:type="dxa" w:w="1225"/>
          </w:tcPr>
          <w:p>
            <w:pPr>
              <w:pStyle w:val="Compact"/>
              <w:spacing w:before="20" w:after="20" w:line="240" w:lineRule="auto"/>
              <w:keepNext/>
            </w:pPr>
            <w:r>
              <w:rPr>
                <w:sz w:val="16"/>
                <w:szCs w:val="16"/>
              </w:rPr>
              <w:t xml:space="preserve">24 (32.0%)</w:t>
            </w:r>
          </w:p>
        </w:tc>
        <w:tc>
          <w:tcPr>
            <w:tcW w:type="dxa" w:w="1429"/>
          </w:tcPr>
          <w:p>
            <w:pPr>
              <w:pStyle w:val="Compact"/>
              <w:spacing w:before="20" w:after="20" w:line="240" w:lineRule="auto"/>
              <w:keepNext/>
            </w:pPr>
            <w:r>
              <w:rPr>
                <w:sz w:val="16"/>
                <w:szCs w:val="16"/>
              </w:rPr>
              <w:t xml:space="preserve">39 (52.0%)</w:t>
            </w:r>
          </w:p>
        </w:tc>
        <w:tc>
          <w:tcPr>
            <w:tcW w:type="dxa" w:w="1225"/>
          </w:tcPr>
          <w:p>
            <w:pPr>
              <w:pStyle w:val="Compact"/>
              <w:spacing w:before="20" w:after="20" w:line="240" w:lineRule="auto"/>
              <w:keepNext/>
            </w:pPr>
            <w:r>
              <w:rPr>
                <w:sz w:val="16"/>
                <w:szCs w:val="16"/>
              </w:rPr>
              <w:t xml:space="preserve">12 (16.0%)</w:t>
            </w:r>
          </w:p>
        </w:tc>
        <w:tc>
          <w:tcPr>
            <w:tcW w:type="dxa" w:w="935"/>
          </w:tcPr>
          <w:p>
            <w:pPr>
              <w:pStyle w:val="Compact"/>
              <w:spacing w:before="20" w:after="20" w:line="240" w:lineRule="auto"/>
              <w:jc w:val="right"/>
              <w:keepNext/>
            </w:pPr>
            <w:r>
              <w:rPr>
                <w:sz w:val="16"/>
                <w:szCs w:val="16"/>
              </w:rPr>
              <w:t xml:space="preserve">68.0</w:t>
            </w:r>
          </w:p>
        </w:tc>
        <w:tc>
          <w:tcPr>
            <w:tcW w:type="dxa" w:w="1769"/>
          </w:tcPr>
          <w:p>
            <w:pPr>
              <w:pStyle w:val="Compact"/>
              <w:spacing w:before="20" w:after="20" w:line="240" w:lineRule="auto"/>
              <w:keepNext/>
            </w:pPr>
            <w:r>
              <w:rPr>
                <w:sz w:val="16"/>
                <w:szCs w:val="16"/>
              </w:rPr>
              <w:t xml:space="preserve">6.27 (4.23)</w:t>
            </w:r>
          </w:p>
        </w:tc>
        <w:tc>
          <w:tcPr>
            <w:tcW w:type="dxa" w:w="1123"/>
          </w:tcPr>
          <w:p>
            <w:pPr>
              <w:pStyle w:val="Compact"/>
              <w:spacing w:before="20" w:after="20" w:line="240" w:lineRule="auto"/>
              <w:jc w:val="right"/>
              <w:keepNext/>
            </w:pPr>
            <w:r>
              <w:rPr>
                <w:sz w:val="16"/>
                <w:szCs w:val="16"/>
              </w:rPr>
              <w:t xml:space="preserve">2021</w:t>
            </w:r>
          </w:p>
        </w:tc>
      </w:tr>
      <w:tr>
        <w:trPr>
          <w:cantSplit/>
        </w:trPr>
        <w:tc>
          <w:tcPr>
            <w:tcW w:type="dxa" w:w="952"/>
          </w:tcPr>
          <w:p>
            <w:pPr>
              <w:pStyle w:val="Compact"/>
              <w:spacing w:before="20" w:after="20" w:line="240" w:lineRule="auto"/>
              <w:keepNext/>
            </w:pPr>
            <w:r>
              <w:rPr>
                <w:sz w:val="16"/>
                <w:szCs w:val="16"/>
              </w:rPr>
              <w:t xml:space="preserve">한국(KR)</w:t>
            </w:r>
          </w:p>
        </w:tc>
        <w:tc>
          <w:tcPr>
            <w:tcW w:type="dxa" w:w="408"/>
          </w:tcPr>
          <w:p>
            <w:pPr>
              <w:pStyle w:val="Compact"/>
              <w:spacing w:before="20" w:after="20" w:line="240" w:lineRule="auto"/>
              <w:jc w:val="right"/>
              <w:keepNext/>
            </w:pPr>
            <w:r>
              <w:rPr>
                <w:sz w:val="16"/>
                <w:szCs w:val="16"/>
              </w:rPr>
              <w:t xml:space="preserve">58</w:t>
            </w:r>
          </w:p>
        </w:tc>
        <w:tc>
          <w:tcPr>
            <w:tcW w:type="dxa" w:w="1225"/>
          </w:tcPr>
          <w:p>
            <w:pPr>
              <w:pStyle w:val="Compact"/>
              <w:spacing w:before="20" w:after="20" w:line="240" w:lineRule="auto"/>
              <w:keepNext/>
            </w:pPr>
            <w:r>
              <w:rPr>
                <w:sz w:val="16"/>
                <w:szCs w:val="16"/>
              </w:rPr>
              <w:t xml:space="preserve">17 (29.3%)</w:t>
            </w:r>
          </w:p>
        </w:tc>
        <w:tc>
          <w:tcPr>
            <w:tcW w:type="dxa" w:w="1429"/>
          </w:tcPr>
          <w:p>
            <w:pPr>
              <w:pStyle w:val="Compact"/>
              <w:spacing w:before="20" w:after="20" w:line="240" w:lineRule="auto"/>
              <w:keepNext/>
            </w:pPr>
            <w:r>
              <w:rPr>
                <w:sz w:val="16"/>
                <w:szCs w:val="16"/>
              </w:rPr>
              <w:t xml:space="preserve">25 (43.1%)</w:t>
            </w:r>
          </w:p>
        </w:tc>
        <w:tc>
          <w:tcPr>
            <w:tcW w:type="dxa" w:w="1225"/>
          </w:tcPr>
          <w:p>
            <w:pPr>
              <w:pStyle w:val="Compact"/>
              <w:spacing w:before="20" w:after="20" w:line="240" w:lineRule="auto"/>
              <w:keepNext/>
            </w:pPr>
            <w:r>
              <w:rPr>
                <w:sz w:val="16"/>
                <w:szCs w:val="16"/>
              </w:rPr>
              <w:t xml:space="preserve">16 (27.6%)</w:t>
            </w:r>
          </w:p>
        </w:tc>
        <w:tc>
          <w:tcPr>
            <w:tcW w:type="dxa" w:w="935"/>
          </w:tcPr>
          <w:p>
            <w:pPr>
              <w:pStyle w:val="Compact"/>
              <w:spacing w:before="20" w:after="20" w:line="240" w:lineRule="auto"/>
              <w:jc w:val="right"/>
              <w:keepNext/>
            </w:pPr>
            <w:r>
              <w:rPr>
                <w:sz w:val="16"/>
                <w:szCs w:val="16"/>
              </w:rPr>
              <w:t xml:space="preserve">70.7</w:t>
            </w:r>
          </w:p>
        </w:tc>
        <w:tc>
          <w:tcPr>
            <w:tcW w:type="dxa" w:w="1769"/>
          </w:tcPr>
          <w:p>
            <w:pPr>
              <w:pStyle w:val="Compact"/>
              <w:spacing w:before="20" w:after="20" w:line="240" w:lineRule="auto"/>
              <w:keepNext/>
            </w:pPr>
            <w:r>
              <w:rPr>
                <w:sz w:val="16"/>
                <w:szCs w:val="16"/>
              </w:rPr>
              <w:t xml:space="preserve">5.84 (4.64)</w:t>
            </w:r>
          </w:p>
        </w:tc>
        <w:tc>
          <w:tcPr>
            <w:tcW w:type="dxa" w:w="1123"/>
          </w:tcPr>
          <w:p>
            <w:pPr>
              <w:pStyle w:val="Compact"/>
              <w:spacing w:before="20" w:after="20" w:line="240" w:lineRule="auto"/>
              <w:jc w:val="right"/>
              <w:keepNext/>
            </w:pPr>
            <w:r>
              <w:rPr>
                <w:sz w:val="16"/>
                <w:szCs w:val="16"/>
              </w:rPr>
              <w:t xml:space="preserve">2018</w:t>
            </w:r>
          </w:p>
        </w:tc>
      </w:tr>
      <w:tr>
        <w:trPr>
          <w:cantSplit/>
        </w:trPr>
        <w:tc>
          <w:tcPr>
            <w:tcW w:type="dxa" w:w="952"/>
          </w:tcPr>
          <w:p>
            <w:pPr>
              <w:pStyle w:val="Compact"/>
              <w:spacing w:before="20" w:after="20" w:line="240" w:lineRule="auto"/>
              <w:keepNext/>
            </w:pPr>
            <w:r>
              <w:rPr>
                <w:sz w:val="16"/>
                <w:szCs w:val="16"/>
              </w:rPr>
              <w:t xml:space="preserve">일본(JP)</w:t>
            </w:r>
          </w:p>
        </w:tc>
        <w:tc>
          <w:tcPr>
            <w:tcW w:type="dxa" w:w="408"/>
          </w:tcPr>
          <w:p>
            <w:pPr>
              <w:pStyle w:val="Compact"/>
              <w:spacing w:before="20" w:after="20" w:line="240" w:lineRule="auto"/>
              <w:jc w:val="right"/>
              <w:keepNext/>
            </w:pPr>
            <w:r>
              <w:rPr>
                <w:sz w:val="16"/>
                <w:szCs w:val="16"/>
              </w:rPr>
              <w:t xml:space="preserve">26</w:t>
            </w:r>
          </w:p>
        </w:tc>
        <w:tc>
          <w:tcPr>
            <w:tcW w:type="dxa" w:w="1225"/>
          </w:tcPr>
          <w:p>
            <w:pPr>
              <w:pStyle w:val="Compact"/>
              <w:spacing w:before="20" w:after="20" w:line="240" w:lineRule="auto"/>
              <w:keepNext/>
            </w:pPr>
            <w:r>
              <w:rPr>
                <w:sz w:val="16"/>
                <w:szCs w:val="16"/>
              </w:rPr>
              <w:t xml:space="preserve">10 (38.5%)</w:t>
            </w:r>
          </w:p>
        </w:tc>
        <w:tc>
          <w:tcPr>
            <w:tcW w:type="dxa" w:w="1429"/>
          </w:tcPr>
          <w:p>
            <w:pPr>
              <w:pStyle w:val="Compact"/>
              <w:spacing w:before="20" w:after="20" w:line="240" w:lineRule="auto"/>
              <w:keepNext/>
            </w:pPr>
            <w:r>
              <w:rPr>
                <w:sz w:val="16"/>
                <w:szCs w:val="16"/>
              </w:rPr>
              <w:t xml:space="preserve">13 (50.0%)</w:t>
            </w:r>
          </w:p>
        </w:tc>
        <w:tc>
          <w:tcPr>
            <w:tcW w:type="dxa" w:w="1225"/>
          </w:tcPr>
          <w:p>
            <w:pPr>
              <w:pStyle w:val="Compact"/>
              <w:spacing w:before="20" w:after="20" w:line="240" w:lineRule="auto"/>
              <w:keepNext/>
            </w:pPr>
            <w:r>
              <w:rPr>
                <w:sz w:val="16"/>
                <w:szCs w:val="16"/>
              </w:rPr>
              <w:t xml:space="preserve">3 (11.5%)</w:t>
            </w:r>
          </w:p>
        </w:tc>
        <w:tc>
          <w:tcPr>
            <w:tcW w:type="dxa" w:w="935"/>
          </w:tcPr>
          <w:p>
            <w:pPr>
              <w:pStyle w:val="Compact"/>
              <w:spacing w:before="20" w:after="20" w:line="240" w:lineRule="auto"/>
              <w:jc w:val="right"/>
              <w:keepNext/>
            </w:pPr>
            <w:r>
              <w:rPr>
                <w:sz w:val="16"/>
                <w:szCs w:val="16"/>
              </w:rPr>
              <w:t xml:space="preserve">61.5</w:t>
            </w:r>
          </w:p>
        </w:tc>
        <w:tc>
          <w:tcPr>
            <w:tcW w:type="dxa" w:w="1769"/>
          </w:tcPr>
          <w:p>
            <w:pPr>
              <w:pStyle w:val="Compact"/>
              <w:spacing w:before="20" w:after="20" w:line="240" w:lineRule="auto"/>
              <w:keepNext/>
            </w:pPr>
            <w:r>
              <w:rPr>
                <w:sz w:val="16"/>
                <w:szCs w:val="16"/>
              </w:rPr>
              <w:t xml:space="preserve">6.88 (7.00)</w:t>
            </w:r>
          </w:p>
        </w:tc>
        <w:tc>
          <w:tcPr>
            <w:tcW w:type="dxa" w:w="1123"/>
          </w:tcPr>
          <w:p>
            <w:pPr>
              <w:pStyle w:val="Compact"/>
              <w:spacing w:before="20" w:after="20" w:line="240" w:lineRule="auto"/>
              <w:jc w:val="right"/>
              <w:keepNext/>
            </w:pPr>
            <w:r>
              <w:rPr>
                <w:sz w:val="16"/>
                <w:szCs w:val="16"/>
              </w:rPr>
              <w:t xml:space="preserve">2011.5</w:t>
            </w:r>
          </w:p>
        </w:tc>
      </w:tr>
      <w:tr>
        <w:trPr>
          <w:cantSplit/>
        </w:trPr>
        <w:tc>
          <w:tcPr>
            <w:tcW w:type="dxa" w:w="952"/>
          </w:tcPr>
          <w:p>
            <w:pPr>
              <w:pStyle w:val="Compact"/>
              <w:spacing w:before="20" w:after="20" w:line="240" w:lineRule="auto"/>
              <w:keepNext/>
            </w:pPr>
            <w:r>
              <w:rPr>
                <w:sz w:val="16"/>
                <w:szCs w:val="16"/>
              </w:rPr>
              <w:t xml:space="preserve">기타</w:t>
            </w:r>
          </w:p>
        </w:tc>
        <w:tc>
          <w:tcPr>
            <w:tcW w:type="dxa" w:w="408"/>
          </w:tcPr>
          <w:p>
            <w:pPr>
              <w:pStyle w:val="Compact"/>
              <w:spacing w:before="20" w:after="20" w:line="240" w:lineRule="auto"/>
              <w:jc w:val="right"/>
              <w:keepNext/>
            </w:pPr>
            <w:r>
              <w:rPr>
                <w:sz w:val="16"/>
                <w:szCs w:val="16"/>
              </w:rPr>
              <w:t xml:space="preserve">16</w:t>
            </w:r>
          </w:p>
        </w:tc>
        <w:tc>
          <w:tcPr>
            <w:tcW w:type="dxa" w:w="1225"/>
          </w:tcPr>
          <w:p>
            <w:pPr>
              <w:pStyle w:val="Compact"/>
              <w:spacing w:before="20" w:after="20" w:line="240" w:lineRule="auto"/>
              <w:keepNext/>
            </w:pPr>
            <w:r>
              <w:rPr>
                <w:sz w:val="16"/>
                <w:szCs w:val="16"/>
              </w:rPr>
              <w:t xml:space="preserve">4 (25.0%)</w:t>
            </w:r>
          </w:p>
        </w:tc>
        <w:tc>
          <w:tcPr>
            <w:tcW w:type="dxa" w:w="1429"/>
          </w:tcPr>
          <w:p>
            <w:pPr>
              <w:pStyle w:val="Compact"/>
              <w:spacing w:before="20" w:after="20" w:line="240" w:lineRule="auto"/>
              <w:keepNext/>
            </w:pPr>
            <w:r>
              <w:rPr>
                <w:sz w:val="16"/>
                <w:szCs w:val="16"/>
              </w:rPr>
              <w:t xml:space="preserve">8 (50.0%)</w:t>
            </w:r>
          </w:p>
        </w:tc>
        <w:tc>
          <w:tcPr>
            <w:tcW w:type="dxa" w:w="1225"/>
          </w:tcPr>
          <w:p>
            <w:pPr>
              <w:pStyle w:val="Compact"/>
              <w:spacing w:before="20" w:after="20" w:line="240" w:lineRule="auto"/>
              <w:keepNext/>
            </w:pPr>
            <w:r>
              <w:rPr>
                <w:sz w:val="16"/>
                <w:szCs w:val="16"/>
              </w:rPr>
              <w:t xml:space="preserve">4 (25.0%)</w:t>
            </w:r>
          </w:p>
        </w:tc>
        <w:tc>
          <w:tcPr>
            <w:tcW w:type="dxa" w:w="935"/>
          </w:tcPr>
          <w:p>
            <w:pPr>
              <w:pStyle w:val="Compact"/>
              <w:spacing w:before="20" w:after="20" w:line="240" w:lineRule="auto"/>
              <w:jc w:val="right"/>
              <w:keepNext/>
            </w:pPr>
            <w:r>
              <w:rPr>
                <w:sz w:val="16"/>
                <w:szCs w:val="16"/>
              </w:rPr>
              <w:t xml:space="preserve">75.0</w:t>
            </w:r>
          </w:p>
        </w:tc>
        <w:tc>
          <w:tcPr>
            <w:tcW w:type="dxa" w:w="1769"/>
          </w:tcPr>
          <w:p>
            <w:pPr>
              <w:pStyle w:val="Compact"/>
              <w:spacing w:before="20" w:after="20" w:line="240" w:lineRule="auto"/>
              <w:keepNext/>
            </w:pPr>
            <w:r>
              <w:rPr>
                <w:sz w:val="16"/>
                <w:szCs w:val="16"/>
              </w:rPr>
              <w:t xml:space="preserve">5.81 (6.23)</w:t>
            </w:r>
          </w:p>
        </w:tc>
        <w:tc>
          <w:tcPr>
            <w:tcW w:type="dxa" w:w="1123"/>
          </w:tcPr>
          <w:p>
            <w:pPr>
              <w:pStyle w:val="Compact"/>
              <w:spacing w:before="20" w:after="20" w:line="240" w:lineRule="auto"/>
              <w:jc w:val="right"/>
              <w:keepNext/>
            </w:pPr>
            <w:r>
              <w:rPr>
                <w:sz w:val="16"/>
                <w:szCs w:val="16"/>
              </w:rPr>
              <w:t xml:space="preserve">2015.5</w:t>
            </w:r>
          </w:p>
        </w:tc>
      </w:tr>
      <w:tr>
        <w:trPr>
          <w:cantSplit/>
        </w:trPr>
        <w:tc>
          <w:tcPr>
            <w:tcW w:type="dxa" w:w="952"/>
          </w:tcPr>
          <w:p>
            <w:pPr>
              <w:pStyle w:val="Compact"/>
              <w:spacing w:before="20" w:after="20" w:line="240" w:lineRule="auto"/>
              <w:keepNext/>
            </w:pPr>
            <w:r>
              <w:rPr>
                <w:sz w:val="16"/>
                <w:szCs w:val="16"/>
              </w:rPr>
              <w:t xml:space="preserve">전체</w:t>
            </w:r>
          </w:p>
        </w:tc>
        <w:tc>
          <w:tcPr>
            <w:tcW w:type="dxa" w:w="408"/>
          </w:tcPr>
          <w:p>
            <w:pPr>
              <w:pStyle w:val="Compact"/>
              <w:spacing w:before="20" w:after="20" w:line="240" w:lineRule="auto"/>
              <w:jc w:val="right"/>
              <w:keepNext/>
            </w:pPr>
            <w:r>
              <w:rPr>
                <w:sz w:val="16"/>
                <w:szCs w:val="16"/>
              </w:rPr>
              <w:t xml:space="preserve">928</w:t>
            </w:r>
          </w:p>
        </w:tc>
        <w:tc>
          <w:tcPr>
            <w:tcW w:type="dxa" w:w="1225"/>
          </w:tcPr>
          <w:p>
            <w:pPr>
              <w:pStyle w:val="Compact"/>
              <w:spacing w:before="20" w:after="20" w:line="240" w:lineRule="auto"/>
              <w:keepNext/>
            </w:pPr>
            <w:r>
              <w:rPr>
                <w:sz w:val="16"/>
                <w:szCs w:val="16"/>
              </w:rPr>
              <w:t xml:space="preserve">338 (36.4%)</w:t>
            </w:r>
          </w:p>
        </w:tc>
        <w:tc>
          <w:tcPr>
            <w:tcW w:type="dxa" w:w="1429"/>
          </w:tcPr>
          <w:p>
            <w:pPr>
              <w:pStyle w:val="Compact"/>
              <w:spacing w:before="20" w:after="20" w:line="240" w:lineRule="auto"/>
              <w:keepNext/>
            </w:pPr>
            <w:r>
              <w:rPr>
                <w:sz w:val="16"/>
                <w:szCs w:val="16"/>
              </w:rPr>
              <w:t xml:space="preserve">425 (45.8%)</w:t>
            </w:r>
          </w:p>
        </w:tc>
        <w:tc>
          <w:tcPr>
            <w:tcW w:type="dxa" w:w="1225"/>
          </w:tcPr>
          <w:p>
            <w:pPr>
              <w:pStyle w:val="Compact"/>
              <w:spacing w:before="20" w:after="20" w:line="240" w:lineRule="auto"/>
              <w:keepNext/>
            </w:pPr>
            <w:r>
              <w:rPr>
                <w:sz w:val="16"/>
                <w:szCs w:val="16"/>
              </w:rPr>
              <w:t xml:space="preserve">165 (17.8%)</w:t>
            </w:r>
          </w:p>
        </w:tc>
        <w:tc>
          <w:tcPr>
            <w:tcW w:type="dxa" w:w="935"/>
          </w:tcPr>
          <w:p>
            <w:pPr>
              <w:pStyle w:val="Compact"/>
              <w:spacing w:before="20" w:after="20" w:line="240" w:lineRule="auto"/>
              <w:jc w:val="right"/>
              <w:keepNext/>
            </w:pPr>
            <w:r>
              <w:rPr>
                <w:sz w:val="16"/>
                <w:szCs w:val="16"/>
              </w:rPr>
              <w:t xml:space="preserve">63.6</w:t>
            </w:r>
          </w:p>
        </w:tc>
        <w:tc>
          <w:tcPr>
            <w:tcW w:type="dxa" w:w="1769"/>
          </w:tcPr>
          <w:p>
            <w:pPr>
              <w:pStyle w:val="Compact"/>
              <w:spacing w:before="20" w:after="20" w:line="240" w:lineRule="auto"/>
              <w:keepNext/>
            </w:pPr>
            <w:r>
              <w:rPr>
                <w:sz w:val="16"/>
                <w:szCs w:val="16"/>
              </w:rPr>
              <w:t xml:space="preserve">5.69 (4.07)</w:t>
            </w:r>
          </w:p>
        </w:tc>
        <w:tc>
          <w:tcPr>
            <w:tcW w:type="dxa" w:w="1123"/>
          </w:tcPr>
          <w:p>
            <w:pPr>
              <w:pStyle w:val="Compact"/>
              <w:spacing w:before="20" w:after="20" w:line="240" w:lineRule="auto"/>
              <w:jc w:val="right"/>
              <w:keepNext/>
            </w:pPr>
            <w:r>
              <w:rPr>
                <w:sz w:val="16"/>
                <w:szCs w:val="16"/>
              </w:rPr>
              <w:t xml:space="preserve">2021</w:t>
            </w:r>
          </w:p>
        </w:tc>
      </w:tr>
    </w:tbl>
    <w:p>
      <w:pPr>
        <w:pStyle w:val="BodyText"/>
      </w:pPr>
      <w:r>
        <w:t xml:space="preserve">ccode는 출원이 제출된 출원청이며, WO와 EP는 국제·지역 출원 경로다. 따라서 출원청 간 차이는 각 관할권에서 무엇이 보호할 가치가 있다고 판단되었는가, 즉 출원·보호 전략의 차이로 해석한다.</w:t>
      </w:r>
    </w:p>
    <w:bookmarkEnd w:id="25"/>
    <w:bookmarkStart w:id="26" w:name="실증-전략"/>
    <w:p>
      <w:pPr>
        <w:pStyle w:val="Heading3"/>
      </w:pPr>
      <w:r>
        <w:t xml:space="preserve">4.3 실증 전략</w:t>
      </w:r>
    </w:p>
    <w:p>
      <w:pPr>
        <w:pStyle w:val="FirstParagraph"/>
      </w:pPr>
      <w:r>
        <w:t xml:space="preserve">종속변수의 통계적 성격이 서로 다르므로 모형은 이에 맞추어 선택한다. 기술범위가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카운트 모형은 표 4에 계수와 표준오차를 보고하고, 본문에서는 그 지수인 발생률비(IRR)로 해석한다.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 tech_cat을 모형화하고 상대위험비(RRR)로 보고하여, 통합형(경계 넘기)과 공정 단독형을 동일한 기준 범주 대비로 해석할 수 있게 한다. 이것이 H1과 H2의 본 검정이다. 이에 앞서 이항 로짓은 기술범위, 연도 추세, 출원청으로 has_process(전공정 지향)를 예측하며, 승산비(OR)로 보고하고 수신자 조작 특성(ROC) 곡선 하면적(AUC)으로 평가한다(Hosmer et al., 2013). 이항 로짓은 전공정 기술이 청구되는지만을 묻는 단순한 모형으로, 다항 로짓 결과의 예비 점검 역할을 한다. 다항 로짓은 무관 대안의 독립성(IIA)을 가정한다. 이 가정의 민감도는 제5.4절에서 한 대안을 제외한 축소 표본 추정으로 점검하며, 추정치는 조립 단독형 기준 대비 상대적 경향으로 해석한다. 가설 판정에는 5% 유의수준을 쓰고 10% 수준은 약한 증거로만 언급하며, 가설에 포함되지 않은 출원청 대비(대만·PCT·기타)는 다중 검정을 보정하지 않은 탐색적 결과로 읽는다. 선형 벤치마크에서는 이분산에 로버스트한 표준오차를 병행 산출하였으며, 점추정치는 동일하고 연도·중국·PCT 계수의 유의성이 유지되어(일본 계수만 유의성을 잃는다) 선형 벤치마크의 문제가 오차 구조보다 함수 형태에 있다고 판단하였다.</w:t>
      </w:r>
    </w:p>
    <w:bookmarkEnd w:id="26"/>
    <w:bookmarkEnd w:id="27"/>
    <w:bookmarkStart w:id="47" w:name="결과"/>
    <w:p>
      <w:pPr>
        <w:pStyle w:val="Heading2"/>
      </w:pPr>
      <w:r>
        <w:t xml:space="preserve">5. 결과</w:t>
      </w:r>
    </w:p>
    <w:bookmarkStart w:id="34" w:name="기술범위"/>
    <w:p>
      <w:pPr>
        <w:pStyle w:val="Heading3"/>
      </w:pPr>
      <w:r>
        <w:t xml:space="preserve">5.1 기술범위</w:t>
      </w:r>
    </w:p>
    <w:p>
      <w:pPr>
        <w:pStyle w:val="FirstParagraph"/>
      </w:pPr>
      <w:r>
        <w:t xml:space="preserve">표 4는 OLS, 로버스트 OLS, Poisson, 음이항의 기술범위 추정치를 함께 보고한다. 선형 벤치마크에서 연도 추세는 양이고 유의하지만(0.070, p &lt; 0.01) 모형의 설명력은 낮다(R² = 0.033). 잔차는 등분산 가정을 기각하며(설명변수 전체를 보조회귀에 넣은 Breusch–Pagan 검정, χ²(8) = 99.6, p &lt; 0.001; 정규성 가정을 완화한 Koenker형 LM = 39.7, p &lt; 0.001), 그림 3의 잔차–적합값 도표는 카운트 자료에서 흔히 나타나는 대각선 줄무늬와 부채꼴 모양을 보인다. 적합값이 커질수록 잔차의 퍼짐이 커지고, 잔차는 아래쪽으로 막혀 있다. 이분산 로버스트 표준오차(HC1)는 점추정치를 바꾸지 않고 연도·중국·PCT 계수의 유의성도 유지하지만, 일본 계수는 유의성을 잃는다(p = 0.04 → 0.19). 그러나 표준오차의 보정은 카운트 종속변수에 선형 모형을 적용한 데서 비롯한 함수 형태의 문제를 해결하지 못하므로, 이하에서는 카운트 모형으로 옮겨간다. 음이항의 과산포 모수는 0과 뚜렷이 구분되고(α = 0.268, 표준오차 0.020; ln(α) = −1.316, 표준오차 0.076), α = 0에 대한 Poisson 대비 우도비 검정은 경계값 검정으로 χ̄²(01) = 596.3(p &lt; 0.001)이며, Poisson의 Pearson χ²/자유도도 2.92로 과산포를 가리킨다. 아카이케 정보기준(AIC)은 Poisson의 5,477에서 음이항의 4,883으로 낮아진다. Poisson의 표준오차는 과산포 아래에서 과소추정되어 음이항 표준오차의 60–65% 수준에 그치며(예: 중국 0.040 대 0.062, 일본 0.080 대 0.133), 일본 계수의 유의수준이 Poisson의 1%에서 음이항의 10%로 바뀌는 것은 계수가 0.280에서 0.239로 다소 줄어든 데 더해 이 표준오차 차이가 작용한 결과다. Poisson에 이분산 로버스트 표준오차를 적용하면 음이항과 같거나 더 큰 값(중국 0.063, 일본 0.190)이 얻어지므로, Poisson의 별표는 추정 정밀도를 과대평가한다. 따라서 음이항을 주된 모형으로 삼는다.</w:t>
      </w:r>
    </w:p>
    <w:p>
      <w:pPr>
        <w:pStyle w:val="BodyText"/>
        <w:keepNext/>
      </w:pPr>
      <w:r>
        <w:rPr>
          <w:b/>
          <w:bCs/>
        </w:rPr>
        <w:t xml:space="preserve">표 4.</w:t>
      </w:r>
      <w:r>
        <w:t xml:space="preserve"> </w:t>
      </w:r>
      <w:r>
        <w:t xml:space="preserve">모형 설정별 기술범위 결정요인(N = 928; 미국 출원청이 기준; 괄호 안은 표준오차; Poisson·음이항 계수의 지수가 발생률비(IRR); OLS의 AIC는 정규 우도에 기반하므로 Poisson·음이항의 AIC와 직접 비교할 수 없으며 참고로만 제시; ln(α) 행에는 유의성 표시를 붙이지 않음(α = 0의 검정은 본문의 우도비 검정); * p &lt; 0.10, ** p &lt; 0.05, *** p &lt; 0.01).</w:t>
      </w:r>
    </w:p>
    <w:tbl>
      <w:tblPr>
        <w:tblStyle w:val="Table"/>
        <w:tblW w:type="dxa" w:w="9066"/>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534"/>
        <w:gridCol w:w="1883"/>
        <w:gridCol w:w="1883"/>
        <w:gridCol w:w="1883"/>
        <w:gridCol w:w="1883"/>
      </w:tblGrid>
      <w:tr>
        <w:trPr>
          <w:tblHeader w:val="on"/>
          <w:cantSplit/>
        </w:trPr>
        <w:tc>
          <w:tcPr>
            <w:tcW w:type="dxa" w:w="1534"/>
            <w:tcBorders>
              <w:bottom w:val="single" w:sz="4" w:space="0" w:color="000000"/>
            </w:tcBorders>
          </w:tcPr>
          <w:p>
            <w:pPr>
              <w:pStyle w:val="Compact"/>
              <w:spacing w:before="20" w:after="20" w:line="240" w:lineRule="auto"/>
              <w:keepNext/>
            </w:pP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OLS(로버스트)</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Poisson</w:t>
            </w:r>
          </w:p>
        </w:tc>
        <w:tc>
          <w:tcPr>
            <w:tcW w:type="dxa" w:w="1883"/>
            <w:tcBorders>
              <w:bottom w:val="single" w:sz="4" w:space="0" w:color="000000"/>
            </w:tcBorders>
          </w:tcPr>
          <w:p>
            <w:pPr>
              <w:pStyle w:val="Compact"/>
              <w:spacing w:before="20" w:after="20" w:line="240" w:lineRule="auto"/>
              <w:jc w:val="center"/>
              <w:keepNext/>
            </w:pPr>
            <w:r>
              <w:rPr>
                <w:sz w:val="17"/>
                <w:szCs w:val="17"/>
              </w:rPr>
              <w:t xml:space="preserve">음이항</w:t>
            </w:r>
          </w:p>
        </w:tc>
      </w:tr>
      <w:tr>
        <w:trPr>
          <w:cantSplit/>
        </w:trPr>
        <w:tc>
          <w:tcPr>
            <w:tcW w:type="dxa" w:w="1534"/>
          </w:tcPr>
          <w:p>
            <w:pPr>
              <w:pStyle w:val="Compact"/>
              <w:spacing w:before="20" w:after="20" w:line="240" w:lineRule="auto"/>
              <w:keepNext/>
            </w:pPr>
            <w:r>
              <w:rPr>
                <w:sz w:val="17"/>
                <w:szCs w:val="17"/>
              </w:rPr>
              <w:t xml:space="preserve">출원연도(yc)</w:t>
            </w:r>
          </w:p>
        </w:tc>
        <w:tc>
          <w:tcPr>
            <w:tcW w:type="dxa" w:w="1883"/>
          </w:tcPr>
          <w:p>
            <w:pPr>
              <w:pStyle w:val="Compact"/>
              <w:spacing w:before="20" w:after="20" w:line="240" w:lineRule="auto"/>
              <w:jc w:val="center"/>
              <w:keepNext/>
            </w:pPr>
            <w:r>
              <w:rPr>
                <w:sz w:val="17"/>
                <w:szCs w:val="17"/>
              </w:rPr>
              <w:t xml:space="preserve">0.070*** (0.019)</w:t>
            </w:r>
          </w:p>
        </w:tc>
        <w:tc>
          <w:tcPr>
            <w:tcW w:type="dxa" w:w="1883"/>
          </w:tcPr>
          <w:p>
            <w:pPr>
              <w:pStyle w:val="Compact"/>
              <w:spacing w:before="20" w:after="20" w:line="240" w:lineRule="auto"/>
              <w:jc w:val="center"/>
              <w:keepNext/>
            </w:pPr>
            <w:r>
              <w:rPr>
                <w:sz w:val="17"/>
                <w:szCs w:val="17"/>
              </w:rPr>
              <w:t xml:space="preserve">0.070*** (0.020)</w:t>
            </w:r>
          </w:p>
        </w:tc>
        <w:tc>
          <w:tcPr>
            <w:tcW w:type="dxa" w:w="1883"/>
          </w:tcPr>
          <w:p>
            <w:pPr>
              <w:pStyle w:val="Compact"/>
              <w:spacing w:before="20" w:after="20" w:line="240" w:lineRule="auto"/>
              <w:jc w:val="center"/>
              <w:keepNext/>
            </w:pPr>
            <w:r>
              <w:rPr>
                <w:sz w:val="17"/>
                <w:szCs w:val="17"/>
              </w:rPr>
              <w:t xml:space="preserve">0.013*** (0.002)</w:t>
            </w:r>
          </w:p>
        </w:tc>
        <w:tc>
          <w:tcPr>
            <w:tcW w:type="dxa" w:w="1883"/>
          </w:tcPr>
          <w:p>
            <w:pPr>
              <w:pStyle w:val="Compact"/>
              <w:spacing w:before="20" w:after="20" w:line="240" w:lineRule="auto"/>
              <w:jc w:val="center"/>
              <w:keepNext/>
            </w:pPr>
            <w:r>
              <w:rPr>
                <w:sz w:val="17"/>
                <w:szCs w:val="17"/>
              </w:rPr>
              <w:t xml:space="preserve">0.014*** (0.003)</w:t>
            </w:r>
          </w:p>
        </w:tc>
      </w:tr>
      <w:tr>
        <w:trPr>
          <w:cantSplit/>
        </w:trPr>
        <w:tc>
          <w:tcPr>
            <w:tcW w:type="dxa" w:w="1534"/>
          </w:tcPr>
          <w:p>
            <w:pPr>
              <w:pStyle w:val="Compact"/>
              <w:spacing w:before="20" w:after="20" w:line="240" w:lineRule="auto"/>
              <w:keepNext/>
            </w:pPr>
            <w:r>
              <w:rPr>
                <w:sz w:val="17"/>
                <w:szCs w:val="17"/>
              </w:rPr>
              <w:t xml:space="preserve">중국(CN)</w:t>
            </w:r>
          </w:p>
        </w:tc>
        <w:tc>
          <w:tcPr>
            <w:tcW w:type="dxa" w:w="1883"/>
          </w:tcPr>
          <w:p>
            <w:pPr>
              <w:pStyle w:val="Compact"/>
              <w:spacing w:before="20" w:after="20" w:line="240" w:lineRule="auto"/>
              <w:jc w:val="center"/>
              <w:keepNext/>
            </w:pPr>
            <w:r>
              <w:rPr>
                <w:sz w:val="17"/>
                <w:szCs w:val="17"/>
              </w:rPr>
              <w:t xml:space="preserve">−1.321*** (0.370)</w:t>
            </w:r>
          </w:p>
        </w:tc>
        <w:tc>
          <w:tcPr>
            <w:tcW w:type="dxa" w:w="1883"/>
          </w:tcPr>
          <w:p>
            <w:pPr>
              <w:pStyle w:val="Compact"/>
              <w:spacing w:before="20" w:after="20" w:line="240" w:lineRule="auto"/>
              <w:jc w:val="center"/>
              <w:keepNext/>
            </w:pPr>
            <w:r>
              <w:rPr>
                <w:sz w:val="17"/>
                <w:szCs w:val="17"/>
              </w:rPr>
              <w:t xml:space="preserve">−1.321*** (0.330)</w:t>
            </w:r>
          </w:p>
        </w:tc>
        <w:tc>
          <w:tcPr>
            <w:tcW w:type="dxa" w:w="1883"/>
          </w:tcPr>
          <w:p>
            <w:pPr>
              <w:pStyle w:val="Compact"/>
              <w:spacing w:before="20" w:after="20" w:line="240" w:lineRule="auto"/>
              <w:jc w:val="center"/>
              <w:keepNext/>
            </w:pPr>
            <w:r>
              <w:rPr>
                <w:sz w:val="17"/>
                <w:szCs w:val="17"/>
              </w:rPr>
              <w:t xml:space="preserve">−0.241*** (0.040)</w:t>
            </w:r>
          </w:p>
        </w:tc>
        <w:tc>
          <w:tcPr>
            <w:tcW w:type="dxa" w:w="1883"/>
          </w:tcPr>
          <w:p>
            <w:pPr>
              <w:pStyle w:val="Compact"/>
              <w:spacing w:before="20" w:after="20" w:line="240" w:lineRule="auto"/>
              <w:jc w:val="center"/>
              <w:keepNext/>
            </w:pPr>
            <w:r>
              <w:rPr>
                <w:sz w:val="17"/>
                <w:szCs w:val="17"/>
              </w:rPr>
              <w:t xml:space="preserve">−0.242*** (0.062)</w:t>
            </w:r>
          </w:p>
        </w:tc>
      </w:tr>
      <w:tr>
        <w:trPr>
          <w:cantSplit/>
        </w:trPr>
        <w:tc>
          <w:tcPr>
            <w:tcW w:type="dxa" w:w="1534"/>
          </w:tcPr>
          <w:p>
            <w:pPr>
              <w:pStyle w:val="Compact"/>
              <w:spacing w:before="20" w:after="20" w:line="240" w:lineRule="auto"/>
              <w:keepNext/>
            </w:pPr>
            <w:r>
              <w:rPr>
                <w:sz w:val="17"/>
                <w:szCs w:val="17"/>
              </w:rPr>
              <w:t xml:space="preserve">한국(KR)</w:t>
            </w:r>
          </w:p>
        </w:tc>
        <w:tc>
          <w:tcPr>
            <w:tcW w:type="dxa" w:w="1883"/>
          </w:tcPr>
          <w:p>
            <w:pPr>
              <w:pStyle w:val="Compact"/>
              <w:spacing w:before="20" w:after="20" w:line="240" w:lineRule="auto"/>
              <w:jc w:val="center"/>
              <w:keepNext/>
            </w:pPr>
            <w:r>
              <w:rPr>
                <w:sz w:val="17"/>
                <w:szCs w:val="17"/>
              </w:rPr>
              <w:t xml:space="preserve">0.089 (0.570)</w:t>
            </w:r>
          </w:p>
        </w:tc>
        <w:tc>
          <w:tcPr>
            <w:tcW w:type="dxa" w:w="1883"/>
          </w:tcPr>
          <w:p>
            <w:pPr>
              <w:pStyle w:val="Compact"/>
              <w:spacing w:before="20" w:after="20" w:line="240" w:lineRule="auto"/>
              <w:jc w:val="center"/>
              <w:keepNext/>
            </w:pPr>
            <w:r>
              <w:rPr>
                <w:sz w:val="17"/>
                <w:szCs w:val="17"/>
              </w:rPr>
              <w:t xml:space="preserve">0.089 (0.630)</w:t>
            </w:r>
          </w:p>
        </w:tc>
        <w:tc>
          <w:tcPr>
            <w:tcW w:type="dxa" w:w="1883"/>
          </w:tcPr>
          <w:p>
            <w:pPr>
              <w:pStyle w:val="Compact"/>
              <w:spacing w:before="20" w:after="20" w:line="240" w:lineRule="auto"/>
              <w:jc w:val="center"/>
              <w:keepNext/>
            </w:pPr>
            <w:r>
              <w:rPr>
                <w:sz w:val="17"/>
                <w:szCs w:val="17"/>
              </w:rPr>
              <w:t xml:space="preserve">0.017 (0.059)</w:t>
            </w:r>
          </w:p>
        </w:tc>
        <w:tc>
          <w:tcPr>
            <w:tcW w:type="dxa" w:w="1883"/>
          </w:tcPr>
          <w:p>
            <w:pPr>
              <w:pStyle w:val="Compact"/>
              <w:spacing w:before="20" w:after="20" w:line="240" w:lineRule="auto"/>
              <w:jc w:val="center"/>
              <w:keepNext/>
            </w:pPr>
            <w:r>
              <w:rPr>
                <w:sz w:val="17"/>
                <w:szCs w:val="17"/>
              </w:rPr>
              <w:t xml:space="preserve">0.017 (0.094)</w:t>
            </w:r>
          </w:p>
        </w:tc>
      </w:tr>
      <w:tr>
        <w:trPr>
          <w:cantSplit/>
        </w:trPr>
        <w:tc>
          <w:tcPr>
            <w:tcW w:type="dxa" w:w="1534"/>
          </w:tcPr>
          <w:p>
            <w:pPr>
              <w:pStyle w:val="Compact"/>
              <w:spacing w:before="20" w:after="20" w:line="240" w:lineRule="auto"/>
              <w:keepNext/>
            </w:pPr>
            <w:r>
              <w:rPr>
                <w:sz w:val="17"/>
                <w:szCs w:val="17"/>
              </w:rPr>
              <w:t xml:space="preserve">대만(TW)</w:t>
            </w:r>
          </w:p>
        </w:tc>
        <w:tc>
          <w:tcPr>
            <w:tcW w:type="dxa" w:w="1883"/>
          </w:tcPr>
          <w:p>
            <w:pPr>
              <w:pStyle w:val="Compact"/>
              <w:spacing w:before="20" w:after="20" w:line="240" w:lineRule="auto"/>
              <w:jc w:val="center"/>
              <w:keepNext/>
            </w:pPr>
            <w:r>
              <w:rPr>
                <w:sz w:val="17"/>
                <w:szCs w:val="17"/>
              </w:rPr>
              <w:t xml:space="preserve">0.102 (0.510)</w:t>
            </w:r>
          </w:p>
        </w:tc>
        <w:tc>
          <w:tcPr>
            <w:tcW w:type="dxa" w:w="1883"/>
          </w:tcPr>
          <w:p>
            <w:pPr>
              <w:pStyle w:val="Compact"/>
              <w:spacing w:before="20" w:after="20" w:line="240" w:lineRule="auto"/>
              <w:jc w:val="center"/>
              <w:keepNext/>
            </w:pPr>
            <w:r>
              <w:rPr>
                <w:sz w:val="17"/>
                <w:szCs w:val="17"/>
              </w:rPr>
              <w:t xml:space="preserve">0.102 (0.544)</w:t>
            </w:r>
          </w:p>
        </w:tc>
        <w:tc>
          <w:tcPr>
            <w:tcW w:type="dxa" w:w="1883"/>
          </w:tcPr>
          <w:p>
            <w:pPr>
              <w:pStyle w:val="Compact"/>
              <w:spacing w:before="20" w:after="20" w:line="240" w:lineRule="auto"/>
              <w:jc w:val="center"/>
              <w:keepNext/>
            </w:pPr>
            <w:r>
              <w:rPr>
                <w:sz w:val="17"/>
                <w:szCs w:val="17"/>
              </w:rPr>
              <w:t xml:space="preserve">0.016 (0.051)</w:t>
            </w:r>
          </w:p>
        </w:tc>
        <w:tc>
          <w:tcPr>
            <w:tcW w:type="dxa" w:w="1883"/>
          </w:tcPr>
          <w:p>
            <w:pPr>
              <w:pStyle w:val="Compact"/>
              <w:spacing w:before="20" w:after="20" w:line="240" w:lineRule="auto"/>
              <w:jc w:val="center"/>
              <w:keepNext/>
            </w:pPr>
            <w:r>
              <w:rPr>
                <w:sz w:val="17"/>
                <w:szCs w:val="17"/>
              </w:rPr>
              <w:t xml:space="preserve">0.021 (0.083)</w:t>
            </w:r>
          </w:p>
        </w:tc>
      </w:tr>
      <w:tr>
        <w:trPr>
          <w:cantSplit/>
        </w:trPr>
        <w:tc>
          <w:tcPr>
            <w:tcW w:type="dxa" w:w="1534"/>
          </w:tcPr>
          <w:p>
            <w:pPr>
              <w:pStyle w:val="Compact"/>
              <w:spacing w:before="20" w:after="20" w:line="240" w:lineRule="auto"/>
              <w:keepNext/>
            </w:pPr>
            <w:r>
              <w:rPr>
                <w:sz w:val="17"/>
                <w:szCs w:val="17"/>
              </w:rPr>
              <w:t xml:space="preserve">일본(JP)</w:t>
            </w:r>
          </w:p>
        </w:tc>
        <w:tc>
          <w:tcPr>
            <w:tcW w:type="dxa" w:w="1883"/>
          </w:tcPr>
          <w:p>
            <w:pPr>
              <w:pStyle w:val="Compact"/>
              <w:spacing w:before="20" w:after="20" w:line="240" w:lineRule="auto"/>
              <w:jc w:val="center"/>
              <w:keepNext/>
            </w:pPr>
            <w:r>
              <w:rPr>
                <w:sz w:val="17"/>
                <w:szCs w:val="17"/>
              </w:rPr>
              <w:t xml:space="preserve">1.737** (0.845)</w:t>
            </w:r>
          </w:p>
        </w:tc>
        <w:tc>
          <w:tcPr>
            <w:tcW w:type="dxa" w:w="1883"/>
          </w:tcPr>
          <w:p>
            <w:pPr>
              <w:pStyle w:val="Compact"/>
              <w:spacing w:before="20" w:after="20" w:line="240" w:lineRule="auto"/>
              <w:jc w:val="center"/>
              <w:keepNext/>
            </w:pPr>
            <w:r>
              <w:rPr>
                <w:sz w:val="17"/>
                <w:szCs w:val="17"/>
              </w:rPr>
              <w:t xml:space="preserve">1.737 (1.328)</w:t>
            </w:r>
          </w:p>
        </w:tc>
        <w:tc>
          <w:tcPr>
            <w:tcW w:type="dxa" w:w="1883"/>
          </w:tcPr>
          <w:p>
            <w:pPr>
              <w:pStyle w:val="Compact"/>
              <w:spacing w:before="20" w:after="20" w:line="240" w:lineRule="auto"/>
              <w:jc w:val="center"/>
              <w:keepNext/>
            </w:pPr>
            <w:r>
              <w:rPr>
                <w:sz w:val="17"/>
                <w:szCs w:val="17"/>
              </w:rPr>
              <w:t xml:space="preserve">0.280*** (0.080)</w:t>
            </w:r>
          </w:p>
        </w:tc>
        <w:tc>
          <w:tcPr>
            <w:tcW w:type="dxa" w:w="1883"/>
          </w:tcPr>
          <w:p>
            <w:pPr>
              <w:pStyle w:val="Compact"/>
              <w:spacing w:before="20" w:after="20" w:line="240" w:lineRule="auto"/>
              <w:jc w:val="center"/>
              <w:keepNext/>
            </w:pPr>
            <w:r>
              <w:rPr>
                <w:sz w:val="17"/>
                <w:szCs w:val="17"/>
              </w:rPr>
              <w:t xml:space="preserve">0.239* (0.133)</w:t>
            </w:r>
          </w:p>
        </w:tc>
      </w:tr>
      <w:tr>
        <w:trPr>
          <w:cantSplit/>
        </w:trPr>
        <w:tc>
          <w:tcPr>
            <w:tcW w:type="dxa" w:w="1534"/>
          </w:tcPr>
          <w:p>
            <w:pPr>
              <w:pStyle w:val="Compact"/>
              <w:spacing w:before="20" w:after="20" w:line="240" w:lineRule="auto"/>
              <w:keepNext/>
            </w:pPr>
            <w:r>
              <w:rPr>
                <w:sz w:val="17"/>
                <w:szCs w:val="17"/>
              </w:rPr>
              <w:t xml:space="preserve">EPO(EP)</w:t>
            </w:r>
          </w:p>
        </w:tc>
        <w:tc>
          <w:tcPr>
            <w:tcW w:type="dxa" w:w="1883"/>
          </w:tcPr>
          <w:p>
            <w:pPr>
              <w:pStyle w:val="Compact"/>
              <w:spacing w:before="20" w:after="20" w:line="240" w:lineRule="auto"/>
              <w:jc w:val="center"/>
              <w:keepNext/>
            </w:pPr>
            <w:r>
              <w:rPr>
                <w:sz w:val="17"/>
                <w:szCs w:val="17"/>
              </w:rPr>
              <w:t xml:space="preserve">−0.032 (0.487)</w:t>
            </w:r>
          </w:p>
        </w:tc>
        <w:tc>
          <w:tcPr>
            <w:tcW w:type="dxa" w:w="1883"/>
          </w:tcPr>
          <w:p>
            <w:pPr>
              <w:pStyle w:val="Compact"/>
              <w:spacing w:before="20" w:after="20" w:line="240" w:lineRule="auto"/>
              <w:jc w:val="center"/>
              <w:keepNext/>
            </w:pPr>
            <w:r>
              <w:rPr>
                <w:sz w:val="17"/>
                <w:szCs w:val="17"/>
              </w:rPr>
              <w:t xml:space="preserve">−0.032 (0.453)</w:t>
            </w:r>
          </w:p>
        </w:tc>
        <w:tc>
          <w:tcPr>
            <w:tcW w:type="dxa" w:w="1883"/>
          </w:tcPr>
          <w:p>
            <w:pPr>
              <w:pStyle w:val="Compact"/>
              <w:spacing w:before="20" w:after="20" w:line="240" w:lineRule="auto"/>
              <w:jc w:val="center"/>
              <w:keepNext/>
            </w:pPr>
            <w:r>
              <w:rPr>
                <w:sz w:val="17"/>
                <w:szCs w:val="17"/>
              </w:rPr>
              <w:t xml:space="preserve">−0.005 (0.050)</w:t>
            </w:r>
          </w:p>
        </w:tc>
        <w:tc>
          <w:tcPr>
            <w:tcW w:type="dxa" w:w="1883"/>
          </w:tcPr>
          <w:p>
            <w:pPr>
              <w:pStyle w:val="Compact"/>
              <w:spacing w:before="20" w:after="20" w:line="240" w:lineRule="auto"/>
              <w:jc w:val="center"/>
              <w:keepNext/>
            </w:pPr>
            <w:r>
              <w:rPr>
                <w:sz w:val="17"/>
                <w:szCs w:val="17"/>
              </w:rPr>
              <w:t xml:space="preserve">−0.007 (0.080)</w:t>
            </w:r>
          </w:p>
        </w:tc>
      </w:tr>
      <w:tr>
        <w:trPr>
          <w:cantSplit/>
        </w:trPr>
        <w:tc>
          <w:tcPr>
            <w:tcW w:type="dxa" w:w="1534"/>
          </w:tcPr>
          <w:p>
            <w:pPr>
              <w:pStyle w:val="Compact"/>
              <w:spacing w:before="20" w:after="20" w:line="240" w:lineRule="auto"/>
              <w:keepNext/>
            </w:pPr>
            <w:r>
              <w:rPr>
                <w:sz w:val="17"/>
                <w:szCs w:val="17"/>
              </w:rPr>
              <w:t xml:space="preserve">PCT(WO)</w:t>
            </w:r>
          </w:p>
        </w:tc>
        <w:tc>
          <w:tcPr>
            <w:tcW w:type="dxa" w:w="1883"/>
          </w:tcPr>
          <w:p>
            <w:pPr>
              <w:pStyle w:val="Compact"/>
              <w:spacing w:before="20" w:after="20" w:line="240" w:lineRule="auto"/>
              <w:jc w:val="center"/>
              <w:keepNext/>
            </w:pPr>
            <w:r>
              <w:rPr>
                <w:sz w:val="17"/>
                <w:szCs w:val="17"/>
              </w:rPr>
              <w:t xml:space="preserve">−1.071** (0.432)</w:t>
            </w:r>
          </w:p>
        </w:tc>
        <w:tc>
          <w:tcPr>
            <w:tcW w:type="dxa" w:w="1883"/>
          </w:tcPr>
          <w:p>
            <w:pPr>
              <w:pStyle w:val="Compact"/>
              <w:spacing w:before="20" w:after="20" w:line="240" w:lineRule="auto"/>
              <w:jc w:val="center"/>
              <w:keepNext/>
            </w:pPr>
            <w:r>
              <w:rPr>
                <w:sz w:val="17"/>
                <w:szCs w:val="17"/>
              </w:rPr>
              <w:t xml:space="preserve">−1.071*** (0.399)</w:t>
            </w:r>
          </w:p>
        </w:tc>
        <w:tc>
          <w:tcPr>
            <w:tcW w:type="dxa" w:w="1883"/>
          </w:tcPr>
          <w:p>
            <w:pPr>
              <w:pStyle w:val="Compact"/>
              <w:spacing w:before="20" w:after="20" w:line="240" w:lineRule="auto"/>
              <w:jc w:val="center"/>
              <w:keepNext/>
            </w:pPr>
            <w:r>
              <w:rPr>
                <w:sz w:val="17"/>
                <w:szCs w:val="17"/>
              </w:rPr>
              <w:t xml:space="preserve">−0.193*** (0.047)</w:t>
            </w:r>
          </w:p>
        </w:tc>
        <w:tc>
          <w:tcPr>
            <w:tcW w:type="dxa" w:w="1883"/>
          </w:tcPr>
          <w:p>
            <w:pPr>
              <w:pStyle w:val="Compact"/>
              <w:spacing w:before="20" w:after="20" w:line="240" w:lineRule="auto"/>
              <w:jc w:val="center"/>
              <w:keepNext/>
            </w:pPr>
            <w:r>
              <w:rPr>
                <w:sz w:val="17"/>
                <w:szCs w:val="17"/>
              </w:rPr>
              <w:t xml:space="preserve">−0.191*** (0.073)</w:t>
            </w:r>
          </w:p>
        </w:tc>
      </w:tr>
      <w:tr>
        <w:trPr>
          <w:cantSplit/>
        </w:trPr>
        <w:tc>
          <w:tcPr>
            <w:tcW w:type="dxa" w:w="1534"/>
          </w:tcPr>
          <w:p>
            <w:pPr>
              <w:pStyle w:val="Compact"/>
              <w:spacing w:before="20" w:after="20" w:line="240" w:lineRule="auto"/>
              <w:keepNext/>
            </w:pPr>
            <w:r>
              <w:rPr>
                <w:sz w:val="17"/>
                <w:szCs w:val="17"/>
              </w:rPr>
              <w:t xml:space="preserve">기타</w:t>
            </w:r>
          </w:p>
        </w:tc>
        <w:tc>
          <w:tcPr>
            <w:tcW w:type="dxa" w:w="1883"/>
          </w:tcPr>
          <w:p>
            <w:pPr>
              <w:pStyle w:val="Compact"/>
              <w:spacing w:before="20" w:after="20" w:line="240" w:lineRule="auto"/>
              <w:jc w:val="center"/>
              <w:keepNext/>
            </w:pPr>
            <w:r>
              <w:rPr>
                <w:sz w:val="17"/>
                <w:szCs w:val="17"/>
              </w:rPr>
              <w:t xml:space="preserve">0.124 (1.029)</w:t>
            </w:r>
          </w:p>
        </w:tc>
        <w:tc>
          <w:tcPr>
            <w:tcW w:type="dxa" w:w="1883"/>
          </w:tcPr>
          <w:p>
            <w:pPr>
              <w:pStyle w:val="Compact"/>
              <w:spacing w:before="20" w:after="20" w:line="240" w:lineRule="auto"/>
              <w:jc w:val="center"/>
              <w:keepNext/>
            </w:pPr>
            <w:r>
              <w:rPr>
                <w:sz w:val="17"/>
                <w:szCs w:val="17"/>
              </w:rPr>
              <w:t xml:space="preserve">0.124 (1.556)</w:t>
            </w:r>
          </w:p>
        </w:tc>
        <w:tc>
          <w:tcPr>
            <w:tcW w:type="dxa" w:w="1883"/>
          </w:tcPr>
          <w:p>
            <w:pPr>
              <w:pStyle w:val="Compact"/>
              <w:spacing w:before="20" w:after="20" w:line="240" w:lineRule="auto"/>
              <w:jc w:val="center"/>
              <w:keepNext/>
            </w:pPr>
            <w:r>
              <w:rPr>
                <w:sz w:val="17"/>
                <w:szCs w:val="17"/>
              </w:rPr>
              <w:t xml:space="preserve">0.024 (0.106)</w:t>
            </w:r>
          </w:p>
        </w:tc>
        <w:tc>
          <w:tcPr>
            <w:tcW w:type="dxa" w:w="1883"/>
          </w:tcPr>
          <w:p>
            <w:pPr>
              <w:pStyle w:val="Compact"/>
              <w:spacing w:before="20" w:after="20" w:line="240" w:lineRule="auto"/>
              <w:jc w:val="center"/>
              <w:keepNext/>
            </w:pPr>
            <w:r>
              <w:rPr>
                <w:sz w:val="17"/>
                <w:szCs w:val="17"/>
              </w:rPr>
              <w:t xml:space="preserve">0.056 (0.171)</w:t>
            </w:r>
          </w:p>
        </w:tc>
      </w:tr>
      <w:tr>
        <w:trPr>
          <w:cantSplit/>
        </w:trPr>
        <w:tc>
          <w:tcPr>
            <w:tcW w:type="dxa" w:w="1534"/>
          </w:tcPr>
          <w:p>
            <w:pPr>
              <w:pStyle w:val="Compact"/>
              <w:spacing w:before="20" w:after="20" w:line="240" w:lineRule="auto"/>
              <w:keepNext/>
            </w:pPr>
            <w:r>
              <w:rPr>
                <w:sz w:val="17"/>
                <w:szCs w:val="17"/>
              </w:rPr>
              <w:t xml:space="preserve">상수</w:t>
            </w:r>
          </w:p>
        </w:tc>
        <w:tc>
          <w:tcPr>
            <w:tcW w:type="dxa" w:w="1883"/>
          </w:tcPr>
          <w:p>
            <w:pPr>
              <w:pStyle w:val="Compact"/>
              <w:spacing w:before="20" w:after="20" w:line="240" w:lineRule="auto"/>
              <w:jc w:val="center"/>
              <w:keepNext/>
            </w:pPr>
            <w:r>
              <w:rPr>
                <w:sz w:val="17"/>
                <w:szCs w:val="17"/>
              </w:rPr>
              <w:t xml:space="preserve">2.506*** (0.944)</w:t>
            </w:r>
          </w:p>
        </w:tc>
        <w:tc>
          <w:tcPr>
            <w:tcW w:type="dxa" w:w="1883"/>
          </w:tcPr>
          <w:p>
            <w:pPr>
              <w:pStyle w:val="Compact"/>
              <w:spacing w:before="20" w:after="20" w:line="240" w:lineRule="auto"/>
              <w:jc w:val="center"/>
              <w:keepNext/>
            </w:pPr>
            <w:r>
              <w:rPr>
                <w:sz w:val="17"/>
                <w:szCs w:val="17"/>
              </w:rPr>
              <w:t xml:space="preserve">2.506** (1.046)</w:t>
            </w:r>
          </w:p>
        </w:tc>
        <w:tc>
          <w:tcPr>
            <w:tcW w:type="dxa" w:w="1883"/>
          </w:tcPr>
          <w:p>
            <w:pPr>
              <w:pStyle w:val="Compact"/>
              <w:spacing w:before="20" w:after="20" w:line="240" w:lineRule="auto"/>
              <w:jc w:val="center"/>
              <w:keepNext/>
            </w:pPr>
            <w:r>
              <w:rPr>
                <w:sz w:val="17"/>
                <w:szCs w:val="17"/>
              </w:rPr>
              <w:t xml:space="preserve">1.143*** (0.107)</w:t>
            </w:r>
          </w:p>
        </w:tc>
        <w:tc>
          <w:tcPr>
            <w:tcW w:type="dxa" w:w="1883"/>
          </w:tcPr>
          <w:p>
            <w:pPr>
              <w:pStyle w:val="Compact"/>
              <w:spacing w:before="20" w:after="20" w:line="240" w:lineRule="auto"/>
              <w:jc w:val="center"/>
              <w:keepNext/>
            </w:pPr>
            <w:r>
              <w:rPr>
                <w:sz w:val="17"/>
                <w:szCs w:val="17"/>
              </w:rPr>
              <w:t xml:space="preserve">1.069*** (0.175)</w:t>
            </w:r>
          </w:p>
        </w:tc>
      </w:tr>
      <w:tr>
        <w:trPr>
          <w:cantSplit/>
        </w:trPr>
        <w:tc>
          <w:tcPr>
            <w:tcW w:type="dxa" w:w="1534"/>
          </w:tcPr>
          <w:p>
            <w:pPr>
              <w:pStyle w:val="Compact"/>
              <w:spacing w:before="20" w:after="20" w:line="240" w:lineRule="auto"/>
              <w:keepNext/>
            </w:pPr>
            <w:r>
              <w:rPr>
                <w:sz w:val="17"/>
                <w:szCs w:val="17"/>
              </w:rPr>
              <w:t xml:space="preserve">ln(α)</w:t>
            </w: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keepNext/>
            </w:pPr>
          </w:p>
        </w:tc>
        <w:tc>
          <w:tcPr>
            <w:tcW w:type="dxa" w:w="1883"/>
          </w:tcPr>
          <w:p>
            <w:pPr>
              <w:pStyle w:val="Compact"/>
              <w:spacing w:before="20" w:after="20" w:line="240" w:lineRule="auto"/>
              <w:jc w:val="center"/>
              <w:keepNext/>
            </w:pPr>
            <w:r>
              <w:rPr>
                <w:sz w:val="17"/>
                <w:szCs w:val="17"/>
              </w:rPr>
              <w:t xml:space="preserve">−1.316 (0.076)</w:t>
            </w:r>
          </w:p>
        </w:tc>
      </w:tr>
      <w:tr>
        <w:trPr>
          <w:cantSplit/>
        </w:trPr>
        <w:tc>
          <w:tcPr>
            <w:tcW w:type="dxa" w:w="1534"/>
          </w:tcPr>
          <w:p>
            <w:pPr>
              <w:pStyle w:val="Compact"/>
              <w:spacing w:before="20" w:after="20" w:line="240" w:lineRule="auto"/>
              <w:keepNext/>
            </w:pPr>
            <w:r>
              <w:rPr>
                <w:sz w:val="17"/>
                <w:szCs w:val="17"/>
              </w:rPr>
              <w:t xml:space="preserve">R²</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0.033</w:t>
            </w:r>
          </w:p>
        </w:tc>
        <w:tc>
          <w:tcPr>
            <w:tcW w:type="dxa" w:w="1883"/>
          </w:tcPr>
          <w:p>
            <w:pPr>
              <w:pStyle w:val="Compact"/>
              <w:spacing w:before="20" w:after="20" w:line="240" w:lineRule="auto"/>
              <w:jc w:val="center"/>
              <w:keepNext/>
            </w:pPr>
            <w:r>
              <w:rPr>
                <w:sz w:val="17"/>
                <w:szCs w:val="17"/>
              </w:rPr>
              <w:t xml:space="preserve">—</w:t>
            </w:r>
          </w:p>
        </w:tc>
        <w:tc>
          <w:tcPr>
            <w:tcW w:type="dxa" w:w="1883"/>
          </w:tcPr>
          <w:p>
            <w:pPr>
              <w:pStyle w:val="Compact"/>
              <w:spacing w:before="20" w:after="20" w:line="240" w:lineRule="auto"/>
              <w:jc w:val="center"/>
              <w:keepNext/>
            </w:pPr>
            <w:r>
              <w:rPr>
                <w:sz w:val="17"/>
                <w:szCs w:val="17"/>
              </w:rPr>
              <w:t xml:space="preserve">—</w:t>
            </w:r>
          </w:p>
        </w:tc>
      </w:tr>
      <w:tr>
        <w:trPr>
          <w:cantSplit/>
        </w:trPr>
        <w:tc>
          <w:tcPr>
            <w:tcW w:type="dxa" w:w="1534"/>
          </w:tcPr>
          <w:p>
            <w:pPr>
              <w:pStyle w:val="Compact"/>
              <w:spacing w:before="20" w:after="20" w:line="240" w:lineRule="auto"/>
              <w:keepNext/>
            </w:pPr>
            <w:r>
              <w:rPr>
                <w:sz w:val="17"/>
                <w:szCs w:val="17"/>
              </w:rPr>
              <w:t xml:space="preserve">AIC</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5,224.9</w:t>
            </w:r>
          </w:p>
        </w:tc>
        <w:tc>
          <w:tcPr>
            <w:tcW w:type="dxa" w:w="1883"/>
          </w:tcPr>
          <w:p>
            <w:pPr>
              <w:pStyle w:val="Compact"/>
              <w:spacing w:before="20" w:after="20" w:line="240" w:lineRule="auto"/>
              <w:jc w:val="center"/>
              <w:keepNext/>
            </w:pPr>
            <w:r>
              <w:rPr>
                <w:sz w:val="17"/>
                <w:szCs w:val="17"/>
              </w:rPr>
              <w:t xml:space="preserve">5,477.2</w:t>
            </w:r>
          </w:p>
        </w:tc>
        <w:tc>
          <w:tcPr>
            <w:tcW w:type="dxa" w:w="1883"/>
          </w:tcPr>
          <w:p>
            <w:pPr>
              <w:pStyle w:val="Compact"/>
              <w:spacing w:before="20" w:after="20" w:line="240" w:lineRule="auto"/>
              <w:jc w:val="center"/>
              <w:keepNext/>
            </w:pPr>
            <w:r>
              <w:rPr>
                <w:sz w:val="17"/>
                <w:szCs w:val="17"/>
              </w:rPr>
              <w:t xml:space="preserve">4,883.0</w:t>
            </w:r>
          </w:p>
        </w:tc>
      </w:tr>
    </w:tbl>
    <w:p>
      <w:pPr>
        <w:pStyle w:val="BodyText"/>
        <w:keepNext/>
      </w:pPr>
      <w:r>
        <w:drawing>
          <wp:inline>
            <wp:extent cx="5334000" cy="3446584"/>
            <wp:effectExtent b="0" l="0" r="0" t="0"/>
            <wp:docPr descr="" title="" id="29" name="Picture"/>
            <a:graphic>
              <a:graphicData uri="http://schemas.openxmlformats.org/drawingml/2006/picture">
                <pic:pic>
                  <pic:nvPicPr>
                    <pic:cNvPr descr="figures/fig3_ols_residuals_ko.png" id="30" name="Picture"/>
                    <pic:cNvPicPr>
                      <a:picLocks noChangeArrowheads="1" noChangeAspect="1"/>
                    </pic:cNvPicPr>
                  </pic:nvPicPr>
                  <pic:blipFill>
                    <a:blip r:embed="rId28"/>
                    <a:stretch>
                      <a:fillRect/>
                    </a:stretch>
                  </pic:blipFill>
                  <pic:spPr bwMode="auto">
                    <a:xfrm>
                      <a:off x="0" y="0"/>
                      <a:ext cx="5334000" cy="3446584"/>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OLS 잔차–적합값 도표(N = 928).</w:t>
      </w:r>
    </w:p>
    <w:p>
      <w:pPr>
        <w:pStyle w:val="BodyText"/>
      </w:pPr>
      <w:r>
        <w:t xml:space="preserve">세 가지 패턴이 확인된다. 첫째, 전 기간 선형 추세의 발생률비(IRR)는 1.015로 서브그룹 수가 연간 약 1.5%씩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1.018), 대만(1.021), EPO(0.993)는 미국 기준과 구분되지 않는다. 그림 4는 모형이 함의하는 출원청별 예측 기술범위를 도시한다. 일본 출원청 계수는 10% 수준에서만 유의하고 이분산 로버스트 표준오차에서는 유의하지 않으므로 H3b의 범위 성분은 약한 증거에 그치며(제5.4절), 중국 출원청 출원의 범위가 좁다는 결과는 H3a의 범위 성분을 지지하고 추격 해석과 들어맞는다.</w:t>
      </w:r>
    </w:p>
    <w:p>
      <w:pPr>
        <w:pStyle w:val="BodyText"/>
        <w:keepNext/>
      </w:pPr>
      <w:r>
        <w:drawing>
          <wp:inline>
            <wp:extent cx="5334000" cy="3048000"/>
            <wp:effectExtent b="0" l="0" r="0" t="0"/>
            <wp:docPr descr="" title="" id="32" name="Picture"/>
            <a:graphic>
              <a:graphicData uri="http://schemas.openxmlformats.org/drawingml/2006/picture">
                <pic:pic>
                  <pic:nvPicPr>
                    <pic:cNvPr descr="figures/fig4_predicted_breadth_ko.png" id="33" name="Picture"/>
                    <pic:cNvPicPr>
                      <a:picLocks noChangeArrowheads="1" noChangeAspect="1"/>
                    </pic:cNvPicPr>
                  </pic:nvPicPr>
                  <pic:blipFill>
                    <a:blip r:embed="rId31"/>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예측 기술범위(음이항; 출원연도는 표본 평균 yc = 49.7(2017.7년)에 고정; 델타법 95% 신뢰구간).</w:t>
      </w:r>
    </w:p>
    <w:bookmarkEnd w:id="34"/>
    <w:bookmarkStart w:id="38" w:name="전공정-지향-이항-로짓"/>
    <w:p>
      <w:pPr>
        <w:pStyle w:val="Heading3"/>
      </w:pPr>
      <w:r>
        <w:t xml:space="preserve">5.2 전공정 지향: 이항 로짓</w:t>
      </w:r>
    </w:p>
    <w:p>
      <w:pPr>
        <w:pStyle w:val="FirstParagraph"/>
      </w:pPr>
      <w:r>
        <w:t xml:space="preserve">표 5는 전공정 지향(has_process)에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전공정 지향 출원의 비중이 감소한 것으로 해석된다. 출원청 중에서는 중국 출원청만 미국 기준과 유의하게 다르며, 전공정 기술을 청구할 승산이 65% 높다(OR 1.650, p &lt; 0.05). 이는 H3a를 지지한다. 일본 출원청의 승산비는 1 미만(0.483)이지만 26건에 기반하므로 추정이 부정확하다. 표본 내 ROC 곡선 하면적은 0.707로, Hosmer et al.(2013)의 기준(0.7–0.8)에서 받아들일 만한(acceptable) 판별력의 하한에 해당한다(그림 5).</w:t>
      </w:r>
    </w:p>
    <w:p>
      <w:pPr>
        <w:pStyle w:val="BodyText"/>
        <w:keepNext/>
      </w:pPr>
      <w:r>
        <w:rPr>
          <w:b/>
          <w:bCs/>
        </w:rPr>
        <w:t xml:space="preserve">표 5.</w:t>
      </w:r>
      <w:r>
        <w:t xml:space="preserve"> </w:t>
      </w:r>
      <w:r>
        <w:t xml:space="preserve">전공정 지향의 이항 로짓(has_process = H01L21 기호 보유 시 1; 출원청 기준 = 미국). 승산비; 괄호 안은 델타법으로 계산한 승산비의 표준오차(유의성은 로그 승산비의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3990"/>
        <w:gridCol w:w="2176"/>
        <w:gridCol w:w="2902"/>
      </w:tblGrid>
      <w:tr>
        <w:trPr>
          <w:tblHeader w:val="on"/>
          <w:cantSplit/>
        </w:trPr>
        <w:tc>
          <w:tcPr>
            <w:tcW w:type="dxa" w:w="3990"/>
            <w:tcBorders>
              <w:bottom w:val="single" w:sz="4" w:space="0" w:color="000000"/>
            </w:tcBorders>
          </w:tcPr>
          <w:p>
            <w:pPr>
              <w:pStyle w:val="Compact"/>
              <w:spacing w:before="20" w:after="20" w:line="240" w:lineRule="auto"/>
              <w:keepNext/>
            </w:pPr>
          </w:p>
        </w:tc>
        <w:tc>
          <w:tcPr>
            <w:tcW w:type="dxa" w:w="2176"/>
            <w:tcBorders>
              <w:bottom w:val="single" w:sz="4" w:space="0" w:color="000000"/>
            </w:tcBorders>
          </w:tcPr>
          <w:p>
            <w:pPr>
              <w:pStyle w:val="Compact"/>
              <w:spacing w:before="20" w:after="20" w:line="240" w:lineRule="auto"/>
              <w:jc w:val="center"/>
              <w:keepNext/>
            </w:pPr>
            <w:r>
              <w:rPr>
                <w:sz w:val="18"/>
                <w:szCs w:val="18"/>
              </w:rPr>
              <w:t xml:space="preserve">승산비</w:t>
            </w:r>
          </w:p>
        </w:tc>
        <w:tc>
          <w:tcPr>
            <w:tcW w:type="dxa" w:w="2902"/>
            <w:tcBorders>
              <w:bottom w:val="single" w:sz="4" w:space="0" w:color="000000"/>
            </w:tcBorders>
          </w:tcPr>
          <w:p>
            <w:pPr>
              <w:pStyle w:val="Compact"/>
              <w:spacing w:before="20" w:after="20" w:line="240" w:lineRule="auto"/>
              <w:jc w:val="center"/>
              <w:keepNext/>
            </w:pPr>
            <w:r>
              <w:rPr>
                <w:sz w:val="18"/>
                <w:szCs w:val="18"/>
              </w:rPr>
              <w:t xml:space="preserve">표준오차</w:t>
            </w:r>
          </w:p>
        </w:tc>
      </w:tr>
      <w:tr>
        <w:trPr>
          <w:cantSplit/>
        </w:trPr>
        <w:tc>
          <w:tcPr>
            <w:tcW w:type="dxa" w:w="3990"/>
          </w:tcPr>
          <w:p>
            <w:pPr>
              <w:pStyle w:val="Compact"/>
              <w:spacing w:before="20" w:after="20" w:line="240" w:lineRule="auto"/>
              <w:keepNext/>
            </w:pPr>
            <w:r>
              <w:rPr>
                <w:sz w:val="18"/>
                <w:szCs w:val="18"/>
              </w:rPr>
              <w:t xml:space="preserve">출원연도(yc)</w:t>
            </w:r>
          </w:p>
        </w:tc>
        <w:tc>
          <w:tcPr>
            <w:tcW w:type="dxa" w:w="2176"/>
          </w:tcPr>
          <w:p>
            <w:pPr>
              <w:pStyle w:val="Compact"/>
              <w:spacing w:before="20" w:after="20" w:line="240" w:lineRule="auto"/>
              <w:jc w:val="center"/>
              <w:keepNext/>
            </w:pPr>
            <w:r>
              <w:rPr>
                <w:sz w:val="18"/>
                <w:szCs w:val="18"/>
              </w:rPr>
              <w:t xml:space="preserve">0.946***</w:t>
            </w:r>
          </w:p>
        </w:tc>
        <w:tc>
          <w:tcPr>
            <w:tcW w:type="dxa" w:w="2902"/>
          </w:tcPr>
          <w:p>
            <w:pPr>
              <w:pStyle w:val="Compact"/>
              <w:spacing w:before="20" w:after="20" w:line="240" w:lineRule="auto"/>
              <w:jc w:val="center"/>
              <w:keepNext/>
            </w:pPr>
            <w:r>
              <w:rPr>
                <w:sz w:val="18"/>
                <w:szCs w:val="18"/>
              </w:rPr>
              <w:t xml:space="preserve">(0.011)</w:t>
            </w:r>
          </w:p>
        </w:tc>
      </w:tr>
      <w:tr>
        <w:trPr>
          <w:cantSplit/>
        </w:trPr>
        <w:tc>
          <w:tcPr>
            <w:tcW w:type="dxa" w:w="3990"/>
          </w:tcPr>
          <w:p>
            <w:pPr>
              <w:pStyle w:val="Compact"/>
              <w:spacing w:before="20" w:after="20" w:line="240" w:lineRule="auto"/>
              <w:keepNext/>
            </w:pPr>
            <w:r>
              <w:rPr>
                <w:sz w:val="18"/>
                <w:szCs w:val="18"/>
              </w:rPr>
              <w:t xml:space="preserve">기술범위</w:t>
            </w:r>
          </w:p>
        </w:tc>
        <w:tc>
          <w:tcPr>
            <w:tcW w:type="dxa" w:w="2176"/>
          </w:tcPr>
          <w:p>
            <w:pPr>
              <w:pStyle w:val="Compact"/>
              <w:spacing w:before="20" w:after="20" w:line="240" w:lineRule="auto"/>
              <w:jc w:val="center"/>
              <w:keepNext/>
            </w:pPr>
            <w:r>
              <w:rPr>
                <w:sz w:val="18"/>
                <w:szCs w:val="18"/>
              </w:rPr>
              <w:t xml:space="preserve">1.267***</w:t>
            </w:r>
          </w:p>
        </w:tc>
        <w:tc>
          <w:tcPr>
            <w:tcW w:type="dxa" w:w="2902"/>
          </w:tcPr>
          <w:p>
            <w:pPr>
              <w:pStyle w:val="Compact"/>
              <w:spacing w:before="20" w:after="20" w:line="240" w:lineRule="auto"/>
              <w:jc w:val="center"/>
              <w:keepNext/>
            </w:pPr>
            <w:r>
              <w:rPr>
                <w:sz w:val="18"/>
                <w:szCs w:val="18"/>
              </w:rPr>
              <w:t xml:space="preserve">(0.034)</w:t>
            </w:r>
          </w:p>
        </w:tc>
      </w:tr>
      <w:tr>
        <w:trPr>
          <w:cantSplit/>
        </w:trPr>
        <w:tc>
          <w:tcPr>
            <w:tcW w:type="dxa" w:w="3990"/>
          </w:tcPr>
          <w:p>
            <w:pPr>
              <w:pStyle w:val="Compact"/>
              <w:spacing w:before="20" w:after="20" w:line="240" w:lineRule="auto"/>
              <w:keepNext/>
            </w:pPr>
            <w:r>
              <w:rPr>
                <w:sz w:val="18"/>
                <w:szCs w:val="18"/>
              </w:rPr>
              <w:t xml:space="preserve">중국(CN)</w:t>
            </w:r>
          </w:p>
        </w:tc>
        <w:tc>
          <w:tcPr>
            <w:tcW w:type="dxa" w:w="2176"/>
          </w:tcPr>
          <w:p>
            <w:pPr>
              <w:pStyle w:val="Compact"/>
              <w:spacing w:before="20" w:after="20" w:line="240" w:lineRule="auto"/>
              <w:jc w:val="center"/>
              <w:keepNext/>
            </w:pPr>
            <w:r>
              <w:rPr>
                <w:sz w:val="18"/>
                <w:szCs w:val="18"/>
              </w:rPr>
              <w:t xml:space="preserve">1.650**</w:t>
            </w:r>
          </w:p>
        </w:tc>
        <w:tc>
          <w:tcPr>
            <w:tcW w:type="dxa" w:w="2902"/>
          </w:tcPr>
          <w:p>
            <w:pPr>
              <w:pStyle w:val="Compact"/>
              <w:spacing w:before="20" w:after="20" w:line="240" w:lineRule="auto"/>
              <w:jc w:val="center"/>
              <w:keepNext/>
            </w:pPr>
            <w:r>
              <w:rPr>
                <w:sz w:val="18"/>
                <w:szCs w:val="18"/>
              </w:rPr>
              <w:t xml:space="preserve">(0.338)</w:t>
            </w:r>
          </w:p>
        </w:tc>
      </w:tr>
      <w:tr>
        <w:trPr>
          <w:cantSplit/>
        </w:trPr>
        <w:tc>
          <w:tcPr>
            <w:tcW w:type="dxa" w:w="3990"/>
          </w:tcPr>
          <w:p>
            <w:pPr>
              <w:pStyle w:val="Compact"/>
              <w:spacing w:before="20" w:after="20" w:line="240" w:lineRule="auto"/>
              <w:keepNext/>
            </w:pPr>
            <w:r>
              <w:rPr>
                <w:sz w:val="18"/>
                <w:szCs w:val="18"/>
              </w:rPr>
              <w:t xml:space="preserve">한국(KR)</w:t>
            </w:r>
          </w:p>
        </w:tc>
        <w:tc>
          <w:tcPr>
            <w:tcW w:type="dxa" w:w="2176"/>
          </w:tcPr>
          <w:p>
            <w:pPr>
              <w:pStyle w:val="Compact"/>
              <w:spacing w:before="20" w:after="20" w:line="240" w:lineRule="auto"/>
              <w:jc w:val="center"/>
              <w:keepNext/>
            </w:pPr>
            <w:r>
              <w:rPr>
                <w:sz w:val="18"/>
                <w:szCs w:val="18"/>
              </w:rPr>
              <w:t xml:space="preserve">1.430</w:t>
            </w:r>
          </w:p>
        </w:tc>
        <w:tc>
          <w:tcPr>
            <w:tcW w:type="dxa" w:w="2902"/>
          </w:tcPr>
          <w:p>
            <w:pPr>
              <w:pStyle w:val="Compact"/>
              <w:spacing w:before="20" w:after="20" w:line="240" w:lineRule="auto"/>
              <w:jc w:val="center"/>
              <w:keepNext/>
            </w:pPr>
            <w:r>
              <w:rPr>
                <w:sz w:val="18"/>
                <w:szCs w:val="18"/>
              </w:rPr>
              <w:t xml:space="preserve">(0.467)</w:t>
            </w:r>
          </w:p>
        </w:tc>
      </w:tr>
      <w:tr>
        <w:trPr>
          <w:cantSplit/>
        </w:trPr>
        <w:tc>
          <w:tcPr>
            <w:tcW w:type="dxa" w:w="3990"/>
          </w:tcPr>
          <w:p>
            <w:pPr>
              <w:pStyle w:val="Compact"/>
              <w:spacing w:before="20" w:after="20" w:line="240" w:lineRule="auto"/>
              <w:keepNext/>
            </w:pPr>
            <w:r>
              <w:rPr>
                <w:sz w:val="18"/>
                <w:szCs w:val="18"/>
              </w:rPr>
              <w:t xml:space="preserve">대만(TW)</w:t>
            </w:r>
          </w:p>
        </w:tc>
        <w:tc>
          <w:tcPr>
            <w:tcW w:type="dxa" w:w="2176"/>
          </w:tcPr>
          <w:p>
            <w:pPr>
              <w:pStyle w:val="Compact"/>
              <w:spacing w:before="20" w:after="20" w:line="240" w:lineRule="auto"/>
              <w:jc w:val="center"/>
              <w:keepNext/>
            </w:pPr>
            <w:r>
              <w:rPr>
                <w:sz w:val="18"/>
                <w:szCs w:val="18"/>
              </w:rPr>
              <w:t xml:space="preserve">1.555</w:t>
            </w:r>
          </w:p>
        </w:tc>
        <w:tc>
          <w:tcPr>
            <w:tcW w:type="dxa" w:w="2902"/>
          </w:tcPr>
          <w:p>
            <w:pPr>
              <w:pStyle w:val="Compact"/>
              <w:spacing w:before="20" w:after="20" w:line="240" w:lineRule="auto"/>
              <w:jc w:val="center"/>
              <w:keepNext/>
            </w:pPr>
            <w:r>
              <w:rPr>
                <w:sz w:val="18"/>
                <w:szCs w:val="18"/>
              </w:rPr>
              <w:t xml:space="preserve">(0.451)</w:t>
            </w:r>
          </w:p>
        </w:tc>
      </w:tr>
      <w:tr>
        <w:trPr>
          <w:cantSplit/>
        </w:trPr>
        <w:tc>
          <w:tcPr>
            <w:tcW w:type="dxa" w:w="3990"/>
          </w:tcPr>
          <w:p>
            <w:pPr>
              <w:pStyle w:val="Compact"/>
              <w:spacing w:before="20" w:after="20" w:line="240" w:lineRule="auto"/>
              <w:keepNext/>
            </w:pPr>
            <w:r>
              <w:rPr>
                <w:sz w:val="18"/>
                <w:szCs w:val="18"/>
              </w:rPr>
              <w:t xml:space="preserve">일본(JP)</w:t>
            </w:r>
          </w:p>
        </w:tc>
        <w:tc>
          <w:tcPr>
            <w:tcW w:type="dxa" w:w="2176"/>
          </w:tcPr>
          <w:p>
            <w:pPr>
              <w:pStyle w:val="Compact"/>
              <w:spacing w:before="20" w:after="20" w:line="240" w:lineRule="auto"/>
              <w:jc w:val="center"/>
              <w:keepNext/>
            </w:pPr>
            <w:r>
              <w:rPr>
                <w:sz w:val="18"/>
                <w:szCs w:val="18"/>
              </w:rPr>
              <w:t xml:space="preserve">0.483</w:t>
            </w:r>
          </w:p>
        </w:tc>
        <w:tc>
          <w:tcPr>
            <w:tcW w:type="dxa" w:w="2902"/>
          </w:tcPr>
          <w:p>
            <w:pPr>
              <w:pStyle w:val="Compact"/>
              <w:spacing w:before="20" w:after="20" w:line="240" w:lineRule="auto"/>
              <w:jc w:val="center"/>
              <w:keepNext/>
            </w:pPr>
            <w:r>
              <w:rPr>
                <w:sz w:val="18"/>
                <w:szCs w:val="18"/>
              </w:rPr>
              <w:t xml:space="preserve">(0.233)</w:t>
            </w:r>
          </w:p>
        </w:tc>
      </w:tr>
      <w:tr>
        <w:trPr>
          <w:cantSplit/>
        </w:trPr>
        <w:tc>
          <w:tcPr>
            <w:tcW w:type="dxa" w:w="3990"/>
          </w:tcPr>
          <w:p>
            <w:pPr>
              <w:pStyle w:val="Compact"/>
              <w:spacing w:before="20" w:after="20" w:line="240" w:lineRule="auto"/>
              <w:keepNext/>
            </w:pPr>
            <w:r>
              <w:rPr>
                <w:sz w:val="18"/>
                <w:szCs w:val="18"/>
              </w:rPr>
              <w:t xml:space="preserve">EPO(EP)</w:t>
            </w:r>
          </w:p>
        </w:tc>
        <w:tc>
          <w:tcPr>
            <w:tcW w:type="dxa" w:w="2176"/>
          </w:tcPr>
          <w:p>
            <w:pPr>
              <w:pStyle w:val="Compact"/>
              <w:spacing w:before="20" w:after="20" w:line="240" w:lineRule="auto"/>
              <w:jc w:val="center"/>
              <w:keepNext/>
            </w:pPr>
            <w:r>
              <w:rPr>
                <w:sz w:val="18"/>
                <w:szCs w:val="18"/>
              </w:rPr>
              <w:t xml:space="preserve">1.170</w:t>
            </w:r>
          </w:p>
        </w:tc>
        <w:tc>
          <w:tcPr>
            <w:tcW w:type="dxa" w:w="2902"/>
          </w:tcPr>
          <w:p>
            <w:pPr>
              <w:pStyle w:val="Compact"/>
              <w:spacing w:before="20" w:after="20" w:line="240" w:lineRule="auto"/>
              <w:jc w:val="center"/>
              <w:keepNext/>
            </w:pPr>
            <w:r>
              <w:rPr>
                <w:sz w:val="18"/>
                <w:szCs w:val="18"/>
              </w:rPr>
              <w:t xml:space="preserve">(0.312)</w:t>
            </w:r>
          </w:p>
        </w:tc>
      </w:tr>
      <w:tr>
        <w:trPr>
          <w:cantSplit/>
        </w:trPr>
        <w:tc>
          <w:tcPr>
            <w:tcW w:type="dxa" w:w="3990"/>
          </w:tcPr>
          <w:p>
            <w:pPr>
              <w:pStyle w:val="Compact"/>
              <w:spacing w:before="20" w:after="20" w:line="240" w:lineRule="auto"/>
              <w:keepNext/>
            </w:pPr>
            <w:r>
              <w:rPr>
                <w:sz w:val="18"/>
                <w:szCs w:val="18"/>
              </w:rPr>
              <w:t xml:space="preserve">PCT(WO)</w:t>
            </w:r>
          </w:p>
        </w:tc>
        <w:tc>
          <w:tcPr>
            <w:tcW w:type="dxa" w:w="2176"/>
          </w:tcPr>
          <w:p>
            <w:pPr>
              <w:pStyle w:val="Compact"/>
              <w:spacing w:before="20" w:after="20" w:line="240" w:lineRule="auto"/>
              <w:jc w:val="center"/>
              <w:keepNext/>
            </w:pPr>
            <w:r>
              <w:rPr>
                <w:sz w:val="18"/>
                <w:szCs w:val="18"/>
              </w:rPr>
              <w:t xml:space="preserve">1.398</w:t>
            </w:r>
          </w:p>
        </w:tc>
        <w:tc>
          <w:tcPr>
            <w:tcW w:type="dxa" w:w="2902"/>
          </w:tcPr>
          <w:p>
            <w:pPr>
              <w:pStyle w:val="Compact"/>
              <w:spacing w:before="20" w:after="20" w:line="240" w:lineRule="auto"/>
              <w:jc w:val="center"/>
              <w:keepNext/>
            </w:pPr>
            <w:r>
              <w:rPr>
                <w:sz w:val="18"/>
                <w:szCs w:val="18"/>
              </w:rPr>
              <w:t xml:space="preserve">(0.329)</w:t>
            </w:r>
          </w:p>
        </w:tc>
      </w:tr>
      <w:tr>
        <w:trPr>
          <w:cantSplit/>
        </w:trPr>
        <w:tc>
          <w:tcPr>
            <w:tcW w:type="dxa" w:w="3990"/>
          </w:tcPr>
          <w:p>
            <w:pPr>
              <w:pStyle w:val="Compact"/>
              <w:spacing w:before="20" w:after="20" w:line="240" w:lineRule="auto"/>
              <w:keepNext/>
            </w:pPr>
            <w:r>
              <w:rPr>
                <w:sz w:val="18"/>
                <w:szCs w:val="18"/>
              </w:rPr>
              <w:t xml:space="preserve">기타</w:t>
            </w:r>
          </w:p>
        </w:tc>
        <w:tc>
          <w:tcPr>
            <w:tcW w:type="dxa" w:w="2176"/>
          </w:tcPr>
          <w:p>
            <w:pPr>
              <w:pStyle w:val="Compact"/>
              <w:spacing w:before="20" w:after="20" w:line="240" w:lineRule="auto"/>
              <w:jc w:val="center"/>
              <w:keepNext/>
            </w:pPr>
            <w:r>
              <w:rPr>
                <w:sz w:val="18"/>
                <w:szCs w:val="18"/>
              </w:rPr>
              <w:t xml:space="preserve">2.132</w:t>
            </w:r>
          </w:p>
        </w:tc>
        <w:tc>
          <w:tcPr>
            <w:tcW w:type="dxa" w:w="2902"/>
          </w:tcPr>
          <w:p>
            <w:pPr>
              <w:pStyle w:val="Compact"/>
              <w:spacing w:before="20" w:after="20" w:line="240" w:lineRule="auto"/>
              <w:jc w:val="center"/>
              <w:keepNext/>
            </w:pPr>
            <w:r>
              <w:rPr>
                <w:sz w:val="18"/>
                <w:szCs w:val="18"/>
              </w:rPr>
              <w:t xml:space="preserve">(1.307)</w:t>
            </w:r>
          </w:p>
        </w:tc>
      </w:tr>
      <w:tr>
        <w:trPr>
          <w:cantSplit/>
        </w:trPr>
        <w:tc>
          <w:tcPr>
            <w:tcW w:type="dxa" w:w="3990"/>
          </w:tcPr>
          <w:p>
            <w:pPr>
              <w:pStyle w:val="Compact"/>
              <w:spacing w:before="20" w:after="20" w:line="240" w:lineRule="auto"/>
              <w:keepNext/>
            </w:pPr>
            <w:r>
              <w:rPr>
                <w:sz w:val="18"/>
                <w:szCs w:val="18"/>
              </w:rPr>
              <w:t xml:space="preserve">N</w:t>
            </w:r>
          </w:p>
        </w:tc>
        <w:tc>
          <w:tcPr>
            <w:tcW w:type="dxa" w:w="2176"/>
          </w:tcPr>
          <w:p>
            <w:pPr>
              <w:pStyle w:val="Compact"/>
              <w:spacing w:before="20" w:after="20" w:line="240" w:lineRule="auto"/>
              <w:jc w:val="center"/>
              <w:keepNext/>
            </w:pPr>
            <w:r>
              <w:rPr>
                <w:sz w:val="18"/>
                <w:szCs w:val="18"/>
              </w:rPr>
              <w:t xml:space="preserve">928</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로그우도</w:t>
            </w:r>
          </w:p>
        </w:tc>
        <w:tc>
          <w:tcPr>
            <w:tcW w:type="dxa" w:w="2176"/>
          </w:tcPr>
          <w:p>
            <w:pPr>
              <w:pStyle w:val="Compact"/>
              <w:spacing w:before="20" w:after="20" w:line="240" w:lineRule="auto"/>
              <w:jc w:val="center"/>
              <w:keepNext/>
            </w:pPr>
            <w:r>
              <w:rPr>
                <w:sz w:val="18"/>
                <w:szCs w:val="18"/>
              </w:rPr>
              <w:t xml:space="preserve">−547.6</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AIC</w:t>
            </w:r>
          </w:p>
        </w:tc>
        <w:tc>
          <w:tcPr>
            <w:tcW w:type="dxa" w:w="2176"/>
          </w:tcPr>
          <w:p>
            <w:pPr>
              <w:pStyle w:val="Compact"/>
              <w:spacing w:before="20" w:after="20" w:line="240" w:lineRule="auto"/>
              <w:jc w:val="center"/>
              <w:keepNext/>
            </w:pPr>
            <w:r>
              <w:rPr>
                <w:sz w:val="18"/>
                <w:szCs w:val="18"/>
              </w:rPr>
              <w:t xml:space="preserve">1,115.1</w:t>
            </w:r>
          </w:p>
        </w:tc>
        <w:tc>
          <w:tcPr>
            <w:tcW w:type="dxa" w:w="2902"/>
          </w:tcPr>
          <w:p>
            <w:pPr>
              <w:pStyle w:val="Compact"/>
              <w:spacing w:before="20" w:after="20" w:line="240" w:lineRule="auto"/>
              <w:keepNext/>
            </w:pPr>
          </w:p>
        </w:tc>
      </w:tr>
      <w:tr>
        <w:trPr>
          <w:cantSplit/>
        </w:trPr>
        <w:tc>
          <w:tcPr>
            <w:tcW w:type="dxa" w:w="3990"/>
          </w:tcPr>
          <w:p>
            <w:pPr>
              <w:pStyle w:val="Compact"/>
              <w:spacing w:before="20" w:after="20" w:line="240" w:lineRule="auto"/>
              <w:keepNext/>
            </w:pPr>
            <w:r>
              <w:rPr>
                <w:sz w:val="18"/>
                <w:szCs w:val="18"/>
              </w:rPr>
              <w:t xml:space="preserve">AUC</w:t>
            </w:r>
          </w:p>
        </w:tc>
        <w:tc>
          <w:tcPr>
            <w:tcW w:type="dxa" w:w="2176"/>
          </w:tcPr>
          <w:p>
            <w:pPr>
              <w:pStyle w:val="Compact"/>
              <w:spacing w:before="20" w:after="20" w:line="240" w:lineRule="auto"/>
              <w:jc w:val="center"/>
              <w:keepNext/>
            </w:pPr>
            <w:r>
              <w:rPr>
                <w:sz w:val="18"/>
                <w:szCs w:val="18"/>
              </w:rPr>
              <w:t xml:space="preserve">0.707</w:t>
            </w:r>
          </w:p>
        </w:tc>
        <w:tc>
          <w:tcPr>
            <w:tcW w:type="dxa" w:w="2902"/>
          </w:tcPr>
          <w:p>
            <w:pPr>
              <w:pStyle w:val="Compact"/>
              <w:spacing w:before="20" w:after="20" w:line="240" w:lineRule="auto"/>
              <w:keepNext/>
            </w:pPr>
          </w:p>
        </w:tc>
      </w:tr>
    </w:tbl>
    <w:p>
      <w:pPr>
        <w:pStyle w:val="BodyText"/>
        <w:keepNext/>
      </w:pPr>
      <w:r>
        <w:drawing>
          <wp:inline>
            <wp:extent cx="4411175" cy="4135477"/>
            <wp:effectExtent b="0" l="0" r="0" t="0"/>
            <wp:docPr descr="" title="" id="36" name="Picture"/>
            <a:graphic>
              <a:graphicData uri="http://schemas.openxmlformats.org/drawingml/2006/picture">
                <pic:pic>
                  <pic:nvPicPr>
                    <pic:cNvPr descr="figures/fig5_roc_ko.png" id="37" name="Picture"/>
                    <pic:cNvPicPr>
                      <a:picLocks noChangeArrowheads="1" noChangeAspect="1"/>
                    </pic:cNvPicPr>
                  </pic:nvPicPr>
                  <pic:blipFill>
                    <a:blip r:embed="rId35"/>
                    <a:stretch>
                      <a:fillRect/>
                    </a:stretch>
                  </pic:blipFill>
                  <pic:spPr bwMode="auto">
                    <a:xfrm>
                      <a:off x="0" y="0"/>
                      <a:ext cx="4411175" cy="4135477"/>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전공정 지향 로짓의 ROC 곡선(AUC = 0.707).</w:t>
      </w:r>
    </w:p>
    <w:bookmarkEnd w:id="38"/>
    <w:bookmarkStart w:id="42"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6의 다항 로짓은 이를 분리하며, 경계 넘기(통합형)에 대한 본 검정이다. 조립 단독형 대비로 읽으면, 기술범위가 넓을수록 통합형일 상대위험은 높고(RRR 1.403, p &lt; 0.01) 공정 단독형일 상대위험은 낮다(RRR 0.905, p &lt; 0.05; 다만 이 계수는 패밀리 군집 표준오차에서는 유의하지 않다, 제5.4절). 넓은 특허는 두 단계에 걸치고, 좁은 특허는 한 단계에 특화한다. H1은 지지된다. 범위는 단순히 전공정 기호의 존재가 아니라 하나의 발명 안에서 전공정과 후공정 청구의 결합과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5의 음의 연도 계수는 일차적으로 공정 단독형 발명의 감소를 반영한다. 다만 선형 추세는 통합형 비중이 오르내린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keepNext/>
      </w:pPr>
      <w:r>
        <w:rPr>
          <w:b/>
          <w:bCs/>
        </w:rPr>
        <w:t xml:space="preserve">표 6.</w:t>
      </w:r>
      <w:r>
        <w:t xml:space="preserve"> </w:t>
      </w:r>
      <w:r>
        <w:t xml:space="preserve">전략 유형의 다항 로짓(결과 기준 범주 = 조립 단독형; 출원청 기준 = 미국). 상대위험비; 괄호 안은 델타법으로 계산한 상대위험비의 표준오차(유의성은 로그 상대위험비의 z 검정); * p &lt; 0.10, ** p &lt; 0.05, *** p &lt; 0.01.</w:t>
      </w:r>
    </w:p>
    <w:tbl>
      <w:tblPr>
        <w:tblStyle w:val="Table"/>
        <w:tblW w:type="dxa" w:w="9068"/>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554"/>
        <w:gridCol w:w="1393"/>
        <w:gridCol w:w="1858"/>
        <w:gridCol w:w="1405"/>
        <w:gridCol w:w="1858"/>
      </w:tblGrid>
      <w:tr>
        <w:trPr>
          <w:tblHeader w:val="on"/>
          <w:cantSplit/>
        </w:trPr>
        <w:tc>
          <w:tcPr>
            <w:tcW w:type="dxa" w:w="2554"/>
            <w:tcBorders>
              <w:bottom w:val="single" w:sz="4" w:space="0" w:color="000000"/>
            </w:tcBorders>
          </w:tcPr>
          <w:p>
            <w:pPr>
              <w:pStyle w:val="Compact"/>
              <w:spacing w:before="20" w:after="20" w:line="240" w:lineRule="auto"/>
              <w:keepNext/>
            </w:pPr>
          </w:p>
        </w:tc>
        <w:tc>
          <w:tcPr>
            <w:tcW w:type="dxa" w:w="1393"/>
            <w:tcBorders>
              <w:bottom w:val="single" w:sz="4" w:space="0" w:color="000000"/>
            </w:tcBorders>
          </w:tcPr>
          <w:p>
            <w:pPr>
              <w:pStyle w:val="Compact"/>
              <w:spacing w:before="20" w:after="20" w:line="240" w:lineRule="auto"/>
              <w:jc w:val="center"/>
              <w:keepNext/>
            </w:pPr>
            <w:r>
              <w:rPr>
                <w:sz w:val="17"/>
                <w:szCs w:val="17"/>
              </w:rPr>
              <w:t xml:space="preserve">통합형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c>
          <w:tcPr>
            <w:tcW w:type="dxa" w:w="1405"/>
            <w:tcBorders>
              <w:bottom w:val="single" w:sz="4" w:space="0" w:color="000000"/>
            </w:tcBorders>
          </w:tcPr>
          <w:p>
            <w:pPr>
              <w:pStyle w:val="Compact"/>
              <w:spacing w:before="20" w:after="20" w:line="240" w:lineRule="auto"/>
              <w:jc w:val="center"/>
              <w:keepNext/>
            </w:pPr>
            <w:r>
              <w:rPr>
                <w:sz w:val="17"/>
                <w:szCs w:val="17"/>
              </w:rPr>
              <w:t xml:space="preserve">공정 단독형</w:t>
            </w:r>
          </w:p>
        </w:tc>
        <w:tc>
          <w:tcPr>
            <w:tcW w:type="dxa" w:w="1858"/>
            <w:tcBorders>
              <w:bottom w:val="single" w:sz="4" w:space="0" w:color="000000"/>
            </w:tcBorders>
          </w:tcPr>
          <w:p>
            <w:pPr>
              <w:pStyle w:val="Compact"/>
              <w:spacing w:before="20" w:after="20" w:line="240" w:lineRule="auto"/>
              <w:jc w:val="center"/>
              <w:keepNext/>
            </w:pPr>
            <w:r>
              <w:rPr>
                <w:sz w:val="17"/>
                <w:szCs w:val="17"/>
              </w:rPr>
              <w:t xml:space="preserve">표준오차</w:t>
            </w:r>
          </w:p>
        </w:tc>
      </w:tr>
      <w:tr>
        <w:trPr>
          <w:cantSplit/>
        </w:trPr>
        <w:tc>
          <w:tcPr>
            <w:tcW w:type="dxa" w:w="2554"/>
          </w:tcPr>
          <w:p>
            <w:pPr>
              <w:pStyle w:val="Compact"/>
              <w:spacing w:before="20" w:after="20" w:line="240" w:lineRule="auto"/>
              <w:keepNext/>
            </w:pPr>
            <w:r>
              <w:rPr>
                <w:sz w:val="17"/>
                <w:szCs w:val="17"/>
              </w:rPr>
              <w:t xml:space="preserve">출원연도(yc)</w:t>
            </w:r>
          </w:p>
        </w:tc>
        <w:tc>
          <w:tcPr>
            <w:tcW w:type="dxa" w:w="1393"/>
          </w:tcPr>
          <w:p>
            <w:pPr>
              <w:pStyle w:val="Compact"/>
              <w:spacing w:before="20" w:after="20" w:line="240" w:lineRule="auto"/>
              <w:jc w:val="center"/>
              <w:keepNext/>
            </w:pPr>
            <w:r>
              <w:rPr>
                <w:sz w:val="17"/>
                <w:szCs w:val="17"/>
              </w:rPr>
              <w:t xml:space="preserve">0.993</w:t>
            </w:r>
          </w:p>
        </w:tc>
        <w:tc>
          <w:tcPr>
            <w:tcW w:type="dxa" w:w="1858"/>
          </w:tcPr>
          <w:p>
            <w:pPr>
              <w:pStyle w:val="Compact"/>
              <w:spacing w:before="20" w:after="20" w:line="240" w:lineRule="auto"/>
              <w:jc w:val="center"/>
              <w:keepNext/>
            </w:pPr>
            <w:r>
              <w:rPr>
                <w:sz w:val="17"/>
                <w:szCs w:val="17"/>
              </w:rPr>
              <w:t xml:space="preserve">(0.015)</w:t>
            </w:r>
          </w:p>
        </w:tc>
        <w:tc>
          <w:tcPr>
            <w:tcW w:type="dxa" w:w="1405"/>
          </w:tcPr>
          <w:p>
            <w:pPr>
              <w:pStyle w:val="Compact"/>
              <w:spacing w:before="20" w:after="20" w:line="240" w:lineRule="auto"/>
              <w:jc w:val="center"/>
              <w:keepNext/>
            </w:pPr>
            <w:r>
              <w:rPr>
                <w:sz w:val="17"/>
                <w:szCs w:val="17"/>
              </w:rPr>
              <w:t xml:space="preserve">0.913***</w:t>
            </w:r>
          </w:p>
        </w:tc>
        <w:tc>
          <w:tcPr>
            <w:tcW w:type="dxa" w:w="1858"/>
          </w:tcPr>
          <w:p>
            <w:pPr>
              <w:pStyle w:val="Compact"/>
              <w:spacing w:before="20" w:after="20" w:line="240" w:lineRule="auto"/>
              <w:jc w:val="center"/>
              <w:keepNext/>
            </w:pPr>
            <w:r>
              <w:rPr>
                <w:sz w:val="17"/>
                <w:szCs w:val="17"/>
              </w:rPr>
              <w:t xml:space="preserve">(0.013)</w:t>
            </w:r>
          </w:p>
        </w:tc>
      </w:tr>
      <w:tr>
        <w:trPr>
          <w:cantSplit/>
        </w:trPr>
        <w:tc>
          <w:tcPr>
            <w:tcW w:type="dxa" w:w="2554"/>
          </w:tcPr>
          <w:p>
            <w:pPr>
              <w:pStyle w:val="Compact"/>
              <w:spacing w:before="20" w:after="20" w:line="240" w:lineRule="auto"/>
              <w:keepNext/>
            </w:pPr>
            <w:r>
              <w:rPr>
                <w:sz w:val="17"/>
                <w:szCs w:val="17"/>
              </w:rPr>
              <w:t xml:space="preserve">기술범위</w:t>
            </w:r>
          </w:p>
        </w:tc>
        <w:tc>
          <w:tcPr>
            <w:tcW w:type="dxa" w:w="1393"/>
          </w:tcPr>
          <w:p>
            <w:pPr>
              <w:pStyle w:val="Compact"/>
              <w:spacing w:before="20" w:after="20" w:line="240" w:lineRule="auto"/>
              <w:jc w:val="center"/>
              <w:keepNext/>
            </w:pPr>
            <w:r>
              <w:rPr>
                <w:sz w:val="17"/>
                <w:szCs w:val="17"/>
              </w:rPr>
              <w:t xml:space="preserve">1.403***</w:t>
            </w:r>
          </w:p>
        </w:tc>
        <w:tc>
          <w:tcPr>
            <w:tcW w:type="dxa" w:w="1858"/>
          </w:tcPr>
          <w:p>
            <w:pPr>
              <w:pStyle w:val="Compact"/>
              <w:spacing w:before="20" w:after="20" w:line="240" w:lineRule="auto"/>
              <w:jc w:val="center"/>
              <w:keepNext/>
            </w:pPr>
            <w:r>
              <w:rPr>
                <w:sz w:val="17"/>
                <w:szCs w:val="17"/>
              </w:rPr>
              <w:t xml:space="preserve">(0.043)</w:t>
            </w:r>
          </w:p>
        </w:tc>
        <w:tc>
          <w:tcPr>
            <w:tcW w:type="dxa" w:w="1405"/>
          </w:tcPr>
          <w:p>
            <w:pPr>
              <w:pStyle w:val="Compact"/>
              <w:spacing w:before="20" w:after="20" w:line="240" w:lineRule="auto"/>
              <w:jc w:val="center"/>
              <w:keepNext/>
            </w:pPr>
            <w:r>
              <w:rPr>
                <w:sz w:val="17"/>
                <w:szCs w:val="17"/>
              </w:rPr>
              <w:t xml:space="preserve">0.905**</w:t>
            </w:r>
          </w:p>
        </w:tc>
        <w:tc>
          <w:tcPr>
            <w:tcW w:type="dxa" w:w="1858"/>
          </w:tcPr>
          <w:p>
            <w:pPr>
              <w:pStyle w:val="Compact"/>
              <w:spacing w:before="20" w:after="20" w:line="240" w:lineRule="auto"/>
              <w:jc w:val="center"/>
              <w:keepNext/>
            </w:pPr>
            <w:r>
              <w:rPr>
                <w:sz w:val="17"/>
                <w:szCs w:val="17"/>
              </w:rPr>
              <w:t xml:space="preserve">(0.044)</w:t>
            </w:r>
          </w:p>
        </w:tc>
      </w:tr>
      <w:tr>
        <w:trPr>
          <w:cantSplit/>
        </w:trPr>
        <w:tc>
          <w:tcPr>
            <w:tcW w:type="dxa" w:w="2554"/>
          </w:tcPr>
          <w:p>
            <w:pPr>
              <w:pStyle w:val="Compact"/>
              <w:spacing w:before="20" w:after="20" w:line="240" w:lineRule="auto"/>
              <w:keepNext/>
            </w:pPr>
            <w:r>
              <w:rPr>
                <w:sz w:val="17"/>
                <w:szCs w:val="17"/>
              </w:rPr>
              <w:t xml:space="preserve">중국(CN)</w:t>
            </w:r>
          </w:p>
        </w:tc>
        <w:tc>
          <w:tcPr>
            <w:tcW w:type="dxa" w:w="1393"/>
          </w:tcPr>
          <w:p>
            <w:pPr>
              <w:pStyle w:val="Compact"/>
              <w:spacing w:before="20" w:after="20" w:line="240" w:lineRule="auto"/>
              <w:jc w:val="center"/>
              <w:keepNext/>
            </w:pPr>
            <w:r>
              <w:rPr>
                <w:sz w:val="17"/>
                <w:szCs w:val="17"/>
              </w:rPr>
              <w:t xml:space="preserve">1.205</w:t>
            </w:r>
          </w:p>
        </w:tc>
        <w:tc>
          <w:tcPr>
            <w:tcW w:type="dxa" w:w="1858"/>
          </w:tcPr>
          <w:p>
            <w:pPr>
              <w:pStyle w:val="Compact"/>
              <w:spacing w:before="20" w:after="20" w:line="240" w:lineRule="auto"/>
              <w:jc w:val="center"/>
              <w:keepNext/>
            </w:pPr>
            <w:r>
              <w:rPr>
                <w:sz w:val="17"/>
                <w:szCs w:val="17"/>
              </w:rPr>
              <w:t xml:space="preserve">(0.280)</w:t>
            </w:r>
          </w:p>
        </w:tc>
        <w:tc>
          <w:tcPr>
            <w:tcW w:type="dxa" w:w="1405"/>
          </w:tcPr>
          <w:p>
            <w:pPr>
              <w:pStyle w:val="Compact"/>
              <w:spacing w:before="20" w:after="20" w:line="240" w:lineRule="auto"/>
              <w:jc w:val="center"/>
              <w:keepNext/>
            </w:pPr>
            <w:r>
              <w:rPr>
                <w:sz w:val="17"/>
                <w:szCs w:val="17"/>
              </w:rPr>
              <w:t xml:space="preserve">2.687***</w:t>
            </w:r>
          </w:p>
        </w:tc>
        <w:tc>
          <w:tcPr>
            <w:tcW w:type="dxa" w:w="1858"/>
          </w:tcPr>
          <w:p>
            <w:pPr>
              <w:pStyle w:val="Compact"/>
              <w:spacing w:before="20" w:after="20" w:line="240" w:lineRule="auto"/>
              <w:jc w:val="center"/>
              <w:keepNext/>
            </w:pPr>
            <w:r>
              <w:rPr>
                <w:sz w:val="17"/>
                <w:szCs w:val="17"/>
              </w:rPr>
              <w:t xml:space="preserve">(0.740)</w:t>
            </w:r>
          </w:p>
        </w:tc>
      </w:tr>
      <w:tr>
        <w:trPr>
          <w:cantSplit/>
        </w:trPr>
        <w:tc>
          <w:tcPr>
            <w:tcW w:type="dxa" w:w="2554"/>
          </w:tcPr>
          <w:p>
            <w:pPr>
              <w:pStyle w:val="Compact"/>
              <w:spacing w:before="20" w:after="20" w:line="240" w:lineRule="auto"/>
              <w:keepNext/>
            </w:pPr>
            <w:r>
              <w:rPr>
                <w:sz w:val="17"/>
                <w:szCs w:val="17"/>
              </w:rPr>
              <w:t xml:space="preserve">한국(KR)</w:t>
            </w:r>
          </w:p>
        </w:tc>
        <w:tc>
          <w:tcPr>
            <w:tcW w:type="dxa" w:w="1393"/>
          </w:tcPr>
          <w:p>
            <w:pPr>
              <w:pStyle w:val="Compact"/>
              <w:spacing w:before="20" w:after="20" w:line="240" w:lineRule="auto"/>
              <w:jc w:val="center"/>
              <w:keepNext/>
            </w:pPr>
            <w:r>
              <w:rPr>
                <w:sz w:val="17"/>
                <w:szCs w:val="17"/>
              </w:rPr>
              <w:t xml:space="preserve">1.166</w:t>
            </w:r>
          </w:p>
        </w:tc>
        <w:tc>
          <w:tcPr>
            <w:tcW w:type="dxa" w:w="1858"/>
          </w:tcPr>
          <w:p>
            <w:pPr>
              <w:pStyle w:val="Compact"/>
              <w:spacing w:before="20" w:after="20" w:line="240" w:lineRule="auto"/>
              <w:jc w:val="center"/>
              <w:keepNext/>
            </w:pPr>
            <w:r>
              <w:rPr>
                <w:sz w:val="17"/>
                <w:szCs w:val="17"/>
              </w:rPr>
              <w:t xml:space="preserve">(0.444)</w:t>
            </w:r>
          </w:p>
        </w:tc>
        <w:tc>
          <w:tcPr>
            <w:tcW w:type="dxa" w:w="1405"/>
          </w:tcPr>
          <w:p>
            <w:pPr>
              <w:pStyle w:val="Compact"/>
              <w:spacing w:before="20" w:after="20" w:line="240" w:lineRule="auto"/>
              <w:jc w:val="center"/>
              <w:keepNext/>
            </w:pPr>
            <w:r>
              <w:rPr>
                <w:sz w:val="17"/>
                <w:szCs w:val="17"/>
              </w:rPr>
              <w:t xml:space="preserve">1.906</w:t>
            </w:r>
          </w:p>
        </w:tc>
        <w:tc>
          <w:tcPr>
            <w:tcW w:type="dxa" w:w="1858"/>
          </w:tcPr>
          <w:p>
            <w:pPr>
              <w:pStyle w:val="Compact"/>
              <w:spacing w:before="20" w:after="20" w:line="240" w:lineRule="auto"/>
              <w:jc w:val="center"/>
              <w:keepNext/>
            </w:pPr>
            <w:r>
              <w:rPr>
                <w:sz w:val="17"/>
                <w:szCs w:val="17"/>
              </w:rPr>
              <w:t xml:space="preserve">(0.799)</w:t>
            </w:r>
          </w:p>
        </w:tc>
      </w:tr>
      <w:tr>
        <w:trPr>
          <w:cantSplit/>
        </w:trPr>
        <w:tc>
          <w:tcPr>
            <w:tcW w:type="dxa" w:w="2554"/>
          </w:tcPr>
          <w:p>
            <w:pPr>
              <w:pStyle w:val="Compact"/>
              <w:spacing w:before="20" w:after="20" w:line="240" w:lineRule="auto"/>
              <w:keepNext/>
            </w:pPr>
            <w:r>
              <w:rPr>
                <w:sz w:val="17"/>
                <w:szCs w:val="17"/>
              </w:rPr>
              <w:t xml:space="preserve">대만(TW)</w:t>
            </w:r>
          </w:p>
        </w:tc>
        <w:tc>
          <w:tcPr>
            <w:tcW w:type="dxa" w:w="1393"/>
          </w:tcPr>
          <w:p>
            <w:pPr>
              <w:pStyle w:val="Compact"/>
              <w:spacing w:before="20" w:after="20" w:line="240" w:lineRule="auto"/>
              <w:jc w:val="center"/>
              <w:keepNext/>
            </w:pPr>
            <w:r>
              <w:rPr>
                <w:sz w:val="17"/>
                <w:szCs w:val="17"/>
              </w:rPr>
              <w:t xml:space="preserve">1.312</w:t>
            </w:r>
          </w:p>
        </w:tc>
        <w:tc>
          <w:tcPr>
            <w:tcW w:type="dxa" w:w="1858"/>
          </w:tcPr>
          <w:p>
            <w:pPr>
              <w:pStyle w:val="Compact"/>
              <w:spacing w:before="20" w:after="20" w:line="240" w:lineRule="auto"/>
              <w:jc w:val="center"/>
              <w:keepNext/>
            </w:pPr>
            <w:r>
              <w:rPr>
                <w:sz w:val="17"/>
                <w:szCs w:val="17"/>
              </w:rPr>
              <w:t xml:space="preserve">(0.422)</w:t>
            </w:r>
          </w:p>
        </w:tc>
        <w:tc>
          <w:tcPr>
            <w:tcW w:type="dxa" w:w="1405"/>
          </w:tcPr>
          <w:p>
            <w:pPr>
              <w:pStyle w:val="Compact"/>
              <w:spacing w:before="20" w:after="20" w:line="240" w:lineRule="auto"/>
              <w:jc w:val="center"/>
              <w:keepNext/>
            </w:pPr>
            <w:r>
              <w:rPr>
                <w:sz w:val="17"/>
                <w:szCs w:val="17"/>
              </w:rPr>
              <w:t xml:space="preserve">2.102*</w:t>
            </w:r>
          </w:p>
        </w:tc>
        <w:tc>
          <w:tcPr>
            <w:tcW w:type="dxa" w:w="1858"/>
          </w:tcPr>
          <w:p>
            <w:pPr>
              <w:pStyle w:val="Compact"/>
              <w:spacing w:before="20" w:after="20" w:line="240" w:lineRule="auto"/>
              <w:jc w:val="center"/>
              <w:keepNext/>
            </w:pPr>
            <w:r>
              <w:rPr>
                <w:sz w:val="17"/>
                <w:szCs w:val="17"/>
              </w:rPr>
              <w:t xml:space="preserve">(0.857)</w:t>
            </w:r>
          </w:p>
        </w:tc>
      </w:tr>
      <w:tr>
        <w:trPr>
          <w:cantSplit/>
        </w:trPr>
        <w:tc>
          <w:tcPr>
            <w:tcW w:type="dxa" w:w="2554"/>
          </w:tcPr>
          <w:p>
            <w:pPr>
              <w:pStyle w:val="Compact"/>
              <w:spacing w:before="20" w:after="20" w:line="240" w:lineRule="auto"/>
              <w:keepNext/>
            </w:pPr>
            <w:r>
              <w:rPr>
                <w:sz w:val="17"/>
                <w:szCs w:val="17"/>
              </w:rPr>
              <w:t xml:space="preserve">일본(JP)</w:t>
            </w:r>
          </w:p>
        </w:tc>
        <w:tc>
          <w:tcPr>
            <w:tcW w:type="dxa" w:w="1393"/>
          </w:tcPr>
          <w:p>
            <w:pPr>
              <w:pStyle w:val="Compact"/>
              <w:spacing w:before="20" w:after="20" w:line="240" w:lineRule="auto"/>
              <w:jc w:val="center"/>
              <w:keepNext/>
            </w:pPr>
            <w:r>
              <w:rPr>
                <w:sz w:val="17"/>
                <w:szCs w:val="17"/>
              </w:rPr>
              <w:t xml:space="preserve">1.046</w:t>
            </w:r>
          </w:p>
        </w:tc>
        <w:tc>
          <w:tcPr>
            <w:tcW w:type="dxa" w:w="1858"/>
          </w:tcPr>
          <w:p>
            <w:pPr>
              <w:pStyle w:val="Compact"/>
              <w:spacing w:before="20" w:after="20" w:line="240" w:lineRule="auto"/>
              <w:jc w:val="center"/>
              <w:keepNext/>
            </w:pPr>
            <w:r>
              <w:rPr>
                <w:sz w:val="17"/>
                <w:szCs w:val="17"/>
              </w:rPr>
              <w:t xml:space="preserve">(0.583)</w:t>
            </w:r>
          </w:p>
        </w:tc>
        <w:tc>
          <w:tcPr>
            <w:tcW w:type="dxa" w:w="1405"/>
          </w:tcPr>
          <w:p>
            <w:pPr>
              <w:pStyle w:val="Compact"/>
              <w:spacing w:before="20" w:after="20" w:line="240" w:lineRule="auto"/>
              <w:jc w:val="center"/>
              <w:keepNext/>
            </w:pPr>
            <w:r>
              <w:rPr>
                <w:sz w:val="17"/>
                <w:szCs w:val="17"/>
              </w:rPr>
              <w:t xml:space="preserve">0.086***</w:t>
            </w:r>
          </w:p>
        </w:tc>
        <w:tc>
          <w:tcPr>
            <w:tcW w:type="dxa" w:w="1858"/>
          </w:tcPr>
          <w:p>
            <w:pPr>
              <w:pStyle w:val="Compact"/>
              <w:spacing w:before="20" w:after="20" w:line="240" w:lineRule="auto"/>
              <w:jc w:val="center"/>
              <w:keepNext/>
            </w:pPr>
            <w:r>
              <w:rPr>
                <w:sz w:val="17"/>
                <w:szCs w:val="17"/>
              </w:rPr>
              <w:t xml:space="preserve">(0.070)</w:t>
            </w:r>
          </w:p>
        </w:tc>
      </w:tr>
      <w:tr>
        <w:trPr>
          <w:cantSplit/>
        </w:trPr>
        <w:tc>
          <w:tcPr>
            <w:tcW w:type="dxa" w:w="2554"/>
          </w:tcPr>
          <w:p>
            <w:pPr>
              <w:pStyle w:val="Compact"/>
              <w:spacing w:before="20" w:after="20" w:line="240" w:lineRule="auto"/>
              <w:keepNext/>
            </w:pPr>
            <w:r>
              <w:rPr>
                <w:sz w:val="17"/>
                <w:szCs w:val="17"/>
              </w:rPr>
              <w:t xml:space="preserve">EPO(EP)</w:t>
            </w:r>
          </w:p>
        </w:tc>
        <w:tc>
          <w:tcPr>
            <w:tcW w:type="dxa" w:w="1393"/>
          </w:tcPr>
          <w:p>
            <w:pPr>
              <w:pStyle w:val="Compact"/>
              <w:spacing w:before="20" w:after="20" w:line="240" w:lineRule="auto"/>
              <w:jc w:val="center"/>
              <w:keepNext/>
            </w:pPr>
            <w:r>
              <w:rPr>
                <w:sz w:val="17"/>
                <w:szCs w:val="17"/>
              </w:rPr>
              <w:t xml:space="preserve">1.307</w:t>
            </w:r>
          </w:p>
        </w:tc>
        <w:tc>
          <w:tcPr>
            <w:tcW w:type="dxa" w:w="1858"/>
          </w:tcPr>
          <w:p>
            <w:pPr>
              <w:pStyle w:val="Compact"/>
              <w:spacing w:before="20" w:after="20" w:line="240" w:lineRule="auto"/>
              <w:jc w:val="center"/>
              <w:keepNext/>
            </w:pPr>
            <w:r>
              <w:rPr>
                <w:sz w:val="17"/>
                <w:szCs w:val="17"/>
              </w:rPr>
              <w:t xml:space="preserve">(0.380)</w:t>
            </w:r>
          </w:p>
        </w:tc>
        <w:tc>
          <w:tcPr>
            <w:tcW w:type="dxa" w:w="1405"/>
          </w:tcPr>
          <w:p>
            <w:pPr>
              <w:pStyle w:val="Compact"/>
              <w:spacing w:before="20" w:after="20" w:line="240" w:lineRule="auto"/>
              <w:jc w:val="center"/>
              <w:keepNext/>
            </w:pPr>
            <w:r>
              <w:rPr>
                <w:sz w:val="17"/>
                <w:szCs w:val="17"/>
              </w:rPr>
              <w:t xml:space="preserve">0.858</w:t>
            </w:r>
          </w:p>
        </w:tc>
        <w:tc>
          <w:tcPr>
            <w:tcW w:type="dxa" w:w="1858"/>
          </w:tcPr>
          <w:p>
            <w:pPr>
              <w:pStyle w:val="Compact"/>
              <w:spacing w:before="20" w:after="20" w:line="240" w:lineRule="auto"/>
              <w:jc w:val="center"/>
              <w:keepNext/>
            </w:pPr>
            <w:r>
              <w:rPr>
                <w:sz w:val="17"/>
                <w:szCs w:val="17"/>
              </w:rPr>
              <w:t xml:space="preserve">(0.376)</w:t>
            </w:r>
          </w:p>
        </w:tc>
      </w:tr>
      <w:tr>
        <w:trPr>
          <w:cantSplit/>
        </w:trPr>
        <w:tc>
          <w:tcPr>
            <w:tcW w:type="dxa" w:w="2554"/>
          </w:tcPr>
          <w:p>
            <w:pPr>
              <w:pStyle w:val="Compact"/>
              <w:spacing w:before="20" w:after="20" w:line="240" w:lineRule="auto"/>
              <w:keepNext/>
            </w:pPr>
            <w:r>
              <w:rPr>
                <w:sz w:val="17"/>
                <w:szCs w:val="17"/>
              </w:rPr>
              <w:t xml:space="preserve">PCT(WO)</w:t>
            </w:r>
          </w:p>
        </w:tc>
        <w:tc>
          <w:tcPr>
            <w:tcW w:type="dxa" w:w="1393"/>
          </w:tcPr>
          <w:p>
            <w:pPr>
              <w:pStyle w:val="Compact"/>
              <w:spacing w:before="20" w:after="20" w:line="240" w:lineRule="auto"/>
              <w:jc w:val="center"/>
              <w:keepNext/>
            </w:pPr>
            <w:r>
              <w:rPr>
                <w:sz w:val="17"/>
                <w:szCs w:val="17"/>
              </w:rPr>
              <w:t xml:space="preserve">1.126</w:t>
            </w:r>
          </w:p>
        </w:tc>
        <w:tc>
          <w:tcPr>
            <w:tcW w:type="dxa" w:w="1858"/>
          </w:tcPr>
          <w:p>
            <w:pPr>
              <w:pStyle w:val="Compact"/>
              <w:spacing w:before="20" w:after="20" w:line="240" w:lineRule="auto"/>
              <w:jc w:val="center"/>
              <w:keepNext/>
            </w:pPr>
            <w:r>
              <w:rPr>
                <w:sz w:val="17"/>
                <w:szCs w:val="17"/>
              </w:rPr>
              <w:t xml:space="preserve">(0.302)</w:t>
            </w:r>
          </w:p>
        </w:tc>
        <w:tc>
          <w:tcPr>
            <w:tcW w:type="dxa" w:w="1405"/>
          </w:tcPr>
          <w:p>
            <w:pPr>
              <w:pStyle w:val="Compact"/>
              <w:spacing w:before="20" w:after="20" w:line="240" w:lineRule="auto"/>
              <w:jc w:val="center"/>
              <w:keepNext/>
            </w:pPr>
            <w:r>
              <w:rPr>
                <w:sz w:val="17"/>
                <w:szCs w:val="17"/>
              </w:rPr>
              <w:t xml:space="preserve">1.997**</w:t>
            </w:r>
          </w:p>
        </w:tc>
        <w:tc>
          <w:tcPr>
            <w:tcW w:type="dxa" w:w="1858"/>
          </w:tcPr>
          <w:p>
            <w:pPr>
              <w:pStyle w:val="Compact"/>
              <w:spacing w:before="20" w:after="20" w:line="240" w:lineRule="auto"/>
              <w:jc w:val="center"/>
              <w:keepNext/>
            </w:pPr>
            <w:r>
              <w:rPr>
                <w:sz w:val="17"/>
                <w:szCs w:val="17"/>
              </w:rPr>
              <w:t xml:space="preserve">(0.645)</w:t>
            </w:r>
          </w:p>
        </w:tc>
      </w:tr>
      <w:tr>
        <w:trPr>
          <w:cantSplit/>
        </w:trPr>
        <w:tc>
          <w:tcPr>
            <w:tcW w:type="dxa" w:w="2554"/>
          </w:tcPr>
          <w:p>
            <w:pPr>
              <w:pStyle w:val="Compact"/>
              <w:spacing w:before="20" w:after="20" w:line="240" w:lineRule="auto"/>
              <w:keepNext/>
            </w:pPr>
            <w:r>
              <w:rPr>
                <w:sz w:val="17"/>
                <w:szCs w:val="17"/>
              </w:rPr>
              <w:t xml:space="preserve">기타</w:t>
            </w:r>
          </w:p>
        </w:tc>
        <w:tc>
          <w:tcPr>
            <w:tcW w:type="dxa" w:w="1393"/>
          </w:tcPr>
          <w:p>
            <w:pPr>
              <w:pStyle w:val="Compact"/>
              <w:spacing w:before="20" w:after="20" w:line="240" w:lineRule="auto"/>
              <w:jc w:val="center"/>
              <w:keepNext/>
            </w:pPr>
            <w:r>
              <w:rPr>
                <w:sz w:val="17"/>
                <w:szCs w:val="17"/>
              </w:rPr>
              <w:t xml:space="preserve">2.326</w:t>
            </w:r>
          </w:p>
        </w:tc>
        <w:tc>
          <w:tcPr>
            <w:tcW w:type="dxa" w:w="1858"/>
          </w:tcPr>
          <w:p>
            <w:pPr>
              <w:pStyle w:val="Compact"/>
              <w:spacing w:before="20" w:after="20" w:line="240" w:lineRule="auto"/>
              <w:jc w:val="center"/>
              <w:keepNext/>
            </w:pPr>
            <w:r>
              <w:rPr>
                <w:sz w:val="17"/>
                <w:szCs w:val="17"/>
              </w:rPr>
              <w:t xml:space="preserve">(1.585)</w:t>
            </w:r>
          </w:p>
        </w:tc>
        <w:tc>
          <w:tcPr>
            <w:tcW w:type="dxa" w:w="1405"/>
          </w:tcPr>
          <w:p>
            <w:pPr>
              <w:pStyle w:val="Compact"/>
              <w:spacing w:before="20" w:after="20" w:line="240" w:lineRule="auto"/>
              <w:jc w:val="center"/>
              <w:keepNext/>
            </w:pPr>
            <w:r>
              <w:rPr>
                <w:sz w:val="17"/>
                <w:szCs w:val="17"/>
              </w:rPr>
              <w:t xml:space="preserve">1.901</w:t>
            </w:r>
          </w:p>
        </w:tc>
        <w:tc>
          <w:tcPr>
            <w:tcW w:type="dxa" w:w="1858"/>
          </w:tcPr>
          <w:p>
            <w:pPr>
              <w:pStyle w:val="Compact"/>
              <w:spacing w:before="20" w:after="20" w:line="240" w:lineRule="auto"/>
              <w:jc w:val="center"/>
              <w:keepNext/>
            </w:pPr>
            <w:r>
              <w:rPr>
                <w:sz w:val="17"/>
                <w:szCs w:val="17"/>
              </w:rPr>
              <w:t xml:space="preserve">(1.480)</w:t>
            </w:r>
          </w:p>
        </w:tc>
      </w:tr>
      <w:tr>
        <w:trPr>
          <w:cantSplit/>
        </w:trPr>
        <w:tc>
          <w:tcPr>
            <w:tcW w:type="dxa" w:w="2554"/>
          </w:tcPr>
          <w:p>
            <w:pPr>
              <w:pStyle w:val="Compact"/>
              <w:spacing w:before="20" w:after="20" w:line="240" w:lineRule="auto"/>
              <w:keepNext/>
            </w:pPr>
            <w:r>
              <w:rPr>
                <w:sz w:val="17"/>
                <w:szCs w:val="17"/>
              </w:rPr>
              <w:t xml:space="preserve">N</w:t>
            </w:r>
          </w:p>
        </w:tc>
        <w:tc>
          <w:tcPr>
            <w:tcW w:type="dxa" w:w="1393"/>
          </w:tcPr>
          <w:p>
            <w:pPr>
              <w:pStyle w:val="Compact"/>
              <w:spacing w:before="20" w:after="20" w:line="240" w:lineRule="auto"/>
              <w:jc w:val="center"/>
              <w:keepNext/>
            </w:pPr>
            <w:r>
              <w:rPr>
                <w:sz w:val="17"/>
                <w:szCs w:val="17"/>
              </w:rPr>
              <w:t xml:space="preserve">928</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로그우도</w:t>
            </w:r>
          </w:p>
        </w:tc>
        <w:tc>
          <w:tcPr>
            <w:tcW w:type="dxa" w:w="1393"/>
          </w:tcPr>
          <w:p>
            <w:pPr>
              <w:pStyle w:val="Compact"/>
              <w:spacing w:before="20" w:after="20" w:line="240" w:lineRule="auto"/>
              <w:jc w:val="center"/>
              <w:keepNext/>
            </w:pPr>
            <w:r>
              <w:rPr>
                <w:sz w:val="17"/>
                <w:szCs w:val="17"/>
              </w:rPr>
              <w:t xml:space="preserve">−774.5</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r>
        <w:trPr>
          <w:cantSplit/>
        </w:trPr>
        <w:tc>
          <w:tcPr>
            <w:tcW w:type="dxa" w:w="2554"/>
          </w:tcPr>
          <w:p>
            <w:pPr>
              <w:pStyle w:val="Compact"/>
              <w:spacing w:before="20" w:after="20" w:line="240" w:lineRule="auto"/>
              <w:keepNext/>
            </w:pPr>
            <w:r>
              <w:rPr>
                <w:sz w:val="17"/>
                <w:szCs w:val="17"/>
              </w:rPr>
              <w:t xml:space="preserve">AIC</w:t>
            </w:r>
          </w:p>
        </w:tc>
        <w:tc>
          <w:tcPr>
            <w:tcW w:type="dxa" w:w="1393"/>
          </w:tcPr>
          <w:p>
            <w:pPr>
              <w:pStyle w:val="Compact"/>
              <w:spacing w:before="20" w:after="20" w:line="240" w:lineRule="auto"/>
              <w:jc w:val="center"/>
              <w:keepNext/>
            </w:pPr>
            <w:r>
              <w:rPr>
                <w:sz w:val="17"/>
                <w:szCs w:val="17"/>
              </w:rPr>
              <w:t xml:space="preserve">1,589.0</w:t>
            </w:r>
          </w:p>
        </w:tc>
        <w:tc>
          <w:tcPr>
            <w:tcW w:type="dxa" w:w="1858"/>
          </w:tcPr>
          <w:p>
            <w:pPr>
              <w:pStyle w:val="Compact"/>
              <w:spacing w:before="20" w:after="20" w:line="240" w:lineRule="auto"/>
              <w:keepNext/>
            </w:pPr>
          </w:p>
        </w:tc>
        <w:tc>
          <w:tcPr>
            <w:tcW w:type="dxa" w:w="1405"/>
          </w:tcPr>
          <w:p>
            <w:pPr>
              <w:pStyle w:val="Compact"/>
              <w:spacing w:before="20" w:after="20" w:line="240" w:lineRule="auto"/>
              <w:keepNext/>
            </w:pPr>
          </w:p>
        </w:tc>
        <w:tc>
          <w:tcPr>
            <w:tcW w:type="dxa" w:w="1858"/>
          </w:tcPr>
          <w:p>
            <w:pPr>
              <w:pStyle w:val="Compact"/>
              <w:spacing w:before="20" w:after="20" w:line="240" w:lineRule="auto"/>
              <w:keepNext/>
            </w:pPr>
          </w:p>
        </w:tc>
      </w:tr>
    </w:tbl>
    <w:p>
      <w:pPr>
        <w:pStyle w:val="BodyText"/>
      </w:pPr>
      <w:r>
        <w:t xml:space="preserve">관할권 대비는 공정 단독형 방정식에 집중되어 있다. 중국 출원청은 미국 출원청보다 공정 단독형 특허의 상대위험이 훨씬 높고(RRR 2.687, p &lt; 0.01), PCT 경로(RRR 1.997, p &lt; 0.05)도 높고 대만은 약한 증거만 있는(RRR 2.102, p = 0.07)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6은 각 출원을 해당 출원청에 두고 다른 공변량은 관측값에 둔 채 평균한 공정 단독형 전략의 예측 확률(평균 예측확률)을 도시한다. 그림 4가 공변량을 평균에 고정한 예측인 것과 달리 이 값은 표본 전체에서 평균한 것이다. 중국 출원청 출원은 약 4건 중 1건(0.255)이 공정 단독형으로 예측되는 반면, 미국 출원청은 약 7건 중 1건(0.143), 일본 출원청은 약 50건 중 1건(0.021)이다. H3a는 지지되며, H3b의 공정 단독형 성분은 전 기간 표본에서 지지된다. 두 결과의 강건성은 제5.4절에서 다룬다.</w:t>
      </w:r>
    </w:p>
    <w:p>
      <w:pPr>
        <w:pStyle w:val="BodyText"/>
        <w:keepNext/>
      </w:pPr>
      <w:r>
        <w:drawing>
          <wp:inline>
            <wp:extent cx="5334000" cy="3048000"/>
            <wp:effectExtent b="0" l="0" r="0" t="0"/>
            <wp:docPr descr="" title="" id="40" name="Picture"/>
            <a:graphic>
              <a:graphicData uri="http://schemas.openxmlformats.org/drawingml/2006/picture">
                <pic:pic>
                  <pic:nvPicPr>
                    <pic:cNvPr descr="figures/fig6_predicted_process_only_ko.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rPr>
          <w:b/>
          <w:bCs/>
        </w:rPr>
        <w:t xml:space="preserve">그림 6.</w:t>
      </w:r>
      <w:r>
        <w:t xml:space="preserve"> </w:t>
      </w:r>
      <w:r>
        <w:t xml:space="preserve">출원청별 공정 단독형 전략의 평균 예측확률(다항 로짓; 다른 공변량은 각 출원의 관측값에 둔 채 출원청만 바꾸어 평균; 모수 추정치의 표본추출 분포에서 얻은 95% 신뢰구간).</w:t>
      </w:r>
    </w:p>
    <w:bookmarkEnd w:id="42"/>
    <w:bookmarkStart w:id="46" w:name="가설-검정-요약과-강건성"/>
    <w:p>
      <w:pPr>
        <w:pStyle w:val="Heading3"/>
      </w:pPr>
      <w:r>
        <w:t xml:space="preserve">5.4 가설 검정 요약과 강건성</w:t>
      </w:r>
    </w:p>
    <w:p>
      <w:pPr>
        <w:pStyle w:val="FirstParagraph"/>
      </w:pPr>
      <w:r>
        <w:t xml:space="preserve">표 7은 가설 검정 결과를 요약하며, 판정에는 아래의 강건성 분석(표 8·9)을 반영하였다. H1은 다항 로짓의 통합형 방정식에서 지지되고 조정 범위, 패밀리 중복 제거, 엄격한 전공정 정의, 무관 용법 제외 표본에서도 유지된다. H2는 공정 단독형의 감소에 대해서는 모든 모형 설정에서 지지되지만 통합형의 유지에 대해서는 전 기간 평균에서만 성립하여 부분 지지로 판정한다. H3a는 기술범위의 협소함이 모든 설정에서, 공정 단독형 편중이 대부분의 설정에서 유지되어 지지로 판정하되, 공개 시차로 절단된 2023–2024년을 제외하면 공정 단독형 편중의 유의성이 사라진다는 예외를 명시한다. H3b는 범위 성분이 로버스트 표준오차에서 유의하지 않아 판정을 유보하고, 공정 단독형 성분은 2010년 이후 표본을 제외한 설정에서 유지되어 부분 지지로 판정한다.</w:t>
      </w:r>
    </w:p>
    <w:p>
      <w:pPr>
        <w:pStyle w:val="BodyText"/>
        <w:keepNext/>
      </w:pPr>
      <w:r>
        <w:rPr>
          <w:b/>
          <w:bCs/>
        </w:rPr>
        <w:t xml:space="preserve">표 7.</w:t>
      </w:r>
      <w:r>
        <w:t xml:space="preserve"> </w:t>
      </w:r>
      <w:r>
        <w:t xml:space="preserve">가설과 결과 요약(* p &lt; 0.10, ** p &lt; 0.05, *** p &lt; 0.01; 계수의 출처는 각 셀의 표 번호). 판정 기준: 지지 = 본 검정 계수가 예측 방향으로 5% 수준에서 유의하고 표 9의 강건성 설정 대부분에서 부호와 5% 유의성이 유지됨(예외는 명시); 부분 지지 = 가설의 일부 성분 또는 일부 설정에서만 유지됨; 판정 유보 = 기준 모형에서만 유의하고 로버스트 표준오차 또는 하위표본에서 유의성을 잃음.</w:t>
      </w:r>
    </w:p>
    <w:tbl>
      <w:tblPr>
        <w:tblStyle w:val="Table"/>
        <w:tblW w:type="dxa" w:w="9069"/>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549"/>
        <w:gridCol w:w="2611"/>
        <w:gridCol w:w="3298"/>
        <w:gridCol w:w="2611"/>
      </w:tblGrid>
      <w:tr>
        <w:trPr>
          <w:tblHeader w:val="on"/>
          <w:cantSplit/>
        </w:trPr>
        <w:tc>
          <w:tcPr>
            <w:tcW w:type="dxa" w:w="549"/>
            <w:tcBorders>
              <w:bottom w:val="single" w:sz="4" w:space="0" w:color="000000"/>
            </w:tcBorders>
          </w:tcPr>
          <w:p>
            <w:pPr>
              <w:pStyle w:val="Compact"/>
              <w:spacing w:before="20" w:after="20" w:line="240" w:lineRule="auto"/>
              <w:keepNext/>
            </w:pPr>
            <w:r>
              <w:rPr>
                <w:sz w:val="18"/>
                <w:szCs w:val="18"/>
              </w:rPr>
              <w:t xml:space="preserve">가설</w:t>
            </w:r>
          </w:p>
        </w:tc>
        <w:tc>
          <w:tcPr>
            <w:tcW w:type="dxa" w:w="2611"/>
            <w:tcBorders>
              <w:bottom w:val="single" w:sz="4" w:space="0" w:color="000000"/>
            </w:tcBorders>
          </w:tcPr>
          <w:p>
            <w:pPr>
              <w:pStyle w:val="Compact"/>
              <w:spacing w:before="20" w:after="20" w:line="240" w:lineRule="auto"/>
              <w:keepNext/>
            </w:pPr>
            <w:r>
              <w:rPr>
                <w:sz w:val="18"/>
                <w:szCs w:val="18"/>
              </w:rPr>
              <w:t xml:space="preserve">예측</w:t>
            </w:r>
          </w:p>
        </w:tc>
        <w:tc>
          <w:tcPr>
            <w:tcW w:type="dxa" w:w="3298"/>
            <w:tcBorders>
              <w:bottom w:val="single" w:sz="4" w:space="0" w:color="000000"/>
            </w:tcBorders>
          </w:tcPr>
          <w:p>
            <w:pPr>
              <w:pStyle w:val="Compact"/>
              <w:spacing w:before="20" w:after="20" w:line="240" w:lineRule="auto"/>
              <w:keepNext/>
            </w:pPr>
            <w:r>
              <w:rPr>
                <w:sz w:val="18"/>
                <w:szCs w:val="18"/>
              </w:rPr>
              <w:t xml:space="preserve">증거</w:t>
            </w:r>
          </w:p>
        </w:tc>
        <w:tc>
          <w:tcPr>
            <w:tcW w:type="dxa" w:w="2611"/>
            <w:tcBorders>
              <w:bottom w:val="single" w:sz="4" w:space="0" w:color="000000"/>
            </w:tcBorders>
          </w:tcPr>
          <w:p>
            <w:pPr>
              <w:pStyle w:val="Compact"/>
              <w:spacing w:before="20" w:after="20" w:line="240" w:lineRule="auto"/>
              <w:keepNext/>
            </w:pPr>
            <w:r>
              <w:rPr>
                <w:sz w:val="18"/>
                <w:szCs w:val="18"/>
              </w:rPr>
              <w:t xml:space="preserve">판정</w:t>
            </w:r>
          </w:p>
        </w:tc>
      </w:tr>
      <w:tr>
        <w:trPr>
          <w:cantSplit/>
        </w:trPr>
        <w:tc>
          <w:tcPr>
            <w:tcW w:type="dxa" w:w="549"/>
          </w:tcPr>
          <w:p>
            <w:pPr>
              <w:pStyle w:val="Compact"/>
              <w:spacing w:before="20" w:after="20" w:line="240" w:lineRule="auto"/>
              <w:keepNext/>
            </w:pPr>
            <w:r>
              <w:rPr>
                <w:sz w:val="18"/>
                <w:szCs w:val="18"/>
              </w:rPr>
              <w:t xml:space="preserve">H1</w:t>
            </w:r>
          </w:p>
        </w:tc>
        <w:tc>
          <w:tcPr>
            <w:tcW w:type="dxa" w:w="2611"/>
          </w:tcPr>
          <w:p>
            <w:pPr>
              <w:pStyle w:val="Compact"/>
              <w:spacing w:before="20" w:after="20" w:line="240" w:lineRule="auto"/>
              <w:keepNext/>
            </w:pPr>
            <w:r>
              <w:rPr>
                <w:sz w:val="18"/>
                <w:szCs w:val="18"/>
              </w:rPr>
              <w:t xml:space="preserve">범위가 넓을수록 경계 넘기(통합형)</w:t>
            </w:r>
          </w:p>
        </w:tc>
        <w:tc>
          <w:tcPr>
            <w:tcW w:type="dxa" w:w="3298"/>
          </w:tcPr>
          <w:p>
            <w:pPr>
              <w:pStyle w:val="Compact"/>
              <w:spacing w:before="20" w:after="20" w:line="240" w:lineRule="auto"/>
              <w:keepNext/>
            </w:pPr>
            <w:r>
              <w:rPr>
                <w:sz w:val="18"/>
                <w:szCs w:val="18"/>
              </w:rPr>
              <w:t xml:space="preserve">본 검정: RRR 통합형 1.403***, 공정 단독형 0.905**(표 6); 조정 범위 1.262***, 패밀리 중복 제거 1.295***, 엄격 전공정 정의 1.352***, 무관 용법 제외 1.384***(표 9); 보조: 전공정 지향 OR 1.267***(표 5)</w:t>
            </w:r>
          </w:p>
        </w:tc>
        <w:tc>
          <w:tcPr>
            <w:tcW w:type="dxa" w:w="2611"/>
          </w:tcPr>
          <w:p>
            <w:pPr>
              <w:pStyle w:val="Compact"/>
              <w:spacing w:before="20" w:after="20" w:line="240" w:lineRule="auto"/>
              <w:keepNext/>
            </w:pPr>
            <w:r>
              <w:rPr>
                <w:sz w:val="18"/>
                <w:szCs w:val="18"/>
              </w:rPr>
              <w:t xml:space="preserve">지지</w:t>
            </w:r>
          </w:p>
        </w:tc>
      </w:tr>
      <w:tr>
        <w:trPr>
          <w:cantSplit/>
        </w:trPr>
        <w:tc>
          <w:tcPr>
            <w:tcW w:type="dxa" w:w="549"/>
          </w:tcPr>
          <w:p>
            <w:pPr>
              <w:pStyle w:val="Compact"/>
              <w:spacing w:before="20" w:after="20" w:line="240" w:lineRule="auto"/>
              <w:keepNext/>
            </w:pPr>
            <w:r>
              <w:rPr>
                <w:sz w:val="18"/>
                <w:szCs w:val="18"/>
              </w:rPr>
              <w:t xml:space="preserve">H2</w:t>
            </w:r>
          </w:p>
        </w:tc>
        <w:tc>
          <w:tcPr>
            <w:tcW w:type="dxa" w:w="2611"/>
          </w:tcPr>
          <w:p>
            <w:pPr>
              <w:pStyle w:val="Compact"/>
              <w:spacing w:before="20" w:after="20" w:line="240" w:lineRule="auto"/>
              <w:keepNext/>
            </w:pPr>
            <w:r>
              <w:rPr>
                <w:sz w:val="18"/>
                <w:szCs w:val="18"/>
              </w:rPr>
              <w:t xml:space="preserve">공정 단독형은 시간에 따라 감소, 통합형은 유지</w:t>
            </w:r>
          </w:p>
        </w:tc>
        <w:tc>
          <w:tcPr>
            <w:tcW w:type="dxa" w:w="3298"/>
          </w:tcPr>
          <w:p>
            <w:pPr>
              <w:pStyle w:val="Compact"/>
              <w:spacing w:before="20" w:after="20" w:line="240" w:lineRule="auto"/>
              <w:keepNext/>
            </w:pPr>
            <w:r>
              <w:rPr>
                <w:sz w:val="18"/>
                <w:szCs w:val="18"/>
              </w:rPr>
              <w:t xml:space="preserve">공정 단독형: 모든 모형 설정에서 감소(RRR 0.913***, 표 6; 기간 더미 0.273***/0.101***, 표 9). 통합형: 전 기간 평탄(0.993; 표 6)이나 2015–2019년 정점 후 감소(두 기간 계수 차이 Wald p &lt; 0.001; 2010년 이후 표본 0.934**, 엄격 전공정 정의 0.967**, 무관 용법 제외 0.949**; 표 9)</w:t>
            </w:r>
          </w:p>
        </w:tc>
        <w:tc>
          <w:tcPr>
            <w:tcW w:type="dxa" w:w="2611"/>
          </w:tcPr>
          <w:p>
            <w:pPr>
              <w:pStyle w:val="Compact"/>
              <w:spacing w:before="20" w:after="20" w:line="240" w:lineRule="auto"/>
              <w:keepNext/>
            </w:pPr>
            <w:r>
              <w:rPr>
                <w:sz w:val="18"/>
                <w:szCs w:val="18"/>
              </w:rPr>
              <w:t xml:space="preserve">부분 지지(공정 단독형의 감소만)</w:t>
            </w:r>
          </w:p>
        </w:tc>
      </w:tr>
      <w:tr>
        <w:trPr>
          <w:cantSplit/>
        </w:trPr>
        <w:tc>
          <w:tcPr>
            <w:tcW w:type="dxa" w:w="549"/>
          </w:tcPr>
          <w:p>
            <w:pPr>
              <w:pStyle w:val="Compact"/>
              <w:spacing w:before="20" w:after="20" w:line="240" w:lineRule="auto"/>
              <w:keepNext/>
            </w:pPr>
            <w:r>
              <w:rPr>
                <w:sz w:val="18"/>
                <w:szCs w:val="18"/>
              </w:rPr>
              <w:t xml:space="preserve">H3a</w:t>
            </w:r>
          </w:p>
        </w:tc>
        <w:tc>
          <w:tcPr>
            <w:tcW w:type="dxa" w:w="2611"/>
          </w:tcPr>
          <w:p>
            <w:pPr>
              <w:pStyle w:val="Compact"/>
              <w:spacing w:before="20" w:after="20" w:line="240" w:lineRule="auto"/>
              <w:keepNext/>
            </w:pPr>
            <w:r>
              <w:rPr>
                <w:sz w:val="18"/>
                <w:szCs w:val="18"/>
              </w:rPr>
              <w:t xml:space="preserve">중국 출원청 출원이 기술범위가 좁고 더 전공정 지향적(특히 공정 단독형)</w:t>
            </w:r>
          </w:p>
        </w:tc>
        <w:tc>
          <w:tcPr>
            <w:tcW w:type="dxa" w:w="3298"/>
          </w:tcPr>
          <w:p>
            <w:pPr>
              <w:pStyle w:val="Compact"/>
              <w:spacing w:before="20" w:after="20" w:line="240" w:lineRule="auto"/>
              <w:keepNext/>
            </w:pPr>
            <w:r>
              <w:rPr>
                <w:sz w:val="18"/>
                <w:szCs w:val="18"/>
              </w:rPr>
              <w:t xml:space="preserve">기술범위: IRR 0.785***(표 4), 모든 설정에서 유지(표 9). 공정 단독형: RRR 2.687***(표 6), 2.720–3.299***(표 9)이나 2023–2024년 제외 시 1.651(비유의). 전공정 지향 OR 1.650**(표 5), 조정 범위에서는 1.467*</w:t>
            </w:r>
          </w:p>
        </w:tc>
        <w:tc>
          <w:tcPr>
            <w:tcW w:type="dxa" w:w="2611"/>
          </w:tcPr>
          <w:p>
            <w:pPr>
              <w:pStyle w:val="Compact"/>
              <w:spacing w:before="20" w:after="20" w:line="240" w:lineRule="auto"/>
              <w:keepNext/>
            </w:pPr>
            <w:r>
              <w:rPr>
                <w:sz w:val="18"/>
                <w:szCs w:val="18"/>
              </w:rPr>
              <w:t xml:space="preserve">지지(공정 단독형 성분은 2023–2024년 제외 시 유의성 상실)</w:t>
            </w:r>
          </w:p>
        </w:tc>
      </w:tr>
      <w:tr>
        <w:trPr>
          <w:cantSplit/>
        </w:trPr>
        <w:tc>
          <w:tcPr>
            <w:tcW w:type="dxa" w:w="549"/>
          </w:tcPr>
          <w:p>
            <w:pPr>
              <w:pStyle w:val="Compact"/>
              <w:spacing w:before="20" w:after="20" w:line="240" w:lineRule="auto"/>
              <w:keepNext/>
            </w:pPr>
            <w:r>
              <w:rPr>
                <w:sz w:val="18"/>
                <w:szCs w:val="18"/>
              </w:rPr>
              <w:t xml:space="preserve">H3b</w:t>
            </w:r>
          </w:p>
        </w:tc>
        <w:tc>
          <w:tcPr>
            <w:tcW w:type="dxa" w:w="2611"/>
          </w:tcPr>
          <w:p>
            <w:pPr>
              <w:pStyle w:val="Compact"/>
              <w:spacing w:before="20" w:after="20" w:line="240" w:lineRule="auto"/>
              <w:keepNext/>
            </w:pPr>
            <w:r>
              <w:rPr>
                <w:sz w:val="18"/>
                <w:szCs w:val="18"/>
              </w:rPr>
              <w:t xml:space="preserve">일본 출원청 출원이 더 넓고 공정 단독형이 드묾</w:t>
            </w:r>
          </w:p>
        </w:tc>
        <w:tc>
          <w:tcPr>
            <w:tcW w:type="dxa" w:w="3298"/>
          </w:tcPr>
          <w:p>
            <w:pPr>
              <w:pStyle w:val="Compact"/>
              <w:spacing w:before="20" w:after="20" w:line="240" w:lineRule="auto"/>
              <w:keepNext/>
            </w:pPr>
            <w:r>
              <w:rPr>
                <w:sz w:val="18"/>
                <w:szCs w:val="18"/>
              </w:rPr>
              <w:t xml:space="preserve">기술범위: IRR 1.270*(표 4)이나 로버스트 표준오차에서 비유의(p = 0.20); 2010년 이후 표본의 1.577***(보충자료 S1)는 기술범위 21의 동일 패밀리 4건에 의존. 공정 단독형: RRR 0.086***(표 6), 조정 범위·패밀리 중복 제거·엄격 전공정 정의·무관 용법 제외·2023–2024년 제외에서 유지되나 2010년 이후 표본에서는 비유의(3.240; 표 9); N = 26</w:t>
            </w:r>
          </w:p>
        </w:tc>
        <w:tc>
          <w:tcPr>
            <w:tcW w:type="dxa" w:w="2611"/>
          </w:tcPr>
          <w:p>
            <w:pPr>
              <w:pStyle w:val="Compact"/>
              <w:spacing w:before="20" w:after="20" w:line="240" w:lineRule="auto"/>
              <w:keepNext/>
            </w:pPr>
            <w:r>
              <w:rPr>
                <w:sz w:val="18"/>
                <w:szCs w:val="18"/>
              </w:rPr>
              <w:t xml:space="preserve">기술범위 성분은 판정 유보, 공정 단독형 성분은 부분 지지</w:t>
            </w:r>
          </w:p>
        </w:tc>
      </w:tr>
    </w:tbl>
    <w:p>
      <w:pPr>
        <w:pStyle w:val="BodyText"/>
      </w:pPr>
      <w:r>
        <w:t xml:space="preserve">결과의 강건성은 원자료(출원–CPC 레코드 5,277건)로 변수 구성과 표본을 바꾸어 다시 추정하는 방식으로 점검하였다. 표 8은 기간별 전략 유형의 분포를, 표 9는 핵심 계수를 모형 설정별로 비교한다.</w:t>
      </w:r>
    </w:p>
    <w:p>
      <w:pPr>
        <w:pStyle w:val="BodyText"/>
      </w:pPr>
      <w:r>
        <w:rPr>
          <w:b/>
          <w:b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유의하다(이항 로짓의 전공정 지향 OR도 1.267에서 1.179로 줄지만 유의하다). 공정 단독형 방정식의 범위 계수(0.915, p &lt; 0.05)와 중국·일본 출원청 계수는 사실상 변하지 않는다. H1은 기계적 하한을 제거한 뒤에도 지지된다. 다만 조정 범위는 정의상의 하한만 제거할 뿐, 통합형이 두 클래스 모두에서 추가 기호를 얻을 수 있다는 구성상의 이점까지 제거하지는 못한다. 따라서 1.262는 구성상의 연관을 완전히 배제한 값이 아니라 그 일부를 여전히 포함한 값이며, 범위와 경계 넘기 사이의 전략적 연관의 크기에 대한 상한으로 읽어야 한다.</w:t>
      </w:r>
    </w:p>
    <w:p>
      <w:pPr>
        <w:pStyle w:val="BodyText"/>
      </w:pPr>
      <w:r>
        <w:rPr>
          <w:b/>
          <w:bCs/>
        </w:rPr>
        <w:t xml:space="preserve">둘째, 기간 구분과 2010년 이후 하위표본.</w:t>
      </w:r>
      <w:r>
        <w:t xml:space="preserve"> </w:t>
      </w:r>
      <w:r>
        <w:t xml:space="preserve">기간은 사후에 고른 것이 아니라 5년 단위 달력 구간(2015–2019년, 2020–2024년)으로 나누었으며, 출원이 희소한 1968–2014년은 첫 기간으로 묶었다(각 179·209·540건). 표 8에서 공정 단독형의 비중은 2014년 이전 43.6%에서 2015–2019년 14.8%, 2020–2024년 10.4%로 단조 감소한다. 통합형은 31.3%에서 62.2%로 급증한 뒤 44.3%로 낮아지고, 조립 단독형은 25.1%와 23.0%에서 45.4%로 늘어난다(그림 7). 선형 연도 추세 대신 기간 더미를 넣은 다항 로짓에서 통합형의 상대위험은 2014년 이전 대비 2015–2019년에 1.707(p = 0.09), 2020–2024년에 0.762(비유의)이며, 두 기간 계수의 차이는 유의하다(Wald χ²(1) = 13.9, p &lt; 0.001). 공정 단독형은 0.273과 0.101(모두 p &lt; 0.01)로 낮아진다. 경계를 1년 앞당기거나 늦추어도(2013/2018년, 2015/2020년) 공정 단독형의 감소는 두 기간 모두 1% 수준에서 유지되며, 통합형의 상승 후 하락은 방향이 같지만 유의성은 경계에 따라 10% 수준을 오간다. 2010년 이후 표본(N = 830)에서는 통합형의 연도 계수가 0.934(p &lt; 0.05)로 유의하게 음이며, 공정 단독형은 0.862(p &lt; 0.01)로 더 가파르게 감소한다. 같은 표본에서 기술범위의 연도 추세는 IRR 0.970(p &lt; 0.01)으로 부호가 바뀐다. 정리하면 공정 단독형의 감소는 모든 모형 설정에서 일관되지만, 통합형이 비중을 유지한다는 결과는 전 기간 선형 평균에 국한된다.</w:t>
      </w:r>
    </w:p>
    <w:p>
      <w:pPr>
        <w:pStyle w:val="BodyText"/>
      </w:pPr>
      <w:r>
        <w:rPr>
          <w:b/>
          <w:bCs/>
        </w:rPr>
        <w:t xml:space="preserve">셋째, 출원청 효과.</w:t>
      </w:r>
      <w:r>
        <w:t xml:space="preserve"> </w:t>
      </w:r>
      <w:r>
        <w:t xml:space="preserve">중국 출원청의 공정 단독형 상대위험은 2.687(전 기간), 2.720(조정 범위), 2.701(2010년 이후), 2.898(기간 더미), 2.721(패밀리 중복 제거), 3.299(엄격 전공정 정의), 3.235(무관 용법 제외)로 1% 수준에서 유지되며, 기술범위의 협소함(IRR 0.785–0.808)도 모든 설정에서 유지된다. 다만 2023–2024년을 제외하면 공정 단독형 상대위험은 1.651(p = 0.12)로 유의성을 잃는다(다섯째 항목). 일본 출원청의 결과는 두 성분이 갈린다. 공정 단독형 상대위험 0.086은 기간 더미(0.239, p &lt; 0.05), 패밀리 중복 제거(0.061, p &lt; 0.05), 엄격 전공정 정의(0.103, p &lt; 0.01), 무관 용법 제외(0.015, p &lt; 0.01), 2023–2024년 제외(0.061, p &lt; 0.01)에서 유지되지만 2010년 이후 표본에서는 3.240(비유의)으로 사라지고, 같은 표본에서 통합형 상대위험은 6.795(p &lt; 0.10)로 나타난다. 일본 출원청 출원은 26건에 불과하고 그중 11건이 2010년 이전 출원이어서, 2010년 이후 표본의 일본 계수는 조립 단독형 1건, 통합형 13건, 공정 단독형 1건 위에서 추정된 값이며 신뢰할 수 없다. 기타 출원청(16건)도 2010년 이후 표본에서는 공정 단독형이 0건이어서 해당 계수는 식별되지 않는다(보충자료 S1). 범위 성분은 더 약하다. 음이항의 일본 계수(IRR 1.270)는 이분산 로버스트 표준오차에서 유의하지 않고(p = 0.20), 2010년 이후 표본의 IRR 1.577(p &lt; 0.01)은 기술범위가 21인 동일 패밀리 출원 4건에 의존하여 이를 제외하면 1.057(p = 0.75)이 된다. 따라서 H3b의 범위 성분은 판정을 유보하고 공정 단독형 성분은 부분 지지로 판정한다.</w:t>
      </w:r>
    </w:p>
    <w:p>
      <w:pPr>
        <w:pStyle w:val="BodyText"/>
      </w:pPr>
      <w:r>
        <w:rPr>
          <w:b/>
          <w:b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 출원에도 부여되어 있고, 2015년 이후 접합 기호를 가진 출원 662건 중 97.6%는 이들 기존 기호를 하나 이상 보유하며 같은 기간 H01L24 계열 레코드의 76.7%가 이들 기호에 부여되어 있어, 새 기호의 신설이 주된 원인은 아니다. 다만 CPC는 2013년 도입 이후 과거 문헌에 소급 부여되므로 표본 내 최초 등장 연도는 기호의 신설 시점을 알려주지 못하며, 이 점검만으로 분류 관행 변화를 배제할 수는 없다. 실제로 출원당 H01L24 계열 기호 수는 2014년 이전 3.03개에서 2015–2019년 4.73개로 늘었다가 2020–2024년 3.91개로 낮아졌고, 접합 기호를 하나라도 가진 출원의 비율은 56.4%에서 85.2%, 89.6%로 높아진 반면, H01L21 계열 기호 수는 2.12개, 2.23개에서 2020–2024년 1.46개로 줄었다. 이 변화는 발명의 중심이 공정에서 접합 구조로 옮겨갔다는 해석과도, 접합 코드가 더 폭넓게 부여되고 최근 공개 문헌의 공정 코드 부여가 아직 완결되지 않았다는 해석과도 맞아떨어지며, 본 연구의 자료로는 둘을 가려낼 수 없다. 재구성 해석은 이 유보 아래 제시한다.</w:t>
      </w:r>
    </w:p>
    <w:p>
      <w:pPr>
        <w:pStyle w:val="BodyText"/>
      </w:pPr>
      <w:r>
        <w:rPr>
          <w:b/>
          <w:bCs/>
        </w:rPr>
        <w:t xml:space="preserve">다섯째, 추정 모형의 선택과 표본 절단.</w:t>
      </w:r>
      <w:r>
        <w:t xml:space="preserve"> </w:t>
      </w:r>
      <w:r>
        <w:t xml:space="preserve">연도와 중국 출원청 효과의 부호와 유의성은 OLS, 로버스트 OLS, Poisson, 음이항 모형에서 동일하다(표 4). 2023–2024년의 출원 감소는 공개 시차의 인공물이므로, 이 두 해를 제외한 표본(N = 753)으로도 재추정하였다. 범위·연도·일본 계수는 유지되지만(범위 → 통합형 RRR 1.418, p &lt; 0.01; 연도 → 공정 단독형 0.909, p &lt; 0.01; 일본 → 공정 단독형 0.061, p &lt; 0.01), 중국 출원청의 공정 단독형 상대위험은 1.651(p = 0.12)로, 전공정 지향 승산비는 1.389(p = 0.16)로 낮아져 유의성을 잃는다. 2023–2024년 중국 출원청 출원 39건 중 18건이 공정 단독형인 반면 미국 출원청은 65건 중 3건에 그치기 때문이다. 이 두 해의 출원은 평균 범위가 4.7개로 2019–2022년의 5.4–6.4개보다 작은데, 이는 최근 공개된 출원의 CPC 부여가 아직 완결되지 않은 결과일 수도 있고 2010년 이후 표본에서 확인된 범위 축소 추세의 연장일 수도 있어 본 연구의 자료로는 가려낼 수 없다. 따라서 중국 출원청의 공정 단독형 편중은 최근 2년의 출원에 상당 부분 의존하며, 그 부분이 분류 미완결의 인공물일 가능성을 배제할 수 없다. 중국 출원청 출원의 범위가 좁다는 결과(IRR 0.808, p &lt; 0.01)는 이 표본에서도 유지된다. 다항 결과는 조립 단독형 기준 대비 상대적 경향으로 읽는다. 무관 대안의 독립성 가정을 간접 점검하기 위해 공정 단독형을 제외한 표본(N = 763)에서 통합형 대 조립 단독형을 이항 로짓으로 추정하면 범위(OR 1.463), 연도(0.987), 중국 출원청(1.177)의 계수가 다항 로짓 통합형 방정식의 값(1.403, 0.993, 1.205)과 거의 같아, 세 번째 대안의 존재가 통합형 방정식의 추정을 왜곡한다는 징후는 없다.</w:t>
      </w:r>
    </w:p>
    <w:p>
      <w:pPr>
        <w:pStyle w:val="BodyText"/>
      </w:pPr>
      <w:r>
        <w:rPr>
          <w:b/>
          <w:bCs/>
        </w:rPr>
        <w:t xml:space="preserve">여섯째, 전공정 정의의 조작성.</w:t>
      </w:r>
      <w:r>
        <w:t xml:space="preserve"> </w:t>
      </w:r>
      <w:r>
        <w:t xml:space="preserve">H01L21은 리소그래피, 식각, 증착, 웨이퍼 접합 등 웨이퍼 제조공정 외에 조립 전 부품 제조(21/48), 조립·실장·봉지(21/50–21/58), 리드 부착(21/60), 다이싱(21/78) 등 조립 단계 성격의 메인그룹도 포함한다(제4.2절). 조립 단계 그룹의 기호를 제조공정 청구로 세지 않는 엄격한 정의로 변수를 다시 만들면(어느 클래스의 기호도 남지 않는 20건 제외, N = 908), 전공정 지향은 52.0%로 낮아지고 유형 분포는 조립 단독형 425건(46.8%), 통합형 338건(37.2%), 공정 단독형 145건(16.0%)으로 바뀌어 조립 단독형이 최빈 유형이 된다. 그러나 계수의 부호와 유의성은 유지된다. 범위 → 통합형 RRR 1.352(p &lt; 0.01), 연도 → 공정 단독형 0.898(p &lt; 0.01), 중국 → 공정 단독형 3.299(p &lt; 0.01), 일본 → 공정 단독형 0.103(p &lt; 0.01)이며, 통합형의 연도 계수는 0.967(p &lt; 0.05)로 전 기간에서도 음이 되어 H2의 둘째 부분은 이 정의에서 더 약해진다. 한국(2.636), 대만(2.683), PCT(2.170)의 공정 단독형 상대위험은 이 정의에서 5% 수준에서 유의해진다. 따라서 통합형이 최빈 유형이라는 기술통계는 H01L21 전체를 제조공정으로 보는 조작적 정의에 의존하지만, 가설 검정의 결론은 정의에 좌우되지 않는다.</w:t>
      </w:r>
    </w:p>
    <w:p>
      <w:pPr>
        <w:pStyle w:val="BodyText"/>
      </w:pPr>
      <w:r>
        <w:rPr>
          <w:b/>
          <w:bCs/>
        </w:rPr>
        <w:t xml:space="preserve">일곱째, 패밀리 중복과 관측치의 비독립성.</w:t>
      </w:r>
      <w:r>
        <w:t xml:space="preserve"> </w:t>
      </w:r>
      <w:r>
        <w:t xml:space="preserve">제4.1절에서 밝힌 대로 928건은 473개 제목으로 구성되며 186개 제목이 반복된다. 표 4–6의 표준오차는 출원 간 독립을 가정하므로, 제목 군집 표준오차로 다시 계산하면 범위 → 통합형, 중국 → 공정 단독형, 연도 → 공정 단독형, 이항 로짓의 범위 계수는 1% 수준에서 유지되지만, 범위 → 공정 단독형(RRR 0.905)은 p = 0.29, 일본 → 공정 단독형은 p = 0.06, 음이항의 연도 추세는 p = 0.13, 음이항의 일본 계수는 p = 0.25로 유의성을 잃는다. 제목당 최초 출원 1건만 남긴 표본(N = 473)에서는 조립 단독형 39.5%, 통합형 36.6%, 공정 단독형 23.9%이며, 범위 → 통합형 1.295, 범위 → 공정 단독형 0.826, 중국 → 공정 단독형 2.721, 연도 → 공정 단독형 0.935(모두 p &lt; 0.01), 일본 → 공정 단독형 0.061(p &lt; 0.05)로 핵심 결과가 유지된다. 같은 제목의 미국–중국 쌍 37개에서 기술범위는 34쌍(92%)이 동일하고 전략 유형은 36쌍이 동일하므로, 출원청 간 차이는 같은 발명의 청구 방식 차이가 아니라 어떤 발명이 어느 관할권에 출원되는가의 구성 차이로 읽어야 한다.</w:t>
      </w:r>
    </w:p>
    <w:p>
      <w:pPr>
        <w:pStyle w:val="BodyText"/>
      </w:pPr>
      <w:r>
        <w:rPr>
          <w:b/>
          <w:bCs/>
        </w:rPr>
        <w:t xml:space="preserve">여덟째, 검색어의 무관한 용법.</w:t>
      </w:r>
      <w:r>
        <w:t xml:space="preserve"> </w:t>
      </w:r>
      <w:r>
        <w:t xml:space="preserve">제4.1절에서 밝힌 대로 키워드 필터는 직접 접합의 무관한 용법도 포착한다. 제목에 이러한 용어가 포함된 68건(2014년 이전 36건; 미국 35, 중국 11, 일본 7, EPO 7, PCT 5, 한국 2, 대만 1)을 제외한 표본(N = 860; 목록은 보충자료 S2)에서 유형 분포는 통합형 47.4%, 조립 단독형 35.4%, 공정 단독형 17.2%이며, 범위 → 통합형 1.384(p &lt; 0.01), 중국 → 공정 단독형 3.235(p &lt; 0.01), 일본 → 공정 단독형 0.015(p &lt; 0.01), 연도 → 공정 단독형 0.820(p &lt; 0.01)으로 핵심 결과가 유지된다. 통합형의 연도 계수는 0.949(p &lt; 0.05)로 음이 되고 음이항의 연도 추세는 1.001(비유의)로 사라져, 전 기간 표본의 양의 범위 추세는 초기의 무관 용법 출원에 의존한 것임을 보여준다. 2010년 이전 관측치 가운데 남는 71건의 상당수는 실리콘 웨이퍼 직접 접합(SOI 웨이퍼 제조 등) 출원으로, 하이브리드 본딩의 유전체 접합을 이루는 전구 기술이다.</w:t>
      </w:r>
    </w:p>
    <w:p>
      <w:pPr>
        <w:pStyle w:val="BodyText"/>
        <w:keepNext/>
      </w:pPr>
      <w:r>
        <w:rPr>
          <w:b/>
          <w:bCs/>
        </w:rPr>
        <w:t xml:space="preserve">표 8.</w:t>
      </w:r>
      <w:r>
        <w:t xml:space="preserve"> </w:t>
      </w:r>
      <w:r>
        <w:t xml:space="preserve">기간별 전략 유형 분포(N = 928; 괄호 안은 행 비중).</w:t>
      </w:r>
    </w:p>
    <w:tbl>
      <w:tblPr>
        <w:tblStyle w:val="Table"/>
        <w:tblW w:type="dxa" w:w="9067"/>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760"/>
        <w:gridCol w:w="1760"/>
        <w:gridCol w:w="2053"/>
        <w:gridCol w:w="1564"/>
        <w:gridCol w:w="586"/>
        <w:gridCol w:w="1344"/>
      </w:tblGrid>
      <w:tr>
        <w:trPr>
          <w:tblHeader w:val="on"/>
          <w:cantSplit/>
        </w:trPr>
        <w:tc>
          <w:tcPr>
            <w:tcW w:type="dxa" w:w="1760"/>
            <w:tcBorders>
              <w:bottom w:val="single" w:sz="4" w:space="0" w:color="000000"/>
            </w:tcBorders>
          </w:tcPr>
          <w:p>
            <w:pPr>
              <w:pStyle w:val="Compact"/>
              <w:spacing w:before="20" w:after="20" w:line="240" w:lineRule="auto"/>
              <w:keepNext/>
            </w:pPr>
            <w:r>
              <w:rPr>
                <w:sz w:val="17"/>
                <w:szCs w:val="17"/>
              </w:rPr>
              <w:t xml:space="preserve">출원 기간</w:t>
            </w:r>
          </w:p>
        </w:tc>
        <w:tc>
          <w:tcPr>
            <w:tcW w:type="dxa" w:w="1760"/>
            <w:tcBorders>
              <w:bottom w:val="single" w:sz="4" w:space="0" w:color="000000"/>
            </w:tcBorders>
          </w:tcPr>
          <w:p>
            <w:pPr>
              <w:pStyle w:val="Compact"/>
              <w:spacing w:before="20" w:after="20" w:line="240" w:lineRule="auto"/>
              <w:keepNext/>
            </w:pPr>
            <w:r>
              <w:rPr>
                <w:sz w:val="17"/>
                <w:szCs w:val="17"/>
              </w:rPr>
              <w:t xml:space="preserve">조립 단독형</w:t>
            </w:r>
          </w:p>
        </w:tc>
        <w:tc>
          <w:tcPr>
            <w:tcW w:type="dxa" w:w="2053"/>
            <w:tcBorders>
              <w:bottom w:val="single" w:sz="4" w:space="0" w:color="000000"/>
            </w:tcBorders>
          </w:tcPr>
          <w:p>
            <w:pPr>
              <w:pStyle w:val="Compact"/>
              <w:spacing w:before="20" w:after="20" w:line="240" w:lineRule="auto"/>
              <w:keepNext/>
            </w:pPr>
            <w:r>
              <w:rPr>
                <w:sz w:val="17"/>
                <w:szCs w:val="17"/>
              </w:rPr>
              <w:t xml:space="preserve">통합형(경계 넘기)</w:t>
            </w:r>
          </w:p>
        </w:tc>
        <w:tc>
          <w:tcPr>
            <w:tcW w:type="dxa" w:w="1564"/>
            <w:tcBorders>
              <w:bottom w:val="single" w:sz="4" w:space="0" w:color="000000"/>
            </w:tcBorders>
          </w:tcPr>
          <w:p>
            <w:pPr>
              <w:pStyle w:val="Compact"/>
              <w:spacing w:before="20" w:after="20" w:line="240" w:lineRule="auto"/>
              <w:keepNext/>
            </w:pPr>
            <w:r>
              <w:rPr>
                <w:sz w:val="17"/>
                <w:szCs w:val="17"/>
              </w:rPr>
              <w:t xml:space="preserve">공정 단독형</w:t>
            </w:r>
          </w:p>
        </w:tc>
        <w:tc>
          <w:tcPr>
            <w:tcW w:type="dxa" w:w="586"/>
            <w:tcBorders>
              <w:bottom w:val="single" w:sz="4" w:space="0" w:color="000000"/>
            </w:tcBorders>
          </w:tcPr>
          <w:p>
            <w:pPr>
              <w:pStyle w:val="Compact"/>
              <w:spacing w:before="20" w:after="20" w:line="240" w:lineRule="auto"/>
              <w:jc w:val="right"/>
              <w:keepNext/>
            </w:pPr>
            <w:r>
              <w:rPr>
                <w:sz w:val="17"/>
                <w:szCs w:val="17"/>
              </w:rPr>
              <w:t xml:space="preserve">N</w:t>
            </w:r>
          </w:p>
        </w:tc>
        <w:tc>
          <w:tcPr>
            <w:tcW w:type="dxa" w:w="1344"/>
            <w:tcBorders>
              <w:bottom w:val="single" w:sz="4" w:space="0" w:color="000000"/>
            </w:tcBorders>
          </w:tcPr>
          <w:p>
            <w:pPr>
              <w:pStyle w:val="Compact"/>
              <w:spacing w:before="20" w:after="20" w:line="240" w:lineRule="auto"/>
              <w:jc w:val="right"/>
              <w:keepNext/>
            </w:pPr>
            <w:r>
              <w:rPr>
                <w:sz w:val="17"/>
                <w:szCs w:val="17"/>
              </w:rPr>
              <w:t xml:space="preserve">전공정 지향(%)</w:t>
            </w:r>
          </w:p>
        </w:tc>
      </w:tr>
      <w:tr>
        <w:trPr>
          <w:cantSplit/>
        </w:trPr>
        <w:tc>
          <w:tcPr>
            <w:tcW w:type="dxa" w:w="1760"/>
          </w:tcPr>
          <w:p>
            <w:pPr>
              <w:pStyle w:val="Compact"/>
              <w:spacing w:before="20" w:after="20" w:line="240" w:lineRule="auto"/>
              <w:keepNext/>
            </w:pPr>
            <w:r>
              <w:rPr>
                <w:sz w:val="17"/>
                <w:szCs w:val="17"/>
              </w:rPr>
              <w:t xml:space="preserve">–2014</w:t>
            </w:r>
          </w:p>
        </w:tc>
        <w:tc>
          <w:tcPr>
            <w:tcW w:type="dxa" w:w="1760"/>
          </w:tcPr>
          <w:p>
            <w:pPr>
              <w:pStyle w:val="Compact"/>
              <w:spacing w:before="20" w:after="20" w:line="240" w:lineRule="auto"/>
              <w:keepNext/>
            </w:pPr>
            <w:r>
              <w:rPr>
                <w:sz w:val="17"/>
                <w:szCs w:val="17"/>
              </w:rPr>
              <w:t xml:space="preserve">45 (25.1%)</w:t>
            </w:r>
          </w:p>
        </w:tc>
        <w:tc>
          <w:tcPr>
            <w:tcW w:type="dxa" w:w="2053"/>
          </w:tcPr>
          <w:p>
            <w:pPr>
              <w:pStyle w:val="Compact"/>
              <w:spacing w:before="20" w:after="20" w:line="240" w:lineRule="auto"/>
              <w:keepNext/>
            </w:pPr>
            <w:r>
              <w:rPr>
                <w:sz w:val="17"/>
                <w:szCs w:val="17"/>
              </w:rPr>
              <w:t xml:space="preserve">56 (31.3%)</w:t>
            </w:r>
          </w:p>
        </w:tc>
        <w:tc>
          <w:tcPr>
            <w:tcW w:type="dxa" w:w="1564"/>
          </w:tcPr>
          <w:p>
            <w:pPr>
              <w:pStyle w:val="Compact"/>
              <w:spacing w:before="20" w:after="20" w:line="240" w:lineRule="auto"/>
              <w:keepNext/>
            </w:pPr>
            <w:r>
              <w:rPr>
                <w:sz w:val="17"/>
                <w:szCs w:val="17"/>
              </w:rPr>
              <w:t xml:space="preserve">78 (43.6%)</w:t>
            </w:r>
          </w:p>
        </w:tc>
        <w:tc>
          <w:tcPr>
            <w:tcW w:type="dxa" w:w="586"/>
          </w:tcPr>
          <w:p>
            <w:pPr>
              <w:pStyle w:val="Compact"/>
              <w:spacing w:before="20" w:after="20" w:line="240" w:lineRule="auto"/>
              <w:jc w:val="right"/>
              <w:keepNext/>
            </w:pPr>
            <w:r>
              <w:rPr>
                <w:sz w:val="17"/>
                <w:szCs w:val="17"/>
              </w:rPr>
              <w:t xml:space="preserve">179</w:t>
            </w:r>
          </w:p>
        </w:tc>
        <w:tc>
          <w:tcPr>
            <w:tcW w:type="dxa" w:w="1344"/>
          </w:tcPr>
          <w:p>
            <w:pPr>
              <w:pStyle w:val="Compact"/>
              <w:spacing w:before="20" w:after="20" w:line="240" w:lineRule="auto"/>
              <w:jc w:val="right"/>
              <w:keepNext/>
            </w:pPr>
            <w:r>
              <w:rPr>
                <w:sz w:val="17"/>
                <w:szCs w:val="17"/>
              </w:rPr>
              <w:t xml:space="preserve">74.9</w:t>
            </w:r>
          </w:p>
        </w:tc>
      </w:tr>
      <w:tr>
        <w:trPr>
          <w:cantSplit/>
        </w:trPr>
        <w:tc>
          <w:tcPr>
            <w:tcW w:type="dxa" w:w="1760"/>
          </w:tcPr>
          <w:p>
            <w:pPr>
              <w:pStyle w:val="Compact"/>
              <w:spacing w:before="20" w:after="20" w:line="240" w:lineRule="auto"/>
              <w:keepNext/>
            </w:pPr>
            <w:r>
              <w:rPr>
                <w:sz w:val="17"/>
                <w:szCs w:val="17"/>
              </w:rPr>
              <w:t xml:space="preserve">2015–2019</w:t>
            </w:r>
          </w:p>
        </w:tc>
        <w:tc>
          <w:tcPr>
            <w:tcW w:type="dxa" w:w="1760"/>
          </w:tcPr>
          <w:p>
            <w:pPr>
              <w:pStyle w:val="Compact"/>
              <w:spacing w:before="20" w:after="20" w:line="240" w:lineRule="auto"/>
              <w:keepNext/>
            </w:pPr>
            <w:r>
              <w:rPr>
                <w:sz w:val="17"/>
                <w:szCs w:val="17"/>
              </w:rPr>
              <w:t xml:space="preserve">48 (23.0%)</w:t>
            </w:r>
          </w:p>
        </w:tc>
        <w:tc>
          <w:tcPr>
            <w:tcW w:type="dxa" w:w="2053"/>
          </w:tcPr>
          <w:p>
            <w:pPr>
              <w:pStyle w:val="Compact"/>
              <w:spacing w:before="20" w:after="20" w:line="240" w:lineRule="auto"/>
              <w:keepNext/>
            </w:pPr>
            <w:r>
              <w:rPr>
                <w:sz w:val="17"/>
                <w:szCs w:val="17"/>
              </w:rPr>
              <w:t xml:space="preserve">130 (62.2%)</w:t>
            </w:r>
          </w:p>
        </w:tc>
        <w:tc>
          <w:tcPr>
            <w:tcW w:type="dxa" w:w="1564"/>
          </w:tcPr>
          <w:p>
            <w:pPr>
              <w:pStyle w:val="Compact"/>
              <w:spacing w:before="20" w:after="20" w:line="240" w:lineRule="auto"/>
              <w:keepNext/>
            </w:pPr>
            <w:r>
              <w:rPr>
                <w:sz w:val="17"/>
                <w:szCs w:val="17"/>
              </w:rPr>
              <w:t xml:space="preserve">31 (14.8%)</w:t>
            </w:r>
          </w:p>
        </w:tc>
        <w:tc>
          <w:tcPr>
            <w:tcW w:type="dxa" w:w="586"/>
          </w:tcPr>
          <w:p>
            <w:pPr>
              <w:pStyle w:val="Compact"/>
              <w:spacing w:before="20" w:after="20" w:line="240" w:lineRule="auto"/>
              <w:jc w:val="right"/>
              <w:keepNext/>
            </w:pPr>
            <w:r>
              <w:rPr>
                <w:sz w:val="17"/>
                <w:szCs w:val="17"/>
              </w:rPr>
              <w:t xml:space="preserve">209</w:t>
            </w:r>
          </w:p>
        </w:tc>
        <w:tc>
          <w:tcPr>
            <w:tcW w:type="dxa" w:w="1344"/>
          </w:tcPr>
          <w:p>
            <w:pPr>
              <w:pStyle w:val="Compact"/>
              <w:spacing w:before="20" w:after="20" w:line="240" w:lineRule="auto"/>
              <w:jc w:val="right"/>
              <w:keepNext/>
            </w:pPr>
            <w:r>
              <w:rPr>
                <w:sz w:val="17"/>
                <w:szCs w:val="17"/>
              </w:rPr>
              <w:t xml:space="preserve">77.0</w:t>
            </w:r>
          </w:p>
        </w:tc>
      </w:tr>
      <w:tr>
        <w:trPr>
          <w:cantSplit/>
        </w:trPr>
        <w:tc>
          <w:tcPr>
            <w:tcW w:type="dxa" w:w="1760"/>
          </w:tcPr>
          <w:p>
            <w:pPr>
              <w:pStyle w:val="Compact"/>
              <w:spacing w:before="20" w:after="20" w:line="240" w:lineRule="auto"/>
              <w:keepNext/>
            </w:pPr>
            <w:r>
              <w:rPr>
                <w:sz w:val="17"/>
                <w:szCs w:val="17"/>
              </w:rPr>
              <w:t xml:space="preserve">2020–2024</w:t>
            </w:r>
          </w:p>
        </w:tc>
        <w:tc>
          <w:tcPr>
            <w:tcW w:type="dxa" w:w="1760"/>
          </w:tcPr>
          <w:p>
            <w:pPr>
              <w:pStyle w:val="Compact"/>
              <w:spacing w:before="20" w:after="20" w:line="240" w:lineRule="auto"/>
              <w:keepNext/>
            </w:pPr>
            <w:r>
              <w:rPr>
                <w:sz w:val="17"/>
                <w:szCs w:val="17"/>
              </w:rPr>
              <w:t xml:space="preserve">245 (45.4%)</w:t>
            </w:r>
          </w:p>
        </w:tc>
        <w:tc>
          <w:tcPr>
            <w:tcW w:type="dxa" w:w="2053"/>
          </w:tcPr>
          <w:p>
            <w:pPr>
              <w:pStyle w:val="Compact"/>
              <w:spacing w:before="20" w:after="20" w:line="240" w:lineRule="auto"/>
              <w:keepNext/>
            </w:pPr>
            <w:r>
              <w:rPr>
                <w:sz w:val="17"/>
                <w:szCs w:val="17"/>
              </w:rPr>
              <w:t xml:space="preserve">239 (44.3%)</w:t>
            </w:r>
          </w:p>
        </w:tc>
        <w:tc>
          <w:tcPr>
            <w:tcW w:type="dxa" w:w="1564"/>
          </w:tcPr>
          <w:p>
            <w:pPr>
              <w:pStyle w:val="Compact"/>
              <w:spacing w:before="20" w:after="20" w:line="240" w:lineRule="auto"/>
              <w:keepNext/>
            </w:pPr>
            <w:r>
              <w:rPr>
                <w:sz w:val="17"/>
                <w:szCs w:val="17"/>
              </w:rPr>
              <w:t xml:space="preserve">56 (10.4%)</w:t>
            </w:r>
          </w:p>
        </w:tc>
        <w:tc>
          <w:tcPr>
            <w:tcW w:type="dxa" w:w="586"/>
          </w:tcPr>
          <w:p>
            <w:pPr>
              <w:pStyle w:val="Compact"/>
              <w:spacing w:before="20" w:after="20" w:line="240" w:lineRule="auto"/>
              <w:jc w:val="right"/>
              <w:keepNext/>
            </w:pPr>
            <w:r>
              <w:rPr>
                <w:sz w:val="17"/>
                <w:szCs w:val="17"/>
              </w:rPr>
              <w:t xml:space="preserve">540</w:t>
            </w:r>
          </w:p>
        </w:tc>
        <w:tc>
          <w:tcPr>
            <w:tcW w:type="dxa" w:w="1344"/>
          </w:tcPr>
          <w:p>
            <w:pPr>
              <w:pStyle w:val="Compact"/>
              <w:spacing w:before="20" w:after="20" w:line="240" w:lineRule="auto"/>
              <w:jc w:val="right"/>
              <w:keepNext/>
            </w:pPr>
            <w:r>
              <w:rPr>
                <w:sz w:val="17"/>
                <w:szCs w:val="17"/>
              </w:rPr>
              <w:t xml:space="preserve">54.6</w:t>
            </w:r>
          </w:p>
        </w:tc>
      </w:tr>
    </w:tbl>
    <w:p>
      <w:pPr>
        <w:pStyle w:val="BodyText"/>
        <w:keepNext/>
      </w:pPr>
      <w:r>
        <w:drawing>
          <wp:inline>
            <wp:extent cx="5334000" cy="3200400"/>
            <wp:effectExtent b="0" l="0" r="0" t="0"/>
            <wp:docPr descr="" title="" id="44" name="Picture"/>
            <a:graphic>
              <a:graphicData uri="http://schemas.openxmlformats.org/drawingml/2006/picture">
                <pic:pic>
                  <pic:nvPicPr>
                    <pic:cNvPr descr="figures/fig7_period_shares_ko.png" id="45" name="Picture"/>
                    <pic:cNvPicPr>
                      <a:picLocks noChangeArrowheads="1" noChangeAspect="1"/>
                    </pic:cNvPicPr>
                  </pic:nvPicPr>
                  <pic:blipFill>
                    <a:blip r:embed="rId43"/>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7.</w:t>
      </w:r>
      <w:r>
        <w:t xml:space="preserve"> </w:t>
      </w:r>
      <w:r>
        <w:t xml:space="preserve">기간별 전략 유형 비중(N = 928).</w:t>
      </w:r>
    </w:p>
    <w:p>
      <w:pPr>
        <w:pStyle w:val="BodyText"/>
        <w:keepNext/>
      </w:pPr>
      <w:r>
        <w:rPr>
          <w:b/>
          <w:bCs/>
        </w:rPr>
        <w:t xml:space="preserve">표 9.</w:t>
      </w:r>
      <w:r>
        <w:t xml:space="preserve"> </w:t>
      </w:r>
      <w:r>
        <w:t xml:space="preserve">핵심 계수의 모형 설정별 비교(다항 로짓 RRR, 결과 기준 범주 = 조립 단독형; 출원청 기준 = 미국; 음이항은 IRR; * p &lt; 0.10, ** p &lt; 0.05, *** p &lt; 0.01).</w:t>
      </w:r>
    </w:p>
    <w:tbl>
      <w:tblPr>
        <w:tblStyle w:val="Table"/>
        <w:tblW w:type="dxa" w:w="9073"/>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916"/>
        <w:gridCol w:w="355"/>
        <w:gridCol w:w="769"/>
        <w:gridCol w:w="988"/>
        <w:gridCol w:w="1017"/>
        <w:gridCol w:w="1215"/>
        <w:gridCol w:w="809"/>
        <w:gridCol w:w="809"/>
        <w:gridCol w:w="1195"/>
      </w:tblGrid>
      <w:tr>
        <w:trPr>
          <w:tblHeader w:val="on"/>
          <w:cantSplit/>
        </w:trPr>
        <w:tc>
          <w:tcPr>
            <w:tcW w:type="dxa" w:w="1916"/>
            <w:tcBorders>
              <w:bottom w:val="single" w:sz="4" w:space="0" w:color="000000"/>
            </w:tcBorders>
          </w:tcPr>
          <w:p>
            <w:pPr>
              <w:pStyle w:val="Compact"/>
              <w:spacing w:before="20" w:after="20" w:line="240" w:lineRule="auto"/>
              <w:keepNext/>
            </w:pPr>
            <w:r>
              <w:rPr>
                <w:sz w:val="13"/>
                <w:szCs w:val="13"/>
              </w:rPr>
              <w:t xml:space="preserve">모형 설정</w:t>
            </w:r>
          </w:p>
        </w:tc>
        <w:tc>
          <w:tcPr>
            <w:tcW w:type="dxa" w:w="355"/>
            <w:tcBorders>
              <w:bottom w:val="single" w:sz="4" w:space="0" w:color="000000"/>
            </w:tcBorders>
          </w:tcPr>
          <w:p>
            <w:pPr>
              <w:pStyle w:val="Compact"/>
              <w:spacing w:before="20" w:after="20" w:line="240" w:lineRule="auto"/>
              <w:jc w:val="right"/>
              <w:keepNext/>
            </w:pPr>
            <w:r>
              <w:rPr>
                <w:sz w:val="13"/>
                <w:szCs w:val="13"/>
              </w:rPr>
              <w:t xml:space="preserve">N</w:t>
            </w:r>
          </w:p>
        </w:tc>
        <w:tc>
          <w:tcPr>
            <w:tcW w:type="dxa" w:w="769"/>
            <w:tcBorders>
              <w:bottom w:val="single" w:sz="4" w:space="0" w:color="000000"/>
            </w:tcBorders>
          </w:tcPr>
          <w:p>
            <w:pPr>
              <w:pStyle w:val="Compact"/>
              <w:spacing w:before="20" w:after="20" w:line="240" w:lineRule="auto"/>
              <w:keepNext/>
            </w:pPr>
            <w:r>
              <w:rPr>
                <w:sz w:val="13"/>
                <w:szCs w:val="13"/>
              </w:rPr>
              <w:t xml:space="preserve">기술범위 → 통합형</w:t>
            </w:r>
          </w:p>
        </w:tc>
        <w:tc>
          <w:tcPr>
            <w:tcW w:type="dxa" w:w="988"/>
            <w:tcBorders>
              <w:bottom w:val="single" w:sz="4" w:space="0" w:color="000000"/>
            </w:tcBorders>
          </w:tcPr>
          <w:p>
            <w:pPr>
              <w:pStyle w:val="Compact"/>
              <w:spacing w:before="20" w:after="20" w:line="240" w:lineRule="auto"/>
              <w:keepNext/>
            </w:pPr>
            <w:r>
              <w:rPr>
                <w:sz w:val="13"/>
                <w:szCs w:val="13"/>
              </w:rPr>
              <w:t xml:space="preserve">기술범위 → 공정 단독형</w:t>
            </w:r>
          </w:p>
        </w:tc>
        <w:tc>
          <w:tcPr>
            <w:tcW w:type="dxa" w:w="1017"/>
            <w:tcBorders>
              <w:bottom w:val="single" w:sz="4" w:space="0" w:color="000000"/>
            </w:tcBorders>
          </w:tcPr>
          <w:p>
            <w:pPr>
              <w:pStyle w:val="Compact"/>
              <w:spacing w:before="20" w:after="20" w:line="240" w:lineRule="auto"/>
              <w:keepNext/>
            </w:pPr>
            <w:r>
              <w:rPr>
                <w:sz w:val="13"/>
                <w:szCs w:val="13"/>
              </w:rPr>
              <w:t xml:space="preserve">연도 → 통합형</w:t>
            </w:r>
          </w:p>
        </w:tc>
        <w:tc>
          <w:tcPr>
            <w:tcW w:type="dxa" w:w="1215"/>
            <w:tcBorders>
              <w:bottom w:val="single" w:sz="4" w:space="0" w:color="000000"/>
            </w:tcBorders>
          </w:tcPr>
          <w:p>
            <w:pPr>
              <w:pStyle w:val="Compact"/>
              <w:spacing w:before="20" w:after="20" w:line="240" w:lineRule="auto"/>
              <w:keepNext/>
            </w:pPr>
            <w:r>
              <w:rPr>
                <w:sz w:val="13"/>
                <w:szCs w:val="13"/>
              </w:rPr>
              <w:t xml:space="preserve">연도 → 공정 단독형</w:t>
            </w:r>
          </w:p>
        </w:tc>
        <w:tc>
          <w:tcPr>
            <w:tcW w:type="dxa" w:w="809"/>
            <w:tcBorders>
              <w:bottom w:val="single" w:sz="4" w:space="0" w:color="000000"/>
            </w:tcBorders>
          </w:tcPr>
          <w:p>
            <w:pPr>
              <w:pStyle w:val="Compact"/>
              <w:spacing w:before="20" w:after="20" w:line="240" w:lineRule="auto"/>
              <w:keepNext/>
            </w:pPr>
            <w:r>
              <w:rPr>
                <w:sz w:val="13"/>
                <w:szCs w:val="13"/>
              </w:rPr>
              <w:t xml:space="preserve">중국 → 공정 단독형</w:t>
            </w:r>
          </w:p>
        </w:tc>
        <w:tc>
          <w:tcPr>
            <w:tcW w:type="dxa" w:w="809"/>
            <w:tcBorders>
              <w:bottom w:val="single" w:sz="4" w:space="0" w:color="000000"/>
            </w:tcBorders>
          </w:tcPr>
          <w:p>
            <w:pPr>
              <w:pStyle w:val="Compact"/>
              <w:spacing w:before="20" w:after="20" w:line="240" w:lineRule="auto"/>
              <w:keepNext/>
            </w:pPr>
            <w:r>
              <w:rPr>
                <w:sz w:val="13"/>
                <w:szCs w:val="13"/>
              </w:rPr>
              <w:t xml:space="preserve">일본 → 공정 단독형</w:t>
            </w:r>
          </w:p>
        </w:tc>
        <w:tc>
          <w:tcPr>
            <w:tcW w:type="dxa" w:w="1195"/>
            <w:tcBorders>
              <w:bottom w:val="single" w:sz="4" w:space="0" w:color="000000"/>
            </w:tcBorders>
          </w:tcPr>
          <w:p>
            <w:pPr>
              <w:pStyle w:val="Compact"/>
              <w:spacing w:before="20" w:after="20" w:line="240" w:lineRule="auto"/>
              <w:keepNext/>
            </w:pPr>
            <w:r>
              <w:rPr>
                <w:sz w:val="13"/>
                <w:szCs w:val="13"/>
              </w:rPr>
              <w:t xml:space="preserve">연도 → 기술범위(음이항 IRR)</w:t>
            </w:r>
          </w:p>
        </w:tc>
      </w:tr>
      <w:tr>
        <w:trPr>
          <w:cantSplit/>
        </w:trPr>
        <w:tc>
          <w:tcPr>
            <w:tcW w:type="dxa" w:w="1916"/>
          </w:tcPr>
          <w:p>
            <w:pPr>
              <w:pStyle w:val="Compact"/>
              <w:spacing w:before="20" w:after="20" w:line="240" w:lineRule="auto"/>
              <w:keepNext/>
            </w:pPr>
            <w:r>
              <w:rPr>
                <w:sz w:val="13"/>
                <w:szCs w:val="13"/>
              </w:rPr>
              <w:t xml:space="preserve">기준(표 4·6)</w:t>
            </w:r>
          </w:p>
        </w:tc>
        <w:tc>
          <w:tcPr>
            <w:tcW w:type="dxa" w:w="355"/>
          </w:tcPr>
          <w:p>
            <w:pPr>
              <w:pStyle w:val="Compact"/>
              <w:spacing w:before="20" w:after="20" w:line="240" w:lineRule="auto"/>
              <w:jc w:val="right"/>
              <w:keepNext/>
            </w:pPr>
            <w:r>
              <w:rPr>
                <w:sz w:val="13"/>
                <w:szCs w:val="13"/>
              </w:rPr>
              <w:t xml:space="preserve">928</w:t>
            </w:r>
          </w:p>
        </w:tc>
        <w:tc>
          <w:tcPr>
            <w:tcW w:type="dxa" w:w="769"/>
          </w:tcPr>
          <w:p>
            <w:pPr>
              <w:pStyle w:val="Compact"/>
              <w:spacing w:before="20" w:after="20" w:line="240" w:lineRule="auto"/>
              <w:keepNext/>
            </w:pPr>
            <w:r>
              <w:rPr>
                <w:sz w:val="13"/>
                <w:szCs w:val="13"/>
              </w:rPr>
              <w:t xml:space="preserve">1.403***</w:t>
            </w:r>
          </w:p>
        </w:tc>
        <w:tc>
          <w:tcPr>
            <w:tcW w:type="dxa" w:w="988"/>
          </w:tcPr>
          <w:p>
            <w:pPr>
              <w:pStyle w:val="Compact"/>
              <w:spacing w:before="20" w:after="20" w:line="240" w:lineRule="auto"/>
              <w:keepNext/>
            </w:pPr>
            <w:r>
              <w:rPr>
                <w:sz w:val="13"/>
                <w:szCs w:val="13"/>
              </w:rPr>
              <w:t xml:space="preserve">0.905**</w:t>
            </w:r>
          </w:p>
        </w:tc>
        <w:tc>
          <w:tcPr>
            <w:tcW w:type="dxa" w:w="1017"/>
          </w:tcPr>
          <w:p>
            <w:pPr>
              <w:pStyle w:val="Compact"/>
              <w:spacing w:before="20" w:after="20" w:line="240" w:lineRule="auto"/>
              <w:keepNext/>
            </w:pPr>
            <w:r>
              <w:rPr>
                <w:sz w:val="13"/>
                <w:szCs w:val="13"/>
              </w:rPr>
              <w:t xml:space="preserve">0.993</w:t>
            </w:r>
          </w:p>
        </w:tc>
        <w:tc>
          <w:tcPr>
            <w:tcW w:type="dxa" w:w="1215"/>
          </w:tcPr>
          <w:p>
            <w:pPr>
              <w:pStyle w:val="Compact"/>
              <w:spacing w:before="20" w:after="20" w:line="240" w:lineRule="auto"/>
              <w:keepNext/>
            </w:pPr>
            <w:r>
              <w:rPr>
                <w:sz w:val="13"/>
                <w:szCs w:val="13"/>
              </w:rPr>
              <w:t xml:space="preserve">0.913***</w:t>
            </w:r>
          </w:p>
        </w:tc>
        <w:tc>
          <w:tcPr>
            <w:tcW w:type="dxa" w:w="809"/>
          </w:tcPr>
          <w:p>
            <w:pPr>
              <w:pStyle w:val="Compact"/>
              <w:spacing w:before="20" w:after="20" w:line="240" w:lineRule="auto"/>
              <w:keepNext/>
            </w:pPr>
            <w:r>
              <w:rPr>
                <w:sz w:val="13"/>
                <w:szCs w:val="13"/>
              </w:rPr>
              <w:t xml:space="preserve">2.687***</w:t>
            </w:r>
          </w:p>
        </w:tc>
        <w:tc>
          <w:tcPr>
            <w:tcW w:type="dxa" w:w="809"/>
          </w:tcPr>
          <w:p>
            <w:pPr>
              <w:pStyle w:val="Compact"/>
              <w:spacing w:before="20" w:after="20" w:line="240" w:lineRule="auto"/>
              <w:keepNext/>
            </w:pPr>
            <w:r>
              <w:rPr>
                <w:sz w:val="13"/>
                <w:szCs w:val="13"/>
              </w:rPr>
              <w:t xml:space="preserve">0.086***</w:t>
            </w:r>
          </w:p>
        </w:tc>
        <w:tc>
          <w:tcPr>
            <w:tcW w:type="dxa" w:w="1195"/>
          </w:tcPr>
          <w:p>
            <w:pPr>
              <w:pStyle w:val="Compact"/>
              <w:spacing w:before="20" w:after="20" w:line="240" w:lineRule="auto"/>
              <w:keepNext/>
            </w:pPr>
            <w:r>
              <w:rPr>
                <w:sz w:val="13"/>
                <w:szCs w:val="13"/>
              </w:rPr>
              <w:t xml:space="preserve">1.015***</w:t>
            </w:r>
          </w:p>
        </w:tc>
      </w:tr>
      <w:tr>
        <w:trPr>
          <w:cantSplit/>
        </w:trPr>
        <w:tc>
          <w:tcPr>
            <w:tcW w:type="dxa" w:w="1916"/>
          </w:tcPr>
          <w:p>
            <w:pPr>
              <w:pStyle w:val="Compact"/>
              <w:spacing w:before="20" w:after="20" w:line="240" w:lineRule="auto"/>
              <w:keepNext/>
            </w:pPr>
            <w:r>
              <w:rPr>
                <w:sz w:val="13"/>
                <w:szCs w:val="13"/>
              </w:rPr>
              <w:t xml:space="preserve">기준 + 제목 군집 표준오차</w:t>
            </w:r>
          </w:p>
        </w:tc>
        <w:tc>
          <w:tcPr>
            <w:tcW w:type="dxa" w:w="355"/>
          </w:tcPr>
          <w:p>
            <w:pPr>
              <w:pStyle w:val="Compact"/>
              <w:spacing w:before="20" w:after="20" w:line="240" w:lineRule="auto"/>
              <w:jc w:val="right"/>
              <w:keepNext/>
            </w:pPr>
            <w:r>
              <w:rPr>
                <w:sz w:val="13"/>
                <w:szCs w:val="13"/>
              </w:rPr>
              <w:t xml:space="preserve">928</w:t>
            </w:r>
          </w:p>
        </w:tc>
        <w:tc>
          <w:tcPr>
            <w:tcW w:type="dxa" w:w="769"/>
          </w:tcPr>
          <w:p>
            <w:pPr>
              <w:pStyle w:val="Compact"/>
              <w:spacing w:before="20" w:after="20" w:line="240" w:lineRule="auto"/>
              <w:keepNext/>
            </w:pPr>
            <w:r>
              <w:rPr>
                <w:sz w:val="13"/>
                <w:szCs w:val="13"/>
              </w:rPr>
              <w:t xml:space="preserve">1.403***</w:t>
            </w:r>
          </w:p>
        </w:tc>
        <w:tc>
          <w:tcPr>
            <w:tcW w:type="dxa" w:w="988"/>
          </w:tcPr>
          <w:p>
            <w:pPr>
              <w:pStyle w:val="Compact"/>
              <w:spacing w:before="20" w:after="20" w:line="240" w:lineRule="auto"/>
              <w:keepNext/>
            </w:pPr>
            <w:r>
              <w:rPr>
                <w:sz w:val="13"/>
                <w:szCs w:val="13"/>
              </w:rPr>
              <w:t xml:space="preserve">0.905</w:t>
            </w:r>
          </w:p>
        </w:tc>
        <w:tc>
          <w:tcPr>
            <w:tcW w:type="dxa" w:w="1017"/>
          </w:tcPr>
          <w:p>
            <w:pPr>
              <w:pStyle w:val="Compact"/>
              <w:spacing w:before="20" w:after="20" w:line="240" w:lineRule="auto"/>
              <w:keepNext/>
            </w:pPr>
            <w:r>
              <w:rPr>
                <w:sz w:val="13"/>
                <w:szCs w:val="13"/>
              </w:rPr>
              <w:t xml:space="preserve">0.993</w:t>
            </w:r>
          </w:p>
        </w:tc>
        <w:tc>
          <w:tcPr>
            <w:tcW w:type="dxa" w:w="1215"/>
          </w:tcPr>
          <w:p>
            <w:pPr>
              <w:pStyle w:val="Compact"/>
              <w:spacing w:before="20" w:after="20" w:line="240" w:lineRule="auto"/>
              <w:keepNext/>
            </w:pPr>
            <w:r>
              <w:rPr>
                <w:sz w:val="13"/>
                <w:szCs w:val="13"/>
              </w:rPr>
              <w:t xml:space="preserve">0.913***</w:t>
            </w:r>
          </w:p>
        </w:tc>
        <w:tc>
          <w:tcPr>
            <w:tcW w:type="dxa" w:w="809"/>
          </w:tcPr>
          <w:p>
            <w:pPr>
              <w:pStyle w:val="Compact"/>
              <w:spacing w:before="20" w:after="20" w:line="240" w:lineRule="auto"/>
              <w:keepNext/>
            </w:pPr>
            <w:r>
              <w:rPr>
                <w:sz w:val="13"/>
                <w:szCs w:val="13"/>
              </w:rPr>
              <w:t xml:space="preserve">2.687***</w:t>
            </w:r>
          </w:p>
        </w:tc>
        <w:tc>
          <w:tcPr>
            <w:tcW w:type="dxa" w:w="809"/>
          </w:tcPr>
          <w:p>
            <w:pPr>
              <w:pStyle w:val="Compact"/>
              <w:spacing w:before="20" w:after="20" w:line="240" w:lineRule="auto"/>
              <w:keepNext/>
            </w:pPr>
            <w:r>
              <w:rPr>
                <w:sz w:val="13"/>
                <w:szCs w:val="13"/>
              </w:rPr>
              <w:t xml:space="preserve">0.086*</w:t>
            </w:r>
          </w:p>
        </w:tc>
        <w:tc>
          <w:tcPr>
            <w:tcW w:type="dxa" w:w="1195"/>
          </w:tcPr>
          <w:p>
            <w:pPr>
              <w:pStyle w:val="Compact"/>
              <w:spacing w:before="20" w:after="20" w:line="240" w:lineRule="auto"/>
              <w:keepNext/>
            </w:pPr>
            <w:r>
              <w:rPr>
                <w:sz w:val="13"/>
                <w:szCs w:val="13"/>
              </w:rPr>
              <w:t xml:space="preserve">1.015</w:t>
            </w:r>
          </w:p>
        </w:tc>
      </w:tr>
      <w:tr>
        <w:trPr>
          <w:cantSplit/>
        </w:trPr>
        <w:tc>
          <w:tcPr>
            <w:tcW w:type="dxa" w:w="1916"/>
          </w:tcPr>
          <w:p>
            <w:pPr>
              <w:pStyle w:val="Compact"/>
              <w:spacing w:before="20" w:after="20" w:line="240" w:lineRule="auto"/>
              <w:keepNext/>
            </w:pPr>
            <w:r>
              <w:rPr>
                <w:sz w:val="13"/>
                <w:szCs w:val="13"/>
              </w:rPr>
              <w:t xml:space="preserve">조정 범위(breadth_adj)</w:t>
            </w:r>
          </w:p>
        </w:tc>
        <w:tc>
          <w:tcPr>
            <w:tcW w:type="dxa" w:w="355"/>
          </w:tcPr>
          <w:p>
            <w:pPr>
              <w:pStyle w:val="Compact"/>
              <w:spacing w:before="20" w:after="20" w:line="240" w:lineRule="auto"/>
              <w:jc w:val="right"/>
              <w:keepNext/>
            </w:pPr>
            <w:r>
              <w:rPr>
                <w:sz w:val="13"/>
                <w:szCs w:val="13"/>
              </w:rPr>
              <w:t xml:space="preserve">928</w:t>
            </w:r>
          </w:p>
        </w:tc>
        <w:tc>
          <w:tcPr>
            <w:tcW w:type="dxa" w:w="769"/>
          </w:tcPr>
          <w:p>
            <w:pPr>
              <w:pStyle w:val="Compact"/>
              <w:spacing w:before="20" w:after="20" w:line="240" w:lineRule="auto"/>
              <w:keepNext/>
            </w:pPr>
            <w:r>
              <w:rPr>
                <w:sz w:val="13"/>
                <w:szCs w:val="13"/>
              </w:rPr>
              <w:t xml:space="preserve">1.262***</w:t>
            </w:r>
          </w:p>
        </w:tc>
        <w:tc>
          <w:tcPr>
            <w:tcW w:type="dxa" w:w="988"/>
          </w:tcPr>
          <w:p>
            <w:pPr>
              <w:pStyle w:val="Compact"/>
              <w:spacing w:before="20" w:after="20" w:line="240" w:lineRule="auto"/>
              <w:keepNext/>
            </w:pPr>
            <w:r>
              <w:rPr>
                <w:sz w:val="13"/>
                <w:szCs w:val="13"/>
              </w:rPr>
              <w:t xml:space="preserve">0.915**</w:t>
            </w:r>
          </w:p>
        </w:tc>
        <w:tc>
          <w:tcPr>
            <w:tcW w:type="dxa" w:w="1017"/>
          </w:tcPr>
          <w:p>
            <w:pPr>
              <w:pStyle w:val="Compact"/>
              <w:spacing w:before="20" w:after="20" w:line="240" w:lineRule="auto"/>
              <w:keepNext/>
            </w:pPr>
            <w:r>
              <w:rPr>
                <w:sz w:val="13"/>
                <w:szCs w:val="13"/>
              </w:rPr>
              <w:t xml:space="preserve">1.002</w:t>
            </w:r>
          </w:p>
        </w:tc>
        <w:tc>
          <w:tcPr>
            <w:tcW w:type="dxa" w:w="1215"/>
          </w:tcPr>
          <w:p>
            <w:pPr>
              <w:pStyle w:val="Compact"/>
              <w:spacing w:before="20" w:after="20" w:line="240" w:lineRule="auto"/>
              <w:keepNext/>
            </w:pPr>
            <w:r>
              <w:rPr>
                <w:sz w:val="13"/>
                <w:szCs w:val="13"/>
              </w:rPr>
              <w:t xml:space="preserve">0.911***</w:t>
            </w:r>
          </w:p>
        </w:tc>
        <w:tc>
          <w:tcPr>
            <w:tcW w:type="dxa" w:w="809"/>
          </w:tcPr>
          <w:p>
            <w:pPr>
              <w:pStyle w:val="Compact"/>
              <w:spacing w:before="20" w:after="20" w:line="240" w:lineRule="auto"/>
              <w:keepNext/>
            </w:pPr>
            <w:r>
              <w:rPr>
                <w:sz w:val="13"/>
                <w:szCs w:val="13"/>
              </w:rPr>
              <w:t xml:space="preserve">2.720***</w:t>
            </w:r>
          </w:p>
        </w:tc>
        <w:tc>
          <w:tcPr>
            <w:tcW w:type="dxa" w:w="809"/>
          </w:tcPr>
          <w:p>
            <w:pPr>
              <w:pStyle w:val="Compact"/>
              <w:spacing w:before="20" w:after="20" w:line="240" w:lineRule="auto"/>
              <w:keepNext/>
            </w:pPr>
            <w:r>
              <w:rPr>
                <w:sz w:val="13"/>
                <w:szCs w:val="13"/>
              </w:rPr>
              <w:t xml:space="preserve">0.087***</w:t>
            </w:r>
          </w:p>
        </w:tc>
        <w:tc>
          <w:tcPr>
            <w:tcW w:type="dxa" w:w="1195"/>
          </w:tcPr>
          <w:p>
            <w:pPr>
              <w:pStyle w:val="Compact"/>
              <w:spacing w:before="20" w:after="20" w:line="240" w:lineRule="auto"/>
              <w:keepNext/>
            </w:pPr>
            <w:r>
              <w:rPr>
                <w:sz w:val="13"/>
                <w:szCs w:val="13"/>
              </w:rPr>
              <w:t xml:space="preserve">—</w:t>
            </w:r>
          </w:p>
        </w:tc>
      </w:tr>
      <w:tr>
        <w:trPr>
          <w:cantSplit/>
        </w:trPr>
        <w:tc>
          <w:tcPr>
            <w:tcW w:type="dxa" w:w="1916"/>
          </w:tcPr>
          <w:p>
            <w:pPr>
              <w:pStyle w:val="Compact"/>
              <w:spacing w:before="20" w:after="20" w:line="240" w:lineRule="auto"/>
              <w:keepNext/>
            </w:pPr>
            <w:r>
              <w:rPr>
                <w:sz w:val="13"/>
                <w:szCs w:val="13"/>
              </w:rPr>
              <w:t xml:space="preserve">2010년 이후 표본</w:t>
            </w:r>
          </w:p>
        </w:tc>
        <w:tc>
          <w:tcPr>
            <w:tcW w:type="dxa" w:w="355"/>
          </w:tcPr>
          <w:p>
            <w:pPr>
              <w:pStyle w:val="Compact"/>
              <w:spacing w:before="20" w:after="20" w:line="240" w:lineRule="auto"/>
              <w:jc w:val="right"/>
              <w:keepNext/>
            </w:pPr>
            <w:r>
              <w:rPr>
                <w:sz w:val="13"/>
                <w:szCs w:val="13"/>
              </w:rPr>
              <w:t xml:space="preserve">830</w:t>
            </w:r>
          </w:p>
        </w:tc>
        <w:tc>
          <w:tcPr>
            <w:tcW w:type="dxa" w:w="769"/>
          </w:tcPr>
          <w:p>
            <w:pPr>
              <w:pStyle w:val="Compact"/>
              <w:spacing w:before="20" w:after="20" w:line="240" w:lineRule="auto"/>
              <w:keepNext/>
            </w:pPr>
            <w:r>
              <w:rPr>
                <w:sz w:val="13"/>
                <w:szCs w:val="13"/>
              </w:rPr>
              <w:t xml:space="preserve">1.385***</w:t>
            </w:r>
          </w:p>
        </w:tc>
        <w:tc>
          <w:tcPr>
            <w:tcW w:type="dxa" w:w="988"/>
          </w:tcPr>
          <w:p>
            <w:pPr>
              <w:pStyle w:val="Compact"/>
              <w:spacing w:before="20" w:after="20" w:line="240" w:lineRule="auto"/>
              <w:keepNext/>
            </w:pPr>
            <w:r>
              <w:rPr>
                <w:sz w:val="13"/>
                <w:szCs w:val="13"/>
              </w:rPr>
              <w:t xml:space="preserve">0.910*</w:t>
            </w:r>
          </w:p>
        </w:tc>
        <w:tc>
          <w:tcPr>
            <w:tcW w:type="dxa" w:w="1017"/>
          </w:tcPr>
          <w:p>
            <w:pPr>
              <w:pStyle w:val="Compact"/>
              <w:spacing w:before="20" w:after="20" w:line="240" w:lineRule="auto"/>
              <w:keepNext/>
            </w:pPr>
            <w:r>
              <w:rPr>
                <w:sz w:val="13"/>
                <w:szCs w:val="13"/>
              </w:rPr>
              <w:t xml:space="preserve">0.934**</w:t>
            </w:r>
          </w:p>
        </w:tc>
        <w:tc>
          <w:tcPr>
            <w:tcW w:type="dxa" w:w="1215"/>
          </w:tcPr>
          <w:p>
            <w:pPr>
              <w:pStyle w:val="Compact"/>
              <w:spacing w:before="20" w:after="20" w:line="240" w:lineRule="auto"/>
              <w:keepNext/>
            </w:pPr>
            <w:r>
              <w:rPr>
                <w:sz w:val="13"/>
                <w:szCs w:val="13"/>
              </w:rPr>
              <w:t xml:space="preserve">0.862***</w:t>
            </w:r>
          </w:p>
        </w:tc>
        <w:tc>
          <w:tcPr>
            <w:tcW w:type="dxa" w:w="809"/>
          </w:tcPr>
          <w:p>
            <w:pPr>
              <w:pStyle w:val="Compact"/>
              <w:spacing w:before="20" w:after="20" w:line="240" w:lineRule="auto"/>
              <w:keepNext/>
            </w:pPr>
            <w:r>
              <w:rPr>
                <w:sz w:val="13"/>
                <w:szCs w:val="13"/>
              </w:rPr>
              <w:t xml:space="preserve">2.701***</w:t>
            </w:r>
          </w:p>
        </w:tc>
        <w:tc>
          <w:tcPr>
            <w:tcW w:type="dxa" w:w="809"/>
          </w:tcPr>
          <w:p>
            <w:pPr>
              <w:pStyle w:val="Compact"/>
              <w:spacing w:before="20" w:after="20" w:line="240" w:lineRule="auto"/>
              <w:keepNext/>
            </w:pPr>
            <w:r>
              <w:rPr>
                <w:sz w:val="13"/>
                <w:szCs w:val="13"/>
              </w:rPr>
              <w:t xml:space="preserve">3.240</w:t>
            </w:r>
          </w:p>
        </w:tc>
        <w:tc>
          <w:tcPr>
            <w:tcW w:type="dxa" w:w="1195"/>
          </w:tcPr>
          <w:p>
            <w:pPr>
              <w:pStyle w:val="Compact"/>
              <w:spacing w:before="20" w:after="20" w:line="240" w:lineRule="auto"/>
              <w:keepNext/>
            </w:pPr>
            <w:r>
              <w:rPr>
                <w:sz w:val="13"/>
                <w:szCs w:val="13"/>
              </w:rPr>
              <w:t xml:space="preserve">0.970***</w:t>
            </w:r>
          </w:p>
        </w:tc>
      </w:tr>
      <w:tr>
        <w:trPr>
          <w:cantSplit/>
        </w:trPr>
        <w:tc>
          <w:tcPr>
            <w:tcW w:type="dxa" w:w="1916"/>
          </w:tcPr>
          <w:p>
            <w:pPr>
              <w:pStyle w:val="Compact"/>
              <w:spacing w:before="20" w:after="20" w:line="240" w:lineRule="auto"/>
              <w:keepNext/>
            </w:pPr>
            <w:r>
              <w:rPr>
                <w:sz w:val="13"/>
                <w:szCs w:val="13"/>
              </w:rPr>
              <w:t xml:space="preserve">기간 더미(2015–2019년 / 2020–2024년)</w:t>
            </w:r>
          </w:p>
        </w:tc>
        <w:tc>
          <w:tcPr>
            <w:tcW w:type="dxa" w:w="355"/>
          </w:tcPr>
          <w:p>
            <w:pPr>
              <w:pStyle w:val="Compact"/>
              <w:spacing w:before="20" w:after="20" w:line="240" w:lineRule="auto"/>
              <w:jc w:val="right"/>
              <w:keepNext/>
            </w:pPr>
            <w:r>
              <w:rPr>
                <w:sz w:val="13"/>
                <w:szCs w:val="13"/>
              </w:rPr>
              <w:t xml:space="preserve">928</w:t>
            </w:r>
          </w:p>
        </w:tc>
        <w:tc>
          <w:tcPr>
            <w:tcW w:type="dxa" w:w="769"/>
          </w:tcPr>
          <w:p>
            <w:pPr>
              <w:pStyle w:val="Compact"/>
              <w:spacing w:before="20" w:after="20" w:line="240" w:lineRule="auto"/>
              <w:keepNext/>
            </w:pPr>
            <w:r>
              <w:rPr>
                <w:sz w:val="13"/>
                <w:szCs w:val="13"/>
              </w:rPr>
              <w:t xml:space="preserve">1.397***</w:t>
            </w:r>
          </w:p>
        </w:tc>
        <w:tc>
          <w:tcPr>
            <w:tcW w:type="dxa" w:w="988"/>
          </w:tcPr>
          <w:p>
            <w:pPr>
              <w:pStyle w:val="Compact"/>
              <w:spacing w:before="20" w:after="20" w:line="240" w:lineRule="auto"/>
              <w:keepNext/>
            </w:pPr>
            <w:r>
              <w:rPr>
                <w:sz w:val="13"/>
                <w:szCs w:val="13"/>
              </w:rPr>
              <w:t xml:space="preserve">0.897**</w:t>
            </w:r>
          </w:p>
        </w:tc>
        <w:tc>
          <w:tcPr>
            <w:tcW w:type="dxa" w:w="1017"/>
          </w:tcPr>
          <w:p>
            <w:pPr>
              <w:pStyle w:val="Compact"/>
              <w:spacing w:before="20" w:after="20" w:line="240" w:lineRule="auto"/>
              <w:keepNext/>
            </w:pPr>
            <w:r>
              <w:rPr>
                <w:sz w:val="13"/>
                <w:szCs w:val="13"/>
              </w:rPr>
              <w:t xml:space="preserve">1.707* / 0.762</w:t>
            </w:r>
          </w:p>
        </w:tc>
        <w:tc>
          <w:tcPr>
            <w:tcW w:type="dxa" w:w="1215"/>
          </w:tcPr>
          <w:p>
            <w:pPr>
              <w:pStyle w:val="Compact"/>
              <w:spacing w:before="20" w:after="20" w:line="240" w:lineRule="auto"/>
              <w:keepNext/>
            </w:pPr>
            <w:r>
              <w:rPr>
                <w:sz w:val="13"/>
                <w:szCs w:val="13"/>
              </w:rPr>
              <w:t xml:space="preserve">0.273*** / 0.101***</w:t>
            </w:r>
          </w:p>
        </w:tc>
        <w:tc>
          <w:tcPr>
            <w:tcW w:type="dxa" w:w="809"/>
          </w:tcPr>
          <w:p>
            <w:pPr>
              <w:pStyle w:val="Compact"/>
              <w:spacing w:before="20" w:after="20" w:line="240" w:lineRule="auto"/>
              <w:keepNext/>
            </w:pPr>
            <w:r>
              <w:rPr>
                <w:sz w:val="13"/>
                <w:szCs w:val="13"/>
              </w:rPr>
              <w:t xml:space="preserve">2.898***</w:t>
            </w:r>
          </w:p>
        </w:tc>
        <w:tc>
          <w:tcPr>
            <w:tcW w:type="dxa" w:w="809"/>
          </w:tcPr>
          <w:p>
            <w:pPr>
              <w:pStyle w:val="Compact"/>
              <w:spacing w:before="20" w:after="20" w:line="240" w:lineRule="auto"/>
              <w:keepNext/>
            </w:pPr>
            <w:r>
              <w:rPr>
                <w:sz w:val="13"/>
                <w:szCs w:val="13"/>
              </w:rPr>
              <w:t xml:space="preserve">0.239**</w:t>
            </w:r>
          </w:p>
        </w:tc>
        <w:tc>
          <w:tcPr>
            <w:tcW w:type="dxa" w:w="1195"/>
          </w:tcPr>
          <w:p>
            <w:pPr>
              <w:pStyle w:val="Compact"/>
              <w:spacing w:before="20" w:after="20" w:line="240" w:lineRule="auto"/>
              <w:keepNext/>
            </w:pPr>
            <w:r>
              <w:rPr>
                <w:sz w:val="13"/>
                <w:szCs w:val="13"/>
              </w:rPr>
              <w:t xml:space="preserve">—</w:t>
            </w:r>
          </w:p>
        </w:tc>
      </w:tr>
      <w:tr>
        <w:trPr>
          <w:cantSplit/>
        </w:trPr>
        <w:tc>
          <w:tcPr>
            <w:tcW w:type="dxa" w:w="1916"/>
          </w:tcPr>
          <w:p>
            <w:pPr>
              <w:pStyle w:val="Compact"/>
              <w:spacing w:before="20" w:after="20" w:line="240" w:lineRule="auto"/>
              <w:keepNext/>
            </w:pPr>
            <w:r>
              <w:rPr>
                <w:sz w:val="13"/>
                <w:szCs w:val="13"/>
              </w:rPr>
              <w:t xml:space="preserve">2023–2024년 제외</w:t>
            </w:r>
          </w:p>
        </w:tc>
        <w:tc>
          <w:tcPr>
            <w:tcW w:type="dxa" w:w="355"/>
          </w:tcPr>
          <w:p>
            <w:pPr>
              <w:pStyle w:val="Compact"/>
              <w:spacing w:before="20" w:after="20" w:line="240" w:lineRule="auto"/>
              <w:jc w:val="right"/>
              <w:keepNext/>
            </w:pPr>
            <w:r>
              <w:rPr>
                <w:sz w:val="13"/>
                <w:szCs w:val="13"/>
              </w:rPr>
              <w:t xml:space="preserve">753</w:t>
            </w:r>
          </w:p>
        </w:tc>
        <w:tc>
          <w:tcPr>
            <w:tcW w:type="dxa" w:w="769"/>
          </w:tcPr>
          <w:p>
            <w:pPr>
              <w:pStyle w:val="Compact"/>
              <w:spacing w:before="20" w:after="20" w:line="240" w:lineRule="auto"/>
              <w:keepNext/>
            </w:pPr>
            <w:r>
              <w:rPr>
                <w:sz w:val="13"/>
                <w:szCs w:val="13"/>
              </w:rPr>
              <w:t xml:space="preserve">1.418***</w:t>
            </w:r>
          </w:p>
        </w:tc>
        <w:tc>
          <w:tcPr>
            <w:tcW w:type="dxa" w:w="988"/>
          </w:tcPr>
          <w:p>
            <w:pPr>
              <w:pStyle w:val="Compact"/>
              <w:spacing w:before="20" w:after="20" w:line="240" w:lineRule="auto"/>
              <w:keepNext/>
            </w:pPr>
            <w:r>
              <w:rPr>
                <w:sz w:val="13"/>
                <w:szCs w:val="13"/>
              </w:rPr>
              <w:t xml:space="preserve">0.908*</w:t>
            </w:r>
          </w:p>
        </w:tc>
        <w:tc>
          <w:tcPr>
            <w:tcW w:type="dxa" w:w="1017"/>
          </w:tcPr>
          <w:p>
            <w:pPr>
              <w:pStyle w:val="Compact"/>
              <w:spacing w:before="20" w:after="20" w:line="240" w:lineRule="auto"/>
              <w:keepNext/>
            </w:pPr>
            <w:r>
              <w:rPr>
                <w:sz w:val="13"/>
                <w:szCs w:val="13"/>
              </w:rPr>
              <w:t xml:space="preserve">0.989</w:t>
            </w:r>
          </w:p>
        </w:tc>
        <w:tc>
          <w:tcPr>
            <w:tcW w:type="dxa" w:w="1215"/>
          </w:tcPr>
          <w:p>
            <w:pPr>
              <w:pStyle w:val="Compact"/>
              <w:spacing w:before="20" w:after="20" w:line="240" w:lineRule="auto"/>
              <w:keepNext/>
            </w:pPr>
            <w:r>
              <w:rPr>
                <w:sz w:val="13"/>
                <w:szCs w:val="13"/>
              </w:rPr>
              <w:t xml:space="preserve">0.909***</w:t>
            </w:r>
          </w:p>
        </w:tc>
        <w:tc>
          <w:tcPr>
            <w:tcW w:type="dxa" w:w="809"/>
          </w:tcPr>
          <w:p>
            <w:pPr>
              <w:pStyle w:val="Compact"/>
              <w:spacing w:before="20" w:after="20" w:line="240" w:lineRule="auto"/>
              <w:keepNext/>
            </w:pPr>
            <w:r>
              <w:rPr>
                <w:sz w:val="13"/>
                <w:szCs w:val="13"/>
              </w:rPr>
              <w:t xml:space="preserve">1.651</w:t>
            </w:r>
          </w:p>
        </w:tc>
        <w:tc>
          <w:tcPr>
            <w:tcW w:type="dxa" w:w="809"/>
          </w:tcPr>
          <w:p>
            <w:pPr>
              <w:pStyle w:val="Compact"/>
              <w:spacing w:before="20" w:after="20" w:line="240" w:lineRule="auto"/>
              <w:keepNext/>
            </w:pPr>
            <w:r>
              <w:rPr>
                <w:sz w:val="13"/>
                <w:szCs w:val="13"/>
              </w:rPr>
              <w:t xml:space="preserve">0.061***</w:t>
            </w:r>
          </w:p>
        </w:tc>
        <w:tc>
          <w:tcPr>
            <w:tcW w:type="dxa" w:w="1195"/>
          </w:tcPr>
          <w:p>
            <w:pPr>
              <w:pStyle w:val="Compact"/>
              <w:spacing w:before="20" w:after="20" w:line="240" w:lineRule="auto"/>
              <w:keepNext/>
            </w:pPr>
            <w:r>
              <w:rPr>
                <w:sz w:val="13"/>
                <w:szCs w:val="13"/>
              </w:rPr>
              <w:t xml:space="preserve">1.022***</w:t>
            </w:r>
          </w:p>
        </w:tc>
      </w:tr>
      <w:tr>
        <w:trPr>
          <w:cantSplit/>
        </w:trPr>
        <w:tc>
          <w:tcPr>
            <w:tcW w:type="dxa" w:w="1916"/>
          </w:tcPr>
          <w:p>
            <w:pPr>
              <w:pStyle w:val="Compact"/>
              <w:spacing w:before="20" w:after="20" w:line="240" w:lineRule="auto"/>
              <w:keepNext/>
            </w:pPr>
            <w:r>
              <w:rPr>
                <w:sz w:val="13"/>
                <w:szCs w:val="13"/>
              </w:rPr>
              <w:t xml:space="preserve">패밀리 중복 제거(제목당 최초 1건)</w:t>
            </w:r>
          </w:p>
        </w:tc>
        <w:tc>
          <w:tcPr>
            <w:tcW w:type="dxa" w:w="355"/>
          </w:tcPr>
          <w:p>
            <w:pPr>
              <w:pStyle w:val="Compact"/>
              <w:spacing w:before="20" w:after="20" w:line="240" w:lineRule="auto"/>
              <w:jc w:val="right"/>
              <w:keepNext/>
            </w:pPr>
            <w:r>
              <w:rPr>
                <w:sz w:val="13"/>
                <w:szCs w:val="13"/>
              </w:rPr>
              <w:t xml:space="preserve">473</w:t>
            </w:r>
          </w:p>
        </w:tc>
        <w:tc>
          <w:tcPr>
            <w:tcW w:type="dxa" w:w="769"/>
          </w:tcPr>
          <w:p>
            <w:pPr>
              <w:pStyle w:val="Compact"/>
              <w:spacing w:before="20" w:after="20" w:line="240" w:lineRule="auto"/>
              <w:keepNext/>
            </w:pPr>
            <w:r>
              <w:rPr>
                <w:sz w:val="13"/>
                <w:szCs w:val="13"/>
              </w:rPr>
              <w:t xml:space="preserve">1.295***</w:t>
            </w:r>
          </w:p>
        </w:tc>
        <w:tc>
          <w:tcPr>
            <w:tcW w:type="dxa" w:w="988"/>
          </w:tcPr>
          <w:p>
            <w:pPr>
              <w:pStyle w:val="Compact"/>
              <w:spacing w:before="20" w:after="20" w:line="240" w:lineRule="auto"/>
              <w:keepNext/>
            </w:pPr>
            <w:r>
              <w:rPr>
                <w:sz w:val="13"/>
                <w:szCs w:val="13"/>
              </w:rPr>
              <w:t xml:space="preserve">0.826***</w:t>
            </w:r>
          </w:p>
        </w:tc>
        <w:tc>
          <w:tcPr>
            <w:tcW w:type="dxa" w:w="1017"/>
          </w:tcPr>
          <w:p>
            <w:pPr>
              <w:pStyle w:val="Compact"/>
              <w:spacing w:before="20" w:after="20" w:line="240" w:lineRule="auto"/>
              <w:keepNext/>
            </w:pPr>
            <w:r>
              <w:rPr>
                <w:sz w:val="13"/>
                <w:szCs w:val="13"/>
              </w:rPr>
              <w:t xml:space="preserve">0.997</w:t>
            </w:r>
          </w:p>
        </w:tc>
        <w:tc>
          <w:tcPr>
            <w:tcW w:type="dxa" w:w="1215"/>
          </w:tcPr>
          <w:p>
            <w:pPr>
              <w:pStyle w:val="Compact"/>
              <w:spacing w:before="20" w:after="20" w:line="240" w:lineRule="auto"/>
              <w:keepNext/>
            </w:pPr>
            <w:r>
              <w:rPr>
                <w:sz w:val="13"/>
                <w:szCs w:val="13"/>
              </w:rPr>
              <w:t xml:space="preserve">0.935***</w:t>
            </w:r>
          </w:p>
        </w:tc>
        <w:tc>
          <w:tcPr>
            <w:tcW w:type="dxa" w:w="809"/>
          </w:tcPr>
          <w:p>
            <w:pPr>
              <w:pStyle w:val="Compact"/>
              <w:spacing w:before="20" w:after="20" w:line="240" w:lineRule="auto"/>
              <w:keepNext/>
            </w:pPr>
            <w:r>
              <w:rPr>
                <w:sz w:val="13"/>
                <w:szCs w:val="13"/>
              </w:rPr>
              <w:t xml:space="preserve">2.721***</w:t>
            </w:r>
          </w:p>
        </w:tc>
        <w:tc>
          <w:tcPr>
            <w:tcW w:type="dxa" w:w="809"/>
          </w:tcPr>
          <w:p>
            <w:pPr>
              <w:pStyle w:val="Compact"/>
              <w:spacing w:before="20" w:after="20" w:line="240" w:lineRule="auto"/>
              <w:keepNext/>
            </w:pPr>
            <w:r>
              <w:rPr>
                <w:sz w:val="13"/>
                <w:szCs w:val="13"/>
              </w:rPr>
              <w:t xml:space="preserve">0.061**</w:t>
            </w:r>
          </w:p>
        </w:tc>
        <w:tc>
          <w:tcPr>
            <w:tcW w:type="dxa" w:w="1195"/>
          </w:tcPr>
          <w:p>
            <w:pPr>
              <w:pStyle w:val="Compact"/>
              <w:spacing w:before="20" w:after="20" w:line="240" w:lineRule="auto"/>
              <w:keepNext/>
            </w:pPr>
            <w:r>
              <w:rPr>
                <w:sz w:val="13"/>
                <w:szCs w:val="13"/>
              </w:rPr>
              <w:t xml:space="preserve">1.022***</w:t>
            </w:r>
          </w:p>
        </w:tc>
      </w:tr>
      <w:tr>
        <w:trPr>
          <w:cantSplit/>
        </w:trPr>
        <w:tc>
          <w:tcPr>
            <w:tcW w:type="dxa" w:w="1916"/>
          </w:tcPr>
          <w:p>
            <w:pPr>
              <w:pStyle w:val="Compact"/>
              <w:spacing w:before="20" w:after="20" w:line="240" w:lineRule="auto"/>
              <w:keepNext/>
            </w:pPr>
            <w:r>
              <w:rPr>
                <w:sz w:val="13"/>
                <w:szCs w:val="13"/>
              </w:rPr>
              <w:t xml:space="preserve">엄격 전공정 정의(조립 단계 그룹 제외)</w:t>
            </w:r>
          </w:p>
        </w:tc>
        <w:tc>
          <w:tcPr>
            <w:tcW w:type="dxa" w:w="355"/>
          </w:tcPr>
          <w:p>
            <w:pPr>
              <w:pStyle w:val="Compact"/>
              <w:spacing w:before="20" w:after="20" w:line="240" w:lineRule="auto"/>
              <w:jc w:val="right"/>
              <w:keepNext/>
            </w:pPr>
            <w:r>
              <w:rPr>
                <w:sz w:val="13"/>
                <w:szCs w:val="13"/>
              </w:rPr>
              <w:t xml:space="preserve">908</w:t>
            </w:r>
          </w:p>
        </w:tc>
        <w:tc>
          <w:tcPr>
            <w:tcW w:type="dxa" w:w="769"/>
          </w:tcPr>
          <w:p>
            <w:pPr>
              <w:pStyle w:val="Compact"/>
              <w:spacing w:before="20" w:after="20" w:line="240" w:lineRule="auto"/>
              <w:keepNext/>
            </w:pPr>
            <w:r>
              <w:rPr>
                <w:sz w:val="13"/>
                <w:szCs w:val="13"/>
              </w:rPr>
              <w:t xml:space="preserve">1.352***</w:t>
            </w:r>
          </w:p>
        </w:tc>
        <w:tc>
          <w:tcPr>
            <w:tcW w:type="dxa" w:w="988"/>
          </w:tcPr>
          <w:p>
            <w:pPr>
              <w:pStyle w:val="Compact"/>
              <w:spacing w:before="20" w:after="20" w:line="240" w:lineRule="auto"/>
              <w:keepNext/>
            </w:pPr>
            <w:r>
              <w:rPr>
                <w:sz w:val="13"/>
                <w:szCs w:val="13"/>
              </w:rPr>
              <w:t xml:space="preserve">0.923*</w:t>
            </w:r>
          </w:p>
        </w:tc>
        <w:tc>
          <w:tcPr>
            <w:tcW w:type="dxa" w:w="1017"/>
          </w:tcPr>
          <w:p>
            <w:pPr>
              <w:pStyle w:val="Compact"/>
              <w:spacing w:before="20" w:after="20" w:line="240" w:lineRule="auto"/>
              <w:keepNext/>
            </w:pPr>
            <w:r>
              <w:rPr>
                <w:sz w:val="13"/>
                <w:szCs w:val="13"/>
              </w:rPr>
              <w:t xml:space="preserve">0.967**</w:t>
            </w:r>
          </w:p>
        </w:tc>
        <w:tc>
          <w:tcPr>
            <w:tcW w:type="dxa" w:w="1215"/>
          </w:tcPr>
          <w:p>
            <w:pPr>
              <w:pStyle w:val="Compact"/>
              <w:spacing w:before="20" w:after="20" w:line="240" w:lineRule="auto"/>
              <w:keepNext/>
            </w:pPr>
            <w:r>
              <w:rPr>
                <w:sz w:val="13"/>
                <w:szCs w:val="13"/>
              </w:rPr>
              <w:t xml:space="preserve">0.898***</w:t>
            </w:r>
          </w:p>
        </w:tc>
        <w:tc>
          <w:tcPr>
            <w:tcW w:type="dxa" w:w="809"/>
          </w:tcPr>
          <w:p>
            <w:pPr>
              <w:pStyle w:val="Compact"/>
              <w:spacing w:before="20" w:after="20" w:line="240" w:lineRule="auto"/>
              <w:keepNext/>
            </w:pPr>
            <w:r>
              <w:rPr>
                <w:sz w:val="13"/>
                <w:szCs w:val="13"/>
              </w:rPr>
              <w:t xml:space="preserve">3.299***</w:t>
            </w:r>
          </w:p>
        </w:tc>
        <w:tc>
          <w:tcPr>
            <w:tcW w:type="dxa" w:w="809"/>
          </w:tcPr>
          <w:p>
            <w:pPr>
              <w:pStyle w:val="Compact"/>
              <w:spacing w:before="20" w:after="20" w:line="240" w:lineRule="auto"/>
              <w:keepNext/>
            </w:pPr>
            <w:r>
              <w:rPr>
                <w:sz w:val="13"/>
                <w:szCs w:val="13"/>
              </w:rPr>
              <w:t xml:space="preserve">0.103***</w:t>
            </w:r>
          </w:p>
        </w:tc>
        <w:tc>
          <w:tcPr>
            <w:tcW w:type="dxa" w:w="1195"/>
          </w:tcPr>
          <w:p>
            <w:pPr>
              <w:pStyle w:val="Compact"/>
              <w:spacing w:before="20" w:after="20" w:line="240" w:lineRule="auto"/>
              <w:keepNext/>
            </w:pPr>
            <w:r>
              <w:rPr>
                <w:sz w:val="13"/>
                <w:szCs w:val="13"/>
              </w:rPr>
              <w:t xml:space="preserve">—</w:t>
            </w:r>
          </w:p>
        </w:tc>
      </w:tr>
      <w:tr>
        <w:trPr>
          <w:cantSplit/>
        </w:trPr>
        <w:tc>
          <w:tcPr>
            <w:tcW w:type="dxa" w:w="1916"/>
          </w:tcPr>
          <w:p>
            <w:pPr>
              <w:pStyle w:val="Compact"/>
              <w:spacing w:before="20" w:after="20" w:line="240" w:lineRule="auto"/>
              <w:keepNext/>
            </w:pPr>
            <w:r>
              <w:rPr>
                <w:sz w:val="13"/>
                <w:szCs w:val="13"/>
              </w:rPr>
              <w:t xml:space="preserve">무관 용법 제외</w:t>
            </w:r>
          </w:p>
        </w:tc>
        <w:tc>
          <w:tcPr>
            <w:tcW w:type="dxa" w:w="355"/>
          </w:tcPr>
          <w:p>
            <w:pPr>
              <w:pStyle w:val="Compact"/>
              <w:spacing w:before="20" w:after="20" w:line="240" w:lineRule="auto"/>
              <w:jc w:val="right"/>
              <w:keepNext/>
            </w:pPr>
            <w:r>
              <w:rPr>
                <w:sz w:val="13"/>
                <w:szCs w:val="13"/>
              </w:rPr>
              <w:t xml:space="preserve">860</w:t>
            </w:r>
          </w:p>
        </w:tc>
        <w:tc>
          <w:tcPr>
            <w:tcW w:type="dxa" w:w="769"/>
          </w:tcPr>
          <w:p>
            <w:pPr>
              <w:pStyle w:val="Compact"/>
              <w:spacing w:before="20" w:after="20" w:line="240" w:lineRule="auto"/>
              <w:keepNext/>
            </w:pPr>
            <w:r>
              <w:rPr>
                <w:sz w:val="13"/>
                <w:szCs w:val="13"/>
              </w:rPr>
              <w:t xml:space="preserve">1.384***</w:t>
            </w:r>
          </w:p>
        </w:tc>
        <w:tc>
          <w:tcPr>
            <w:tcW w:type="dxa" w:w="988"/>
          </w:tcPr>
          <w:p>
            <w:pPr>
              <w:pStyle w:val="Compact"/>
              <w:spacing w:before="20" w:after="20" w:line="240" w:lineRule="auto"/>
              <w:keepNext/>
            </w:pPr>
            <w:r>
              <w:rPr>
                <w:sz w:val="13"/>
                <w:szCs w:val="13"/>
              </w:rPr>
              <w:t xml:space="preserve">0.916*</w:t>
            </w:r>
          </w:p>
        </w:tc>
        <w:tc>
          <w:tcPr>
            <w:tcW w:type="dxa" w:w="1017"/>
          </w:tcPr>
          <w:p>
            <w:pPr>
              <w:pStyle w:val="Compact"/>
              <w:spacing w:before="20" w:after="20" w:line="240" w:lineRule="auto"/>
              <w:keepNext/>
            </w:pPr>
            <w:r>
              <w:rPr>
                <w:sz w:val="13"/>
                <w:szCs w:val="13"/>
              </w:rPr>
              <w:t xml:space="preserve">0.949**</w:t>
            </w:r>
          </w:p>
        </w:tc>
        <w:tc>
          <w:tcPr>
            <w:tcW w:type="dxa" w:w="1215"/>
          </w:tcPr>
          <w:p>
            <w:pPr>
              <w:pStyle w:val="Compact"/>
              <w:spacing w:before="20" w:after="20" w:line="240" w:lineRule="auto"/>
              <w:keepNext/>
            </w:pPr>
            <w:r>
              <w:rPr>
                <w:sz w:val="13"/>
                <w:szCs w:val="13"/>
              </w:rPr>
              <w:t xml:space="preserve">0.820***</w:t>
            </w:r>
          </w:p>
        </w:tc>
        <w:tc>
          <w:tcPr>
            <w:tcW w:type="dxa" w:w="809"/>
          </w:tcPr>
          <w:p>
            <w:pPr>
              <w:pStyle w:val="Compact"/>
              <w:spacing w:before="20" w:after="20" w:line="240" w:lineRule="auto"/>
              <w:keepNext/>
            </w:pPr>
            <w:r>
              <w:rPr>
                <w:sz w:val="13"/>
                <w:szCs w:val="13"/>
              </w:rPr>
              <w:t xml:space="preserve">3.235***</w:t>
            </w:r>
          </w:p>
        </w:tc>
        <w:tc>
          <w:tcPr>
            <w:tcW w:type="dxa" w:w="809"/>
          </w:tcPr>
          <w:p>
            <w:pPr>
              <w:pStyle w:val="Compact"/>
              <w:spacing w:before="20" w:after="20" w:line="240" w:lineRule="auto"/>
              <w:keepNext/>
            </w:pPr>
            <w:r>
              <w:rPr>
                <w:sz w:val="13"/>
                <w:szCs w:val="13"/>
              </w:rPr>
              <w:t xml:space="preserve">0.015***</w:t>
            </w:r>
          </w:p>
        </w:tc>
        <w:tc>
          <w:tcPr>
            <w:tcW w:type="dxa" w:w="1195"/>
          </w:tcPr>
          <w:p>
            <w:pPr>
              <w:pStyle w:val="Compact"/>
              <w:spacing w:before="20" w:after="20" w:line="240" w:lineRule="auto"/>
              <w:keepNext/>
            </w:pPr>
            <w:r>
              <w:rPr>
                <w:sz w:val="13"/>
                <w:szCs w:val="13"/>
              </w:rPr>
              <w:t xml:space="preserve">1.001</w:t>
            </w:r>
          </w:p>
        </w:tc>
      </w:tr>
    </w:tbl>
    <w:p>
      <w:pPr>
        <w:pStyle w:val="BodyText"/>
      </w:pPr>
      <w:r>
        <w:rPr>
          <w:i/>
          <w:iCs/>
        </w:rPr>
        <w:t xml:space="preserve">주:</w:t>
      </w:r>
      <w:r>
        <w:t xml:space="preserve"> </w:t>
      </w:r>
      <w:r>
        <w:t xml:space="preserve">기간 더미 모형의 연도 열은 2014년 이전 대비 각 기간의 RRR이다. 군집 표준오차 행은 점추정치가 기준 모형과 같고 유의성 표시만 제목 군집 표준오차 기준이다. 2010년 이후 표본에는 기타 출원청의 공정 단독형 출원이 없어(10건 중 0건) 해당 계수는 식별되지 않으며, 다른 계수에는 영향이 없다. 엄격 전공정 정의는 기술범위 변수를 바꾸지 않으므로 음이항 열은 기준과 같다. 표준오차·p값·로그우도를 포함한 전체 추정 결과는 보충자료 S1에 수록한다.</w:t>
      </w:r>
    </w:p>
    <w:bookmarkEnd w:id="46"/>
    <w:bookmarkEnd w:id="47"/>
    <w:bookmarkStart w:id="51" w:name="논의"/>
    <w:p>
      <w:pPr>
        <w:pStyle w:val="Heading2"/>
      </w:pPr>
      <w:r>
        <w:t xml:space="preserve">6. 논의</w:t>
      </w:r>
    </w:p>
    <w:bookmarkStart w:id="48" w:name="이론적-함의"/>
    <w:p>
      <w:pPr>
        <w:pStyle w:val="Heading3"/>
      </w:pPr>
      <w:r>
        <w:t xml:space="preserve">6.1 이론적 함의</w:t>
      </w:r>
    </w:p>
    <w:p>
      <w:pPr>
        <w:pStyle w:val="FirstParagraph"/>
      </w:pPr>
      <w:r>
        <w:rPr>
          <w:b/>
          <w:bCs/>
        </w:rPr>
        <w:t xml:space="preserve">산업 내 융합.</w:t>
      </w:r>
      <w:r>
        <w:t xml:space="preserve"> </w:t>
      </w:r>
      <w:r>
        <w:t xml:space="preserve">첫 번째 함의는 융합 이론의 범위에 관한 것이다. 제2.1절에서 검토한 문헌은 융합을 산업 사이에서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 관통하는 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 조직적 통합이 지속되었다는 사실이고, 본 연구가 보인 것은 그 통합의 기술적 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b/>
          <w:b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 개별 발명의 범위에 위치시킨다. 더 많은 CPC 서브그룹에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b/>
          <w:b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되고, 본 연구의 H2도 통합형 비중이 적어도 유지될 것으로 예상하였다. 그러나 결과는 그렇지 않았다(표 7). 기간별 분포(표 8)는 두 단계의 재구성(recomposition)을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그 자체로 특허의 대상이 되기보다 접합 구조와 함께 청구되는 것, 곧 특허의 한 구성요소가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대상이 아니라, 접합 구조 발명이 전제하는 기반으로 물러난 것으로 볼 수 있다. 이는 Hacklin et al.(2009)의 공진화 논리를 단일 기술 안에서 관찰한 것으로, 융합은 더 많은 특허가 경계를 넘음으로써가 아니라 경계 넘는 내용이 단계적으로 형태를 바꿈으로써 진행된다. 다만 이 해석은 두 가지 유보를 안는다. 첫째, 접합 기호를 가진 출원의 비율이 56.4%에서 85.2%로 높아진 시기는 첫째 단계와 겹치므로, 공정 단독형의 감소와 통합형의 증가는 접합 코드의 부여 확대라는 분류 관행의 변화로도 만들어질 수 있고, 둘째 단계에서 출원당 H01L21 계열 기호 수가 줄어든 것 역시 발명 내용의 변화인지 공정 코드 부여 관행의 변화인지 본 연구의 자료로는 가려낼 수 없다(제5.4절). 둘째, 2020년 이후 출원의 일부는 공개 시차로 아직 관측되지 않았으므로 둘째 단계의 비중은 잠정적이다.</w:t>
      </w:r>
    </w:p>
    <w:p>
      <w:pPr>
        <w:pStyle w:val="BodyText"/>
      </w:pPr>
      <w:r>
        <w:rPr>
          <w:b/>
          <w:bCs/>
        </w:rPr>
        <w:t xml:space="preserve">산업 아키텍처와 추격이 청구에 남기는 흔적.</w:t>
      </w:r>
      <w:r>
        <w:t xml:space="preserve"> </w:t>
      </w:r>
      <w:r>
        <w:t xml:space="preserve">네 번째 함의는 특허 수준 결과를 전략 문헌과 연결한다. 관할권 대비는 공정 단독형 방정식에 집중되어 있으며 제2.4절에서 제시한 해석과 들어맞는다. 중국 출원청 출원은 범위가 좁고 공정 단독형에 편중되어 있다. 이는 통합된 적층 전체를 청구하기 전에 특정 제조 단계를 내재화하는 추격 단계 기업에서 예상되는 출원 프로필로, 추격이 단계적으로 진행된다는 추격 문헌의 논리(Lee and Lim, 2001)와 들어맞으며, 중국 특허의 양적 팽창이 제도 변화와 외국인직접투자에 힘입었고(Hu and Jefferson, 2009) 건수를 보상하는 보조금 정책이 출원의 질을 낮추었다는 증거(Dang and Motohashi, 2015)와도 일관된다. 출원청은 어느 시장에서 무엇을 보호할 가치가 있다고 판단되었는가를 드러내는 변수다. 출원인이 자신의 특허 패밀리 가운데 각 관할권에서 보호가 필요한 발명을 골라 출원한다고 보면, 중국 출원청 출원이 좁고 공정 단독형에 편중되어 있다는 결과는 중국 관할권이 전공정 공정 기술을 둘러싼 경쟁과 보호의 장이라는 해석과 부합한다. 특정 제조 단계를 내재화하려는 출원과 그 단계를 선점하려는 출원은 같은 관할권 프로필을 만들며, 둘 다 추격 동학의 양면이다.</w:t>
      </w:r>
    </w:p>
    <w:p>
      <w:pPr>
        <w:pStyle w:val="BodyText"/>
      </w:pPr>
      <w:r>
        <w:t xml:space="preserve">일본 출원청 출원은 전 기간 표본에서 공정 단독형이 드물고 범위가 넓은 경향을 보이며, 이는 단일 단계 주변이 아니라 전체 공정 흐름에 걸쳐 특허를 내는 장비·소재 공급사의 강점(Langlois and Steinmueller, 1999)과 부합한다. 그러나 이 결과는 26건의 표본에 의존한다. 공정 단독형이 드물다는 부분은 2010년 이후 표본에서 사라지고, 범위가 넓다는 부분은 로버스트 표준오차에서 유의하지 않으므로(제5.4절), 일본에 관한 해석은 잠정적이다. 한국과 대만은 범위와 통합형 방정식에서 미국 기준과 유사한데, 이는 미국 출원인과 정면으로 경쟁하는 메모리 제조사와 파운드리의 위치를 생각하면 자연스럽다. 대만의 높은 공정 단독형 경향(10% 수준에서만 유의; 한국은 같은 방향이나 기준 모형에서는 유의하지 않고 엄격한 전공정 정의에서만 5% 수준에서 유의하다)은 주목할 만하지만, 본 연구의 자료로는 이것이 중국 출원청과 같은 추격 단계의 내재화인지, 선도 파운드리가 첨단 패키징 플랫폼을 내재화하며 전공정 역량을 접합 공정에 투입해 온 움직임(Lau, 2022; Yole Group, 2024)인지 구별할 수 없다. 공정 단독형 프로필은 특정 제조 단계를 둘러싼 보호가 그 관할권에 집중되어 있음을 보여줄 뿐, 출원인이 추격자인지 선도자인지는 말해 주지 않는다. 종합하면 이러한 패턴은 누가 어느 단계를 어디에서 점유하는가라는 산업 아키텍처가 어떤 발명이 한 단계 안에 머무는지, 곧 공정 단독형으로 남는지를 형성함을 시사한다. 범위와 시점을 통제하면 경계를 넘는 통합형을 출원하는 성향 자체는 출원청 간에 다르지 않으므로(제5.3절), 관할권의 흔적은 경계를 넘는 발명이 아니라 한 단계에 머무는 발명에 남는다. 이는 기업의 통합 선택이 산업 아키텍처를 형성한다는 Kapoor(2013)의 주장을 기업이 작성하는 청구항 수준으로 확장한 것이다.</w:t>
      </w:r>
    </w:p>
    <w:bookmarkEnd w:id="48"/>
    <w:bookmarkStart w:id="49"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본 연구의 자료에는 출원인 정보와 특허 가치 지표가 없으므로 누가 어떤 청구를 점유했는지는 말할 수 없다. 다만 독립적 랜드스케이프 분석(Yole Group, 2024)이 파운드리·종합반도체기업·라이선싱 기업을 선도 출원인으로 지목하는 점과 결합하면, 평탄화와 표면 화학 역량이 없는 조립 전문기업은 통합형 청구를 둘러싼 경쟁에서 불리한 위치에 있을 개연성이 크다.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시사한다. 지식 경계가 공정 단계를 넘어 확장된 기업일수록 통합형 청구를 작성하기 쉬울 것이다. 장비·소재 공급사에게는 전 기간 표본에서 관찰된 일본 출원청의 프로필, 즉 공정 단독형이 드문 프로필이 전/후공정 인터페이스에서의 차별적이고 방어 가능한 위치를 시사한다. 다만 이 결과는 표본이 작고 기간과 표준오차 계산 방식에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시사하며, 이는 단계별로 진행되는 추격 동학과 일치한다. 다만 범위와 시점을 통제하면 통합형 청구의 성향 자체는 출원청 간에 다르지 않으므로(제5.3절), 중국 관할권 프로필의 특징은 통합형 청구의 부족이 아니라 조립 단독형 대비 공정 단독형의 과잉에 있다. 특허 건수를 보상하는 산업정책(Dang and Motohashi, 2015)은 이 패턴을 강화할 것이다. 한국 출원청 계수는 기준 모형 설정에서 유의하지 않으므로(엄격한 전공정 정의에서만 공정 단독형 상대위험이 5% 수준에서 유의하다; 제5.4절),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9"/>
    <w:bookmarkStart w:id="50" w:name="한계와-향후-연구"/>
    <w:p>
      <w:pPr>
        <w:pStyle w:val="Heading3"/>
      </w:pPr>
      <w:r>
        <w:t xml:space="preserve">6.3 한계와 향후 연구</w:t>
      </w:r>
    </w:p>
    <w:p>
      <w:pPr>
        <w:pStyle w:val="FirstParagraph"/>
      </w:pPr>
      <w:r>
        <w:t xml:space="preserve">본 연구는 네 가지 한계를 갖는다. 첫째, 본 연구의 관할권 단위는 출원청이므로 결론은 각 관할권에서 무엇이 보호되는가에 관한 것이다. 출원인 정보가 없으므로 중국 출원청의 좁고 공정 단독형에 치우친 프로필이 중국 기업의 추격 출원에서 비롯되는지, 외국 기업이 중국에서 낸 범위 좁은 방어적 2차 출원이나 중국 특허청의 심사·분류 관행에서 비롯되는지는 가려낼 수 없으며, 제6.1절의 추격 해석은 이 대안들과 양립하는 한 가지 해석이다. 출원인 수준의 정보를 결합하면 기업 고정효과 등으로 추정을 더 정밀하게 할 수 있다. 또한 표본은 키워드 필터의 무관한 용법과 패밀리 중복을 포함하며, 이를 제외하거나 군집 표준오차로 보정한 결과는 핵심 결론을 바꾸지 않지만 기술범위 → 공정 단독형과 일본 출원청의 범위 계수처럼 약한 결과는 유의성을 잃는다(제5.4절).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또한 경계를 정의하는 H01L21 클래스가 조립 단계의 제조공정도 포함하므로, 통합형이 최빈 유형이라는 기술통계는 조작적 정의에 따라 달라진다(제5.4절 여섯째 항목).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50"/>
    <w:bookmarkEnd w:id="51"/>
    <w:bookmarkStart w:id="52"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H01L21 기호의 보유를 제조공정 청구로 보는 조작적 정의에서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공정 단독형에서 통합형으로, 다시 통합형에서 접합 구조 청구로 이어지는 두 단계의 재구성을 통해 진행되었으며, 산업 아키텍처와 추격의 흔적을 지닌다. 다만 재구성 해석은 분류 관행 변화라는 대안 설명을 자료로 배제하지 못한다는 유보 아래 제시한다. 중국 출원청 출원이 좁고 공정 단독형에 치우친다는 결과는 대부분의 모형 설정에서 유지되지만 공개 시차로 절단된 최근 2년을 제외하면 공정 단독형 편중의 유의성이 약해지고, 일본 출원청에 관한 결과는 26건의 표본 위에서 표본 기간과 표준오차 계산 방식에 민감하다. 오랫동안 분리되어 있던 전공정과 후공정이 한 발명 안에서 결합된 흔적은 발명의 기록 속에서 뚜렷하게 관찰되지만, 그 결합은 단조적으로 확대되는 수렴이 아니라 형태를 바꾸는 재구성으로 나타났으며, 그 구조는 산업 내 사례로 확장되고 산업 아키텍처 문헌과 결합된 융합 이론으로 설명할 수 있다.</w:t>
      </w:r>
    </w:p>
    <w:p>
      <w:r>
        <w:pict>
          <v:rect style="width:0;height:1.5pt" o:hralign="center" o:hrstd="t" o:hr="t"/>
        </w:pict>
      </w:r>
    </w:p>
    <w:bookmarkEnd w:id="52"/>
    <w:bookmarkStart w:id="53"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 https://doi.org/10.1002/smj.821</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 https://doi.org/10.1016/S0166-4972(99)00135-2</w:t>
      </w:r>
    </w:p>
    <w:p>
      <w:pPr>
        <w:pStyle w:val="BodyText"/>
      </w:pPr>
      <w:r>
        <w:t xml:space="preserve">Bresnahan, T.F., Trajtenberg, M., 1995. General purpose technologies</w:t>
      </w:r>
      <w:r>
        <w:t xml:space="preserve"> </w:t>
      </w:r>
      <w:r>
        <w:t xml:space="preserve">“Engines of growth”</w:t>
      </w:r>
      <w:r>
        <w:t xml:space="preserve">? Journal of Econometrics 65 (1), 83–108. https://doi.org/10.1016/0304-4076(94)01598-T</w:t>
      </w:r>
    </w:p>
    <w:p>
      <w:pPr>
        <w:pStyle w:val="BodyText"/>
      </w:pPr>
      <w:r>
        <w:t xml:space="preserve">Bröring, S., Cloutier, L.M., Leker, J., 2006. The front end of innovation in an era of industry convergence: Evidence from nutraceuticals and functional foods. R&amp;D Management 36 (5), 487–498. https://doi.org/10.1111/j.1467-9310.2006.00449.x</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 https://doi.org/10.2307/3094825</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 https://doi.org/10.1016/j.technovation.2016.04.003</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 https://doi.org/10.1016/j.techfore.2009.10.002</w:t>
      </w:r>
    </w:p>
    <w:p>
      <w:pPr>
        <w:pStyle w:val="BodyText"/>
      </w:pPr>
      <w:r>
        <w:t xml:space="preserve">Curran, C.-S., Leker, J., 2011. Patent indicators for monitoring convergence – Examples from NFF and ICT. Technological Forecasting and Social Change 78 (2), 256–273. https://doi.org/10.1016/j.techfore.2010.06.021</w:t>
      </w:r>
    </w:p>
    <w:p>
      <w:pPr>
        <w:pStyle w:val="BodyText"/>
      </w:pPr>
      <w:r>
        <w:t xml:space="preserve">Dang, J., Motohashi, K., 2015. Patent statistics: A good indicator for innovation in China? Patent subsidy program impacts on patent quality. China Economic Review 35, 137–155. https://doi.org/10.1016/j.chieco.2015.03.012</w:t>
      </w:r>
    </w:p>
    <w:p>
      <w:pPr>
        <w:pStyle w:val="BodyText"/>
      </w:pPr>
      <w:r>
        <w:t xml:space="preserve">Ernst, D., 2005. Complexity and internationalisation of innovation—why is chip design moving to Asia? International Journal of Innovation Management 9 (1), 47–73. https://doi.org/10.1142/S1363919605001186</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 https://doi.org/10.1016/S0954-349X(00)00035-7</w:t>
      </w:r>
    </w:p>
    <w:p>
      <w:pPr>
        <w:pStyle w:val="BodyText"/>
      </w:pPr>
      <w:r>
        <w:t xml:space="preserve">Gambardella, A., Torrisi, S., 1998. Does technological convergence imply convergence in markets? Evidence from the electronics industry. Research Policy 27 (5), 445–463. https://doi.org/10.1016/S0048-7333(98)00062-6</w:t>
      </w:r>
    </w:p>
    <w:p>
      <w:pPr>
        <w:pStyle w:val="BodyText"/>
      </w:pPr>
      <w:r>
        <w:t xml:space="preserve">Geum, Y., Kim, M.-S., Lee, S., 2016. How industrial convergence happens: A taxonomical approach based on empirical evidences. Technological Forecasting and Social Change 107, 112–120. https://doi.org/10.1016/j.techfore.2016.03.020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 https://doi.org/10.1016/j.techfore.2009.03.003</w:t>
      </w:r>
    </w:p>
    <w:p>
      <w:pPr>
        <w:pStyle w:val="BodyText"/>
      </w:pPr>
      <w:r>
        <w:t xml:space="preserve">Hall, B.H., Trajtenberg, M., 2004. Uncovering GPTs with patent data. NBER Working Paper No. 10901. National Bureau of Economic Research, Cambridge, MA. https://doi.org/10.3386/w10901</w:t>
      </w:r>
    </w:p>
    <w:p>
      <w:pPr>
        <w:pStyle w:val="BodyText"/>
      </w:pPr>
      <w:r>
        <w:t xml:space="preserve">Hall, B.H., Ziedonis, R.H., 2001. The patent paradox revisited: An empirical study of patenting in the U.S. semiconductor industry, 1979–1995. RAND Journal of Economics 32 (1), 101–128. https://doi.org/10.2307/2696400</w:t>
      </w:r>
    </w:p>
    <w:p>
      <w:pPr>
        <w:pStyle w:val="BodyText"/>
      </w:pPr>
      <w:r>
        <w:t xml:space="preserve">Hausman, J., Hall, B.H., Griliches, Z., 1984. Econometric models for count data with an application to the patents–R&amp;D relationship. Econometrica 52 (4), 909–938. https://doi.org/10.2307/1911191</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 https://doi.org/10.1016/j.jdeveco.2008.11.004</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 https://doi.org/10.1109/TCPMT.2015.2511626</w:t>
      </w:r>
    </w:p>
    <w:p>
      <w:pPr>
        <w:pStyle w:val="BodyText"/>
      </w:pPr>
      <w:r>
        <w:t xml:space="preserve">Jacobides, M.G., Knudsen, T., Augier, M., 2006. Benefiting from innovation: Value creation, value appropriation and the role of industry architectures. Research Policy 35 (8), 1200–1221. https://doi.org/10.1016/j.respol.2006.09.005</w:t>
      </w:r>
    </w:p>
    <w:p>
      <w:pPr>
        <w:pStyle w:val="BodyText"/>
      </w:pPr>
      <w:r>
        <w:t xml:space="preserve">Jeong, S., Kim, J.-C., Choi, J.Y., 2015. Technology convergence: What developmental stage are we in? Scientometrics 104 (3), 841–871. https://doi.org/10.1007/s11192-015-1606-6</w:t>
      </w:r>
    </w:p>
    <w:p>
      <w:pPr>
        <w:pStyle w:val="BodyText"/>
      </w:pPr>
      <w:r>
        <w:t xml:space="preserve">Kapoor, R., 2013. Persistence of integration in the face of specialization: How firms navigated the winds of disintegration and shaped the architecture of the semiconductor industry. Organization Science 24 (4), 1195–1213. https://doi.org/10.1287/orsc.1120.0802</w:t>
      </w:r>
    </w:p>
    <w:p>
      <w:pPr>
        <w:pStyle w:val="BodyText"/>
      </w:pPr>
      <w:r>
        <w:t xml:space="preserve">Kapoor, R., Adner, R., 2012. What firms make vs. what they know: How firms’ production and knowledge boundaries affect competitive advantage in the face of technological change. Organization Science 23 (5), 1227–1248. https://doi.org/10.1287/orsc.1110.0686</w:t>
      </w:r>
    </w:p>
    <w:p>
      <w:pPr>
        <w:pStyle w:val="BodyText"/>
      </w:pPr>
      <w:r>
        <w:t xml:space="preserve">Karvonen, M., Kässi, T., 2012. Industry convergence analysis with patent citations in changing value systems. International Journal of Business and Systems Research 6 (2), 150–175. https://doi.org/10.1504/IJBSR.2012.046353</w:t>
      </w:r>
    </w:p>
    <w:p>
      <w:pPr>
        <w:pStyle w:val="BodyText"/>
      </w:pPr>
      <w:r>
        <w:t xml:space="preserve">Karvonen, M., Kässi, T., 2013. Patent citations as a tool for analysing the early stages of convergence. Technological Forecasting and Social Change 80 (6), 1094–1107. https://doi.org/10.1016/j.techfore.2012.05.006</w:t>
      </w:r>
    </w:p>
    <w:p>
      <w:pPr>
        <w:pStyle w:val="BodyText"/>
      </w:pPr>
      <w:r>
        <w:t xml:space="preserve">Khan, H.N., Hounshell, D.A., Fuchs, E.R.H., 2018. Science and research policy at the end of Moore’s law. Nature Electronics 1 (1), 14–21. https://doi.org/10.1038/s41928-017-0005-9</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 https://doi.org/10.1080/09537325.2019.1661374</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 https://doi.org/10.4071/imaps.1542066</w:t>
      </w:r>
    </w:p>
    <w:p>
      <w:pPr>
        <w:pStyle w:val="BodyText"/>
      </w:pPr>
      <w:r>
        <w:t xml:space="preserve">Lau, J.H., 2022. Recent advances and trends in advanced packaging. IEEE Transactions on Components, Packaging and Manufacturing Technology 12 (2), 228–252. https://doi.org/10.1109/TCPMT.2022.3144461</w:t>
      </w:r>
    </w:p>
    <w:p>
      <w:pPr>
        <w:pStyle w:val="BodyText"/>
      </w:pPr>
      <w:r>
        <w:t xml:space="preserve">Lee, K., Lim, C., 2001. Technological regimes, catching-up and leapfrogging: Findings from the Korean industries. Research Policy 30 (3), 459–483. https://doi.org/10.1016/S0048-7333(00)00088-3</w:t>
      </w:r>
    </w:p>
    <w:p>
      <w:pPr>
        <w:pStyle w:val="BodyText"/>
      </w:pPr>
      <w:r>
        <w:t xml:space="preserve">Lee, W.S., Han, E.J., Sohn, S.Y., 2015. Predicting the pattern of technology convergence using big-data technology on large-scale triadic patents. Technological Forecasting and Social Change 100, 317–329. https://doi.org/10.1016/j.techfore.2015.07.022</w:t>
      </w:r>
    </w:p>
    <w:p>
      <w:pPr>
        <w:pStyle w:val="BodyText"/>
      </w:pPr>
      <w:r>
        <w:t xml:space="preserve">Lerner, J., 1994. The importance of patent scope: An empirical analysis. RAND Journal of Economics 25 (2), 319–333. https://doi.org/10.2307/2555833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 https://doi.org/10.1016/j.respol.2019.04.014</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 https://doi.org/10.1016/j.techfore.2009.06.006</w:t>
      </w:r>
    </w:p>
    <w:p>
      <w:pPr>
        <w:pStyle w:val="BodyText"/>
      </w:pPr>
      <w:r>
        <w:t xml:space="preserve">Petralia, S., 2020. Mapping general purpose technologies with patent data. Research Policy 49 (7), 104013. https://doi.org/10.1016/j.respol.2020.104013</w:t>
      </w:r>
    </w:p>
    <w:p>
      <w:pPr>
        <w:pStyle w:val="BodyText"/>
      </w:pPr>
      <w:r>
        <w:t xml:space="preserve">Preschitschek, N., Niemann, H., Leker, J., Moehrle, M.G., 2013. Anticipating industry convergence: Semantic analyses vs IPC co-classification analyses of patents. Foresight 15 (6), 446–464. https://doi.org/10.1108/FS-10-2012-0075</w:t>
      </w:r>
    </w:p>
    <w:p>
      <w:pPr>
        <w:pStyle w:val="BodyText"/>
      </w:pPr>
      <w:r>
        <w:t xml:space="preserve">Rosenberg, N., 1963. Technological change in the machine tool industry, 1840–1910. Journal of Economic History 23 (4), 414–443. https://doi.org/10.1017/S0022050700109155</w:t>
      </w:r>
    </w:p>
    <w:p>
      <w:pPr>
        <w:pStyle w:val="BodyText"/>
      </w:pPr>
      <w:r>
        <w:t xml:space="preserve">Sakakibara, M., Branstetter, L., 2001. Do stronger patents induce more innovation? Evidence from the 1988 Japanese patent law reforms. RAND Journal of Economics 32 (1), 77–100. https://doi.org/10.2307/2696399</w:t>
      </w:r>
    </w:p>
    <w:p>
      <w:pPr>
        <w:pStyle w:val="BodyText"/>
      </w:pPr>
      <w:r>
        <w:t xml:space="preserve">Sick, N., Bröring, S., 2022. Exploring the research landscape of convergence from a TIM perspective: A review and research agenda. Technological Forecasting and Social Change 175, 121321. https://doi.org/10.1016/j.techfore.2021.121321</w:t>
      </w:r>
    </w:p>
    <w:p>
      <w:pPr>
        <w:pStyle w:val="BodyText"/>
      </w:pPr>
      <w:r>
        <w:t xml:space="preserve">Sick, N., Preschitschek, N., Leker, J., Bröring, S., 2019. A new framework to assess industry convergence in high technology environments. Technovation 84–85, 48–58. https://doi.org/10.1016/j.technovation.2018.08.001</w:t>
      </w:r>
    </w:p>
    <w:p>
      <w:pPr>
        <w:pStyle w:val="BodyText"/>
      </w:pPr>
      <w:r>
        <w:t xml:space="preserve">Song, C.H., Elvers, D., Leker, J., 2017. Anticipation of converging technology areas — A refined approach for the identification of attractive fields of innovation. Technological Forecasting and Social Change 116, 98–115. https://doi.org/10.1016/j.techfore.2016.11.001</w:t>
      </w:r>
    </w:p>
    <w:p>
      <w:pPr>
        <w:pStyle w:val="BodyText"/>
      </w:pPr>
      <w:r>
        <w:t xml:space="preserve">Trajtenberg, M., Henderson, R., Jaffe, A., 1997. University versus corporate patents: A window on the basicness of invention. Economics of Innovation and New Technology 5 (1), 19–50. https://doi.org/10.1080/10438599700000006</w:t>
      </w:r>
    </w:p>
    <w:p>
      <w:pPr>
        <w:pStyle w:val="BodyText"/>
      </w:pPr>
      <w:r>
        <w:t xml:space="preserve">Yole Group, 2024. Hybrid Bonding Patent Landscape Analysis 2024 [Industry report]. KnowMade (Yole Group), Sophia Antipolis.</w:t>
      </w:r>
    </w:p>
    <w:p>
      <w:pPr>
        <w:pStyle w:val="BodyText"/>
      </w:pPr>
      <w:r>
        <w:t xml:space="preserve">Zhu, C., Motohashi, K., 2022. Identifying the technology convergence using patent text information: A graph convolutional networks (GCN)-based approach. Technological Forecasting and Social Change 176, 121477. https://doi.org/10.1016/j.techfore.2022.121477</w:t>
      </w:r>
    </w:p>
    <w:p>
      <w:pPr>
        <w:pStyle w:val="BodyText"/>
      </w:pPr>
      <w:r>
        <w:t xml:space="preserve">Ziedonis, R.H., 2004. Don’t fence me in: Fragmented markets for technology and the patent acquisition strategies of firms. Management Science 50 (6), 804–820. https://doi.org/10.1287/mnsc.1040.0208</w:t>
      </w:r>
    </w:p>
    <w:bookmarkEnd w:id="53"/>
    <w:bookmarkEnd w:id="54"/>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8" Type="http://schemas.openxmlformats.org/officeDocument/2006/relationships/image" Target="media/rId28.png"/><Relationship Id="rId31" Type="http://schemas.openxmlformats.org/officeDocument/2006/relationships/image" Target="media/rId31.png"/><Relationship Id="rId35" Type="http://schemas.openxmlformats.org/officeDocument/2006/relationships/image" Target="media/rId35.png"/><Relationship Id="rId39" Type="http://schemas.openxmlformats.org/officeDocument/2006/relationships/image" Target="media/rId39.png"/><Relationship Id="rId43" Type="http://schemas.openxmlformats.org/officeDocument/2006/relationships/image" Target="media/rId43.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2026-09-24T05:44:41Z</dcterms:created>
  <dcterms:modified xsi:type="dcterms:W3CDTF">2026-09-24T05:44:41Z</dcterms:modified>
</cp:coreProperties>
</file>

<file path=docProps/custom.xml><?xml version="1.0" encoding="utf-8"?>
<Properties xmlns="http://schemas.openxmlformats.org/officeDocument/2006/custom-properties" xmlns:vt="http://schemas.openxmlformats.org/officeDocument/2006/docPropsVTypes"/>
</file>