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highlights"/>
    <w:p>
      <w:pPr>
        <w:pStyle w:val="Heading2"/>
      </w:pPr>
      <w:r>
        <w:t xml:space="preserve">Highlights</w:t>
      </w:r>
    </w:p>
    <w:p>
      <w:pPr>
        <w:pStyle w:val="Compact"/>
        <w:numPr>
          <w:ilvl w:val="0"/>
          <w:numId w:val="1001"/>
        </w:numPr>
      </w:pPr>
      <w:r>
        <w:t xml:space="preserve">Hybrid bonding patents reveal knowledge integration across front- and back-end stages</w:t>
      </w:r>
    </w:p>
    <w:p>
      <w:pPr>
        <w:pStyle w:val="Compact"/>
        <w:numPr>
          <w:ilvl w:val="0"/>
          <w:numId w:val="1001"/>
        </w:numPr>
      </w:pPr>
      <w:r>
        <w:t xml:space="preserve">Nearly half of the applications integrated bonding and fabrication knowledge</w:t>
      </w:r>
    </w:p>
    <w:p>
      <w:pPr>
        <w:pStyle w:val="Compact"/>
        <w:numPr>
          <w:ilvl w:val="0"/>
          <w:numId w:val="1001"/>
        </w:numPr>
      </w:pPr>
      <w:r>
        <w:t xml:space="preserve">Knowledge integration moved through formation, diffusion, and reconfiguration phases</w:t>
      </w:r>
    </w:p>
    <w:p>
      <w:pPr>
        <w:pStyle w:val="Compact"/>
        <w:numPr>
          <w:ilvl w:val="0"/>
          <w:numId w:val="1001"/>
        </w:numPr>
      </w:pPr>
      <w:r>
        <w:t xml:space="preserve">The center of gravity of filings moved from fabrication processes toward bonding</w:t>
      </w:r>
    </w:p>
    <w:p>
      <w:pPr>
        <w:pStyle w:val="Compact"/>
        <w:numPr>
          <w:ilvl w:val="0"/>
          <w:numId w:val="1001"/>
        </w:numPr>
      </w:pPr>
      <w:r>
        <w:t xml:space="preserve">As the core design became entrenched, integration shifted to peripheral processes</w:t>
      </w:r>
    </w:p>
    <w:bookmarkEnd w:id="9"/>
    <w:sectPr>
      <w:footnotePr>
        <w:numRestart w:val="eachSect"/>
      </w:footnotePr>
      <w:pgSz w:w="11906" w:h="16838"/>
      <w:pgMar w:left="1417" w:right="1417" w:top="1417" w:bottom="141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2026-10-15T10:49:04Z</dcterms:created>
  <dcterms:modified xsi:type="dcterms:W3CDTF">2026-10-15T10:49:04Z</dcterms:modified>
  <cp:lastModifiedBy/>
  <dc:description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