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Hybrid bonding patents reveal knowledge integration across front- and back-end stages</w:t>
      </w:r>
    </w:p>
    <w:p>
      <w:pPr>
        <w:pStyle w:val="Compact"/>
        <w:numPr>
          <w:ilvl w:val="0"/>
          <w:numId w:val="1001"/>
        </w:numPr>
      </w:pPr>
      <w:r>
        <w:t xml:space="preserve">Inventions integrating bonding and fabrication knowledge formed the largest group</w:t>
      </w:r>
    </w:p>
    <w:p>
      <w:pPr>
        <w:pStyle w:val="Compact"/>
        <w:numPr>
          <w:ilvl w:val="0"/>
          <w:numId w:val="1001"/>
        </w:numPr>
      </w:pPr>
      <w:r>
        <w:t xml:space="preserve">Knowledge integration moved through formation, diffusion, and reconfiguration phases</w:t>
      </w:r>
    </w:p>
    <w:p>
      <w:pPr>
        <w:pStyle w:val="Compact"/>
        <w:numPr>
          <w:ilvl w:val="0"/>
          <w:numId w:val="1001"/>
        </w:numPr>
      </w:pPr>
      <w:r>
        <w:t xml:space="preserve">The center of gravity of filings moved from fabrication processes toward bonding</w:t>
      </w:r>
    </w:p>
    <w:p>
      <w:pPr>
        <w:pStyle w:val="Compact"/>
        <w:numPr>
          <w:ilvl w:val="0"/>
          <w:numId w:val="1001"/>
        </w:numPr>
      </w:pPr>
      <w:r>
        <w:t xml:space="preserve">As the core design matured, integration moved from the core to peripheral processes</w:t>
      </w:r>
    </w:p>
    <w:bookmarkEnd w:id="9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2026-10-15T10:27:32Z</dcterms:created>
  <dcterms:modified xsi:type="dcterms:W3CDTF">2026-10-15T10:27:32Z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