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t xml:space="preserve">하이라이트(Highlights)</w:t>
      </w:r>
    </w:p>
    <w:p>
      <w:pPr>
        <w:pStyle w:val="Compact"/>
        <w:numPr>
          <w:ilvl w:val="0"/>
          <w:numId w:val="1001"/>
        </w:numPr>
      </w:pPr>
      <w:r>
        <w:t xml:space="preserve">하이브리드 본딩 특허에서 전공정과 후공정 지식의 통합을 확인함</w:t>
      </w:r>
    </w:p>
    <w:p>
      <w:pPr>
        <w:pStyle w:val="Compact"/>
        <w:numPr>
          <w:ilvl w:val="0"/>
          <w:numId w:val="1001"/>
        </w:numPr>
      </w:pPr>
      <w:r>
        <w:t xml:space="preserve">접합 지식과 제조공정 지식을 통합한 발명이 가장 큰 비중을 차지함</w:t>
      </w:r>
    </w:p>
    <w:p>
      <w:pPr>
        <w:pStyle w:val="Compact"/>
        <w:numPr>
          <w:ilvl w:val="0"/>
          <w:numId w:val="1001"/>
        </w:numPr>
      </w:pPr>
      <w:r>
        <w:t xml:space="preserve">공정 단계 간 지식 통합은 형성기, 확산기, 재편기의 세 국면을 거쳐 전개됨</w:t>
      </w:r>
    </w:p>
    <w:p>
      <w:pPr>
        <w:pStyle w:val="Compact"/>
        <w:numPr>
          <w:ilvl w:val="0"/>
          <w:numId w:val="1001"/>
        </w:numPr>
      </w:pPr>
      <w:r>
        <w:t xml:space="preserve">출원의 무게중심이 제조공정에서 접합 쪽으로 이동함</w:t>
      </w:r>
    </w:p>
    <w:p>
      <w:pPr>
        <w:pStyle w:val="Compact"/>
        <w:numPr>
          <w:ilvl w:val="0"/>
          <w:numId w:val="1001"/>
        </w:numPr>
      </w:pPr>
      <w:r>
        <w:t xml:space="preserve">핵심 설계가 성숙하면서 지식 통합의 위치가 핵심에서 주변 공정으로 이동함</w:t>
      </w:r>
    </w:p>
    <w:p>
      <w:r>
        <w:br w:type="page"/>
      </w:r>
    </w:p>
    <w:p>
      <w:pPr>
        <w:pStyle w:val="FirstParagraph"/>
      </w:pPr>
      <w:r>
        <w:rPr>
          <w:b/>
          <w:bCs/>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지식 영역으로 다루어져 왔다. 그러나 후공정의 접합 기술인 하이브리드 본딩은 전공정의 제조공정 지식이 뒷받침되어야 요구 성능을 확보할 수 있어, 두 공정 단계 사이에서 기술융합, 즉 지식 통합이 이루어지고 있다. 본 연구는 하이브리드 본딩 특허를 대상으로 공정 단계 간 지식 통합의 수준과 형태, 그 시간적 변화, 그리고 통합이 일어나는 위치의 변화를 분석하였다. 유럽특허청 PATSTAT에서 추출한 출원을 지식 통합의 흔적인 CPC 공동분류에 따라 접합 단독형, 공정 단독형, 통합형으로 구분하고, 다항·이항 로짓 분석과 기술 클러스터 및 기술 네트워크 분석을 수행하였다.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융합은 예외적 현상이 아니었다. 통합형 출원은 세부 기술도 더 다양하게 포함하였다. 둘째, 지식 통합은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핵심 접합 기술을 포함한 출원은 형성기에 그렇지 않은 출원보다 제조공정 분류를 함께 가질 가능성이 매우 높았으나 그 차이는 점차 줄어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과정임을 보여 준다. 핵심 기술 설계가 고착화되면서 공정 단계 간 지식 통합은 사라지지 않고 그 위치를 옮겨 간 것으로 해석된다.</w:t>
      </w:r>
    </w:p>
    <w:p>
      <w:pPr>
        <w:pStyle w:val="BodyText"/>
      </w:pPr>
      <w:r>
        <w:rPr>
          <w:b/>
          <w:bCs/>
        </w:rPr>
        <w:t xml:space="preserve">주제어:</w:t>
      </w:r>
      <w:r>
        <w:t xml:space="preserve"> </w:t>
      </w:r>
      <w:r>
        <w:t xml:space="preserve">기술융합; 공정 단계 간 융합; 하이브리드 본딩; 첨단 패키징; 지식 통합; 지식 경계</w:t>
      </w:r>
    </w:p>
    <w:p>
      <w:pPr>
        <w:pStyle w:val="BodyText"/>
      </w:pPr>
      <w:r>
        <w:rPr>
          <w:b/>
          <w:bCs/>
        </w:rPr>
        <w:t xml:space="preserve">JEL 분류:</w:t>
      </w:r>
      <w:r>
        <w:t xml:space="preserve"> </w:t>
      </w:r>
      <w: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전공정은 종합반도체기업(IDM)과 파운드리의 대규모 팹에 집중되었고, 패키징과 테스트는 조립·테스트 전문업체(OSAT)로 외주화되었다(Brown &amp; Linden, 2009; Kapoor, 2013; Macher &amp; Mowery, 2004). 이러한 분업은 두 단계 사이의 인터페이스가 안정적이었기에 가능하였다. 안정적인 인터페이스는 각 공정 단계가 서로 구분되는 지식 영역을 유지하면서 전문화할 수 있게 하지만(Brusoni et al., 2001; Henderson &amp; Clark, 1990), 기술 변화가 인터페이스를 불안정하게 만들면 혁신은 경계 양쪽의 전문 지식을 통합할 것을 요구하게 된다(Grant, 1996).</w:t>
      </w:r>
    </w:p>
    <w:p>
      <w:pPr>
        <w:pStyle w:val="BodyText"/>
      </w:pPr>
      <w:r>
        <w:t xml:space="preserve">첨단 패키징은 바로 이러한 변화를 가져왔다. 미세화가 집적도 향상의 둔화와 비용의 급증이라는 한계에 직면하자, 반도체 산업은 다이를 분할하고 적층하여 연결하는 방식에서 성능 향상의 기회를 모색하기 시작하였다(Arden et al., 2010; Khan et al., 2018). 그 중심에 있는 하이브리드 본딩은 솔더 범프 없이 구리 패드와 주변 산화막을 직접 접합하여 10 µm 이하의 연결 간격을 실현한다(Lau, 2021, 2022). 이 기술의 성패를 좌우하는 나노미터 수준의 표면 평탄화, 표면 활성화, 정밀 정렬은 후공정이 축적해 온 역량이 아니라 전공정의 제조공정 역량에 해당하며, 선도 파운드리가 첨단 패키징 역량을 내재화하는 움직임도 이러한 상호의존의 심화와 관련된다(KnowMade, 2024; Lau, 2022).</w:t>
      </w:r>
    </w:p>
    <w:p>
      <w:pPr>
        <w:pStyle w:val="BodyText"/>
      </w:pPr>
      <w:r>
        <w:t xml:space="preserve">기술융합 연구는 서로 구분되던 기술 영역이 중첩되고 결합하는 과정을 오랫동안 다루어 왔으나(Curran &amp; Leker, 2011; Kodama, 1992; Rosenberg, 1963; Sick &amp; Bröring, 2022), 정보통신과 가전(Hacklin et al., 2009), 식품과 제약(Bröring et al., 2006), 나노기술과 바이오기술(No &amp; Park, 2010)의 사례에서 보듯 주된 관심은 서로 다른 산업이나 기술 분야 간의 중첩에 있었다. 가치사슬 상·하류 기업 간의 특허 인용을 분석한 Karvonen과 Kässi(2012)가 가장 가까운 선례이지만, 이 연구도 하나의 발명이 공정 단계의 경계를 넘는지를 특허 단위에서 검정하지는 않았다. 또한 융합을 단계적 과정으로 보는 이론(Hacklin et al., 2010)에 비해 융합의 내용이 시간에 따라 어떻게 달라지는지에 관한 실증 연구는 부족하다. 공정 단계의 경계를 넘는 발명은 누가 무엇을 생산하고 가치를 어떻게 배분하는지를 규정하는 산업 아키텍처(Jacobides et al., 2006)를 바꾸는 기술적 출발점이 될 수 있다는 점에서 이러한 공백은 중요하다. 지식의 관점에서 보면 이는 두 단계의 지식 영역이 결합하는지의 문제일 뿐 아니라, 기술 아키텍처가 진화함에 따라 그 지식이 통합되는 위치가 어떻게 달라지는지의 문제이기도 하다.</w:t>
      </w:r>
    </w:p>
    <w:p>
      <w:pPr>
        <w:pStyle w:val="BodyText"/>
      </w:pPr>
      <w:r>
        <w:t xml:space="preserve">본 연구는 공정 단계 간 기술융합, 즉 두 단계의 지식이 하나의 발명 안에서 통합되는 현상을 개별 특허 수준에서 분석한다. 자료는 유럽특허청(EPO) PATSTAT에서 추출한 하이브리드 본딩 관련 특허출원 928건과 각 출원의 협력적 특허분류(CPC) 기호이다.</w:t>
      </w:r>
      <w:r>
        <w:t xml:space="preserve"> </w:t>
      </w:r>
      <w:r>
        <w:rPr>
          <w:b/>
          <w:bCs/>
        </w:rPr>
        <w:t xml:space="preserve">접합·인터커넥트 분류(H01L24)</w:t>
      </w:r>
      <w:r>
        <w:t xml:space="preserve">와</w:t>
      </w:r>
      <w:r>
        <w:t xml:space="preserve"> </w:t>
      </w:r>
      <w:r>
        <w:rPr>
          <w:b/>
          <w:bCs/>
        </w:rPr>
        <w:t xml:space="preserve">제조공정 분류(H01L21)</w:t>
      </w:r>
      <w:r>
        <w:t xml:space="preserve">의 기호를 함께 부여받은 출원은 공정 단계의 경계를 넘는 통합형으로, 한쪽 기호만 부여받은 출원은 접합 단독형 또는 공정 단독형으로 정의하였다. 발명은 기존 지식의 새로운 결합이므로(Fleming, 2001), 한 출원의 공동분류는 두 공정 영역의 지식이 하나의 발명 안에서 통합되었음을 보여 주는 불완전하지만 관찰 가능한 흔적이다. 공동분류로 융합을 포착하는 것은 표준적인 방법이지만(Curran &amp; Leker, 2011; Kwon et al., 2020), 본 연구는 이를 한 산업 내부의 공정 단계 경계에 적용하고 분야 수준의 지수 대신 개별 특허의 유형으로 재구성하였다.</w:t>
      </w:r>
    </w:p>
    <w:p>
      <w:pPr>
        <w:pStyle w:val="BodyText"/>
      </w:pPr>
      <w:r>
        <w:t xml:space="preserve">연구 질문은 다음과 같다. 첫째(RQ1), 하이브리드 본딩 발명에서 제조공정 영역과 접합 영역의 지식은 어느 정도로, 어떠한 형태로 통합되는가? 둘째(RQ2), 공정 단계 간 지식 통합은 시간에 따라 어떻게 변화해 왔는가? 셋째(RQ3), 공정 단계 간 지식 통합이 일어나는 위치는 핵심 기술과 주변 기술 사이에서 시기에 따라 어떻게 이동하는가?</w:t>
      </w:r>
    </w:p>
    <w:p>
      <w:pPr>
        <w:pStyle w:val="BodyText"/>
      </w:pPr>
      <w:r>
        <w:t xml:space="preserve">본 연구의 기여는 세 가지이다. 첫째, 기술융합 연구의 분석 범위를 동일 산업 내 제조공정 단계 간 융합으로 넓히고, 기업 경계를 중심으로 논의되어 온 지식 경계를 수직적으로 분리된 공정 영역으로 확장한다. 둘째, 융합을 형성, 확산, 재편의 국면을 거쳐 유형별 구성이 달라지는 동태적 과정으로 분석하여, 공정 단계 간 지식 통합이 비선형적으로 재편됨을 보인다. 셋째, 핵심 접합 기술과 제조공정 기술의 결합 관계를 시기별로 추적하여, 핵심 설계가 고착화되면 지식 통합이 사라지는 것이 아니라 핵심 접합부에서 주변 공정으로 그 위치를 옮긴다는 실증적 근거를 제시한다.</w:t>
      </w:r>
    </w:p>
    <w:bookmarkEnd w:id="15"/>
    <w:bookmarkStart w:id="21" w:name="이론적-배경"/>
    <w:p>
      <w:pPr>
        <w:pStyle w:val="Heading2"/>
      </w:pPr>
      <w:r>
        <w:t xml:space="preserve">2. 이론적 배경</w:t>
      </w:r>
    </w:p>
    <w:bookmarkStart w:id="16" w:name="기술융합과-지식-통합"/>
    <w:p>
      <w:pPr>
        <w:pStyle w:val="Heading3"/>
      </w:pPr>
      <w:r>
        <w:t xml:space="preserve">2.1 기술융합과 지식 통합</w:t>
      </w:r>
    </w:p>
    <w:p>
      <w:pPr>
        <w:pStyle w:val="FirstParagraph"/>
      </w:pPr>
      <w:r>
        <w:t xml:space="preserve">Rosenberg(1963)는 19세기 공작기계 산업의 출현을 분석하여, 총기나 재봉틀을 위해 개발된 가공 기술이 다른 제품에도 활용되는 과정을 기술적 수렴이라 명명하였다. 그의 논의에서 수렴이 일어나는 단위는 최종 제품이 아니라 공통의 생산공정이었으며, 이러한 공정 지식을 축적한 공작기계 산업이 독립된 전문 산업으로 등장하였다. Kodama(1992)는 분리되어 있던 기술 분야를 결합하여 어느 한 분야도 단독으로는 갖지 못한 역량을 창출하는 과정을 기술융합으로 개념화하였다. 지식 기반 관점에서 보면 이러한 결합은 분리되어 있던 전문 지식의 통합에 해당하며(Grant, 1996), 각 발명은 기존 지식 요소의 새로운 결합으로 볼 수 있다(Fleming, 2001).</w:t>
      </w:r>
    </w:p>
    <w:p>
      <w:pPr>
        <w:pStyle w:val="BodyText"/>
      </w:pPr>
      <w:r>
        <w:t xml:space="preserve">Hacklin et al.(2010)은 정보통신 분야 26개 기업의 사례에서, 융합이 분리되어 있던 지식 기반이 중첩되기 시작하는 지식 융합(knowledge convergence)에서 출발하여 기술 융합(technological convergence)과 응용 융합(applicational convergence)을 거쳐 산업 융합(industrial convergence)으로 진행된다는 단계 모형을 도출하였으며, 이 단계들이 상호 피드백을 통해 공진화적 순환을 이룬다고 보았다(Hacklin et al., 2009). 융합은 비선형적으로 진행되므로 모든 융합이 네 단계를 차례로 거치지는 않지만, 서로 다른 분야의 기술이 하나의 발명 안에서 결합되는 기술 융합 단계는 특허로 관찰하기에 적합하다(Curran et al., 2010; Curran &amp; Leker, 2011). 이후 기술융합 연구는 융합의 동인과 융합이 발생하기 쉬운 기술 분야 등을 다루며 기술혁신경영 분야의 독립된 연구 흐름으로 자리 잡았다(Caviggioli, 2016; Geum et al., 2016; Hwang, 2020; Sick &amp; Bröring, 2022; Whang, 2018).</w:t>
      </w:r>
    </w:p>
    <w:p>
      <w:pPr>
        <w:pStyle w:val="BodyText"/>
      </w:pPr>
      <w:r>
        <w:t xml:space="preserve">그러나 선행연구는 세 가지 특징을 공유한다. 첫째, 초점이 서로 다른 산업이나 기술 분야 간의 중첩에 맞추어져 있다(Bröring et al., 2006; Gambardella &amp; Torrisi, 1998; No &amp; Park, 2010). 둘째, 융합은 주로 두 분야 사이의 공동분류나 인용을 집계한 분야 수준의 지표로 측정되었다(Cho &amp; Kim, 2014; Choi et al., 2022; Curran et al., 2010; Song et al., 2017). 이러한 지표는 두 분야가 융합하는지와 그 시점을 보여 주지만, 개별 특허 간의 차이가 평균 속에 가려지므로 어떠한 발명이 융합을 포함하는지는 설명하기 어렵다. 셋째, 이론은 융합을 단계적 과정으로 보지만 실증 연구는 대체로 융합의 정도가 증가하였는지를 추세로 확인하는 데 머물렀으며, 융합이 진행되는 동안 그 내용과 중심이 어떻게 변화하는지는 충분히 규명되지 않았다. Sick과 Bröring(2022) 역시 융합을 과정으로 다룬 연구들이 이론적 기반과는 비교적 독립적으로 발전해 왔다고 지적하였다.</w:t>
      </w:r>
    </w:p>
    <w:bookmarkEnd w:id="16"/>
    <w:bookmarkStart w:id="17" w:name="가치사슬-내-공정-단계-간-기술융합과-지식-경계"/>
    <w:p>
      <w:pPr>
        <w:pStyle w:val="Heading3"/>
      </w:pPr>
      <w:r>
        <w:t xml:space="preserve">2.2 가치사슬 내 공정 단계 간 기술융합과 지식 경계</w:t>
      </w:r>
    </w:p>
    <w:p>
      <w:pPr>
        <w:pStyle w:val="FirstParagraph"/>
      </w:pPr>
      <w:r>
        <w:t xml:space="preserve">융합이 발생하는 경계는 산업 사이에만 있는 것이 아니다. 반도체 산업에서는 가치사슬의 단계를 구분하는 경계가 수직 전문화 연구의 오랜 분석 대상이었다. 설계와 제조, 제조와 조립이 분리되면서 팹리스, 파운드리, 조립·테스트 전문업체가 등장하였고 이 구조는 여러 차례의 위기를 거치며 재편되었으나(Brown &amp; Linden, 2009; Langlois &amp; Steinmueller, 1999; Macher &amp; Mowery, 2004), 여러 단계에 걸친 역량을 유지한 기업들의 선택이 산업 아키텍처를 형성해 왔다(Kapoor, 2013). Kapoor와 Adner(2012)는 1974–2005년 세계 DRAM 산업의 12개 제품 세대를 분석하여, 외주화한 구성요소에 대한 지식까지 보유한 비통합 기업이 기술 전환에서 성과상의 이점을 얻었음을 보였다. 생산의 경계와 지식의 경계는 일치하지 않으며, 기술 변화의 국면에서는 그 차이가 기업의 대응 능력을 좌우한다(Brusoni et al., 2001).</w:t>
      </w:r>
    </w:p>
    <w:p>
      <w:pPr>
        <w:pStyle w:val="BodyText"/>
      </w:pPr>
      <w:r>
        <w:t xml:space="preserve">산업 아키텍처는 누가 무엇을 수행하고 가치가 어떻게 배분되는지를 규정하는 틀이며, 그 틀 자체도 기술과 기업 전략의 변화에 따라 재편될 수 있다(Jacobides et al., 2006). 공정 단계 간 분업은 단계 사이의 인터페이스가 안정적일 때 유지된다. Henderson과 Clark(1990)은 반도체 노광 정렬 장비 산업을 분석하여 부품에 관한 지식과 부품들이 어떻게 연결되는지에 관한 아키텍처 지식을 구분하고, 연결 방식이 바뀌면 기존 아키텍처 지식의 유용성이 훼손됨을 보였다. 새로운 기술이 한 단계의 성능을 다른 단계의 지식에 의존하게 만들면 인터페이스는 불안정해지고, 기업은 경계 반대편의 지식을 획득하거나 통합해야 한다. 이러한 지식의 결합은 조직과 산업 구조의 변화보다 먼저 발명 수준에서, 즉 하나의 발명이 두 단계의 기술을 함께 포함하는 형태로 나타날 수 있다.</w:t>
      </w:r>
    </w:p>
    <w:p>
      <w:pPr>
        <w:pStyle w:val="BodyText"/>
      </w:pPr>
      <w:r>
        <w:t xml:space="preserve">하이브리드 본딩은 바로 한 단계의 성능을 다른 단계의 지식에 의존하게 만드는 기술이다. 수율이 평탄화, 표면 화학, 정렬과 같은 전공정 역량에 좌우되므로 제조와 패키징 사이의 인터페이스는 더 이상 안정적이지 않다. 이러한 현상은 미세화의 한계에 관한 연구에서 예견되었고(Arden et al., 2010; Iyer, 2016; Khan et al., 2018) 패키징 공학 연구에서 기술적으로 기록되어 왔으나(Lau, 2021, 2022), 이를 발명의 기록에서 관찰한 연구는 거의 없다. 단계 모형에 비추어 보면 하이브리드 본딩에서 지식 융합은 평탄화, 표면 활성화와 같은 제조공정 지식이 칩 사이의 연결 문제에 적용되기 시작하는 단계, 기술 융합은 이 지식이 접합 구조와 하나의 발명 안에서 결합되는 단계, 응용 융합은 결합된 기술이 이미지센서, 3D NAND, HBM, 칩렛과 같은 제품으로 구현되는 단계, 산업 융합은 선도 파운드리의 첨단 패키징 내재화처럼 분업 구조 자체가 재편되는 단계이다(KnowMade, 2024; Lau, 2022). 이 가운데 특허 공동분류로 직접 관찰할 수 있는 것은 기술 융합 단계이다. 인터페이스가 불안정해졌다면 두 단계의 지식을 함께 포함하는 발명이 예외적이지 않은 비중으로 나타날 것이며, 두 영역에 걸친 발명은 한 영역에 머무는 발명보다 더 다양한 세부 기술을 결합할 것이다.</w:t>
      </w:r>
    </w:p>
    <w:bookmarkEnd w:id="17"/>
    <w:bookmarkStart w:id="18" w:name="기술융합의-동태적-전개와-지식-통합의-위치"/>
    <w:p>
      <w:pPr>
        <w:pStyle w:val="Heading3"/>
      </w:pPr>
      <w:r>
        <w:t xml:space="preserve">2.3 기술융합의 동태적 전개와 지식 통합의 위치</w:t>
      </w:r>
    </w:p>
    <w:p>
      <w:pPr>
        <w:pStyle w:val="FirstParagraph"/>
      </w:pPr>
      <w:r>
        <w:t xml:space="preserve">기술 순환 모형(Anderson &amp; Tushman, 1990)에 따르면 기술 변화는 기술적 불연속, 여러 설계가 경쟁하는 격동기, 지배적 설계의 등장, 점진적 변화가 반복되는 순환으로 나타나며,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주며, Hacklin et al.(2009)도 혁신 순환 모형에 기초하여 융합의 과정을 설명하였다. 두 관점을 결합하면, 기술이 형성되는 시기에는 직접 접합을 가능하게 하는 공정 발명이 주를 이루고(지식 융합), 확산되는 시기에는 공정 지식이 접합 발명과 결합하는 사례가 증가하며(기술 융합), 하나의 설계가 지배적 설계로 자리 잡은 이후에는 두 기술의 결합이 응용에 필요한 주변 공정으로 이동할 것으로 예상된다(응용 융합). 실제로 하이브리드 본딩의 초기 발명은 표면 준비, 저온 어닐링, 평탄화 등 공정에 관한 것이 많았으나, 적용 범위가 웨이퍼 단위 접합에서 HBM과 로직을 위한 다이 단위 접합으로 확대되면서 발명의 중심은 접합 구조와 적층으로 이동하였다(Lau, 2021). 특허로 융합의 동태를 추적한 연구들은 분야 쌍의 융합 정도가 어떻게 변화하는지에 초점을 두었으며(Jeong et al., 2015; Yun &amp; Geum, 2019), 하나의 기술 안에서 융합의 형태별 구성이 어떻게 달라지는지는 상대적으로 덜 다루었다.</w:t>
      </w:r>
    </w:p>
    <w:p>
      <w:pPr>
        <w:pStyle w:val="BodyText"/>
      </w:pPr>
      <w:r>
        <w:t xml:space="preserve">융합의 변화는 기술을 구성하는 요소 간의 관계에서도 나타날 수 있다. 복합적인 기술은 다른 요소와 밀접하게 연관된 핵심 요소와 그렇지 않은 주변 요소로 구성되며, Murmann과 Frenken(2006)은 지배적 설계를 다른 요소와의 안정된 인터페이스 역할을 하는 핵심 요소의 안정된 설계로 정의하였다. 핵심 요소의 설계가 안정되면 이후의 기술 변화는 그 인터페이스를 전제로 주변 요소에서 이어질 수 있다. 하이브리드 본딩의 핵심 요소는 범프나 솔더 없이 접합 패드끼리 직접 접합하는 연결 방식이며(Lau, 2021), 인터페이스가 확정되지 않은 격동기에 이를 발명하려면 표면 평탄화나 웨이퍼 접합과 같은 제조공정 지식을 함께 다루어야 한다. 그러나 지배적 설계가 확립되면 구성요소를 연결하는 아키텍처 지식은 조직의 문제 해결 방식에 내재되어 당연한 전제가 되며(Henderson &amp; Clark, 1990), 구성요소 간 상호의존이 예측 가능해질수록 경계 반대편의 지식을 함께 다룰 필요성은 줄어든다(Brusoni et al., 2001). 하이브리드 본딩은 웨이퍼 단위 접합에서 먼저 상용화된 뒤 다이 단위 접합으로 확대되었으므로(Lau, 2021, 2022), 출원 시기가 늦을수록 핵심 기술의 설계가 고착화된 단계에 해당할 가능성이 크다.</w:t>
      </w:r>
    </w:p>
    <w:p>
      <w:pPr>
        <w:pStyle w:val="BodyText"/>
      </w:pPr>
      <w:r>
        <w:t xml:space="preserve">따라서 핵심 기술을 포함한 발명은 기술 형성기에는 제조공정 지식을 함께 포함하는 경우가 많겠지만 그 차이는 시간이 지남에 따라 줄어들고, 새로운 결합은 핵심 기술의 인터페이스를 전제로 한 주변 공정에서 이루어질 것이다. 단계 모형의 관점에서 이는 기술 융합에서 응용 융합으로 나아가는 과정, 즉 지식 통합이 일어나는 위치가 핵심 접합부에서 주변 공정으로 옮겨 가는 과정이다. 또한 Rosenberg(1963)의 사례에서 공정 지식의 수렴이 공작기계라는 장비 산업을 매개로 확산되었듯이, 공정 단계 간 융합에서도 공정 장비가 두 단계를 잇는 매개가 될 수 있다. 본 연구가 제조공정을 웨이퍼 제조공정, 공정 장치, 패키징 단계 공정으로 나누어 각 영역과 접합 기술의 결합을 비교하는 것은 이 때문이다.</w:t>
      </w:r>
    </w:p>
    <w:bookmarkEnd w:id="18"/>
    <w:bookmarkStart w:id="19" w:name="지식-통합의-관점에서-본-특허-기반-측정"/>
    <w:p>
      <w:pPr>
        <w:pStyle w:val="Heading3"/>
      </w:pPr>
      <w:r>
        <w:t xml:space="preserve">2.4 지식 통합의 관점에서 본 특허 기반 측정</w:t>
      </w:r>
    </w:p>
    <w:p>
      <w:pPr>
        <w:pStyle w:val="FirstParagraph"/>
      </w:pPr>
      <w:r>
        <w:t xml:space="preserve">융합 측정에 특허가 널리 활용되는 것은 분류 기호가 각 발명을 하나 이상의 기술 분야에 배치하기 때문이다(Curran &amp; Leker, 2011). Fleming(2001)이 분류 기호를 발명을 구성하는 기술 요소로, 함께 부여된 기호의 조합을 요소의 재조합으로 보았듯이, 서로 다른 영역의 기호가 한 특허에 함께 부여되었다는 것은 두 영역의 지식이 하나의 발명 안에서 결합되었다는 흔적이다. 이러한 의미에서 공동분류는 발명 수준의 지식 통합을 보여 주는 관찰 가능한 흔적이며, 조직 간 지식 이전의 측정치는 아니다. 기존 연구는 대체로 공동분류를 분야 수준의 지수로 집계하였으며(Cho &amp; Kim, 2014; Jeong et al., 2015; Kwon et al., 2020; Lee et al., 2015; Yun &amp; Geum, 2019), 분류가 발명을 사후적으로 반영한다는 한계를 보완하고자 특허 텍스트를 활용하기도 하였다(Preschitschek et al., 2013; Zhu &amp; Motohashi, 2022).</w:t>
      </w:r>
    </w:p>
    <w:p>
      <w:pPr>
        <w:pStyle w:val="BodyText"/>
      </w:pPr>
      <w:r>
        <w:t xml:space="preserve">본 연구는 개별 특허를 접합 단독형, 공정 단독형, 통합형의 세 유형으로 구분한다. 공정 단독형은 접합에 필요한 제조공정 지식이 접합 기술과 분리된 채 발전하는 상태이고, 통합형은 두 영역의 지식이 하나의 발명 안에서 결합된 상태이다. 접합 단독형은 제조공정 지식과 아직 결합되지 않은 접합 발명일 수도 있고 인터페이스가 고착화되어 제조공정 지식이 전제된 접합 발명일 수도 있으므로, 유형의 비중은 출원 시기에 따른 구성의 변화와 함께 해석해야 한다. 유형이 개별 특허 단위로 정의되므로 이산선택 모형을 적용할 수 있고 특허 간 차이도 보존된다.</w:t>
      </w:r>
    </w:p>
    <w:p>
      <w:pPr>
        <w:pStyle w:val="BodyText"/>
      </w:pPr>
      <w:r>
        <w:t xml:space="preserve">핵심 기술은 기술 클러스터와 기술 네트워크로 식별한다(제4.4절). 분류 기호를 노드로, 함께 부여된 기호의 쌍을 연결로 보면 기술 요소 간의 결합 구조를 나타낼 수 있으며(Sternitzke et al., 2008), 두 기호가 함께 부여되는 빈도는 두 기술 사이의 지식 관련성을 반영한다(Breschi et al., 2003). 다른 기호와 가장 강하게 연결된 기호를 핵심 기술로 보는 것은 Murmann과 Frenken(2006)의 핵심 요소 개념을 분류의 결합 구조에서 근사한 것이며, 서로 다른 기호들을 잇는 기호의 시기별 변화는 지식 통합이 일어나는 위치를 보여 준다. 끝으로 기술범위는 분류의 수로 특허 범위를 측정한 Lerner(1994)의 방식을 두 클래스 내의 세부 분류 수로 한정한 것으로(Hall &amp; Ziedonis, 2001; Ziedonis, 2004), 한 발명이 두 영역에 걸쳐 얼마나 다양한 요소를 결합하였는지를 가리킨다. 다만 통합형은 정의상 두 클래스의 기호를 하나 이상씩 가지므로 기술범위와 유형의 관계에는 기계적인 측면이 있으며, 이 문제는 제4.3절과 제5.4절에서 다룬다.</w:t>
      </w:r>
    </w:p>
    <w:bookmarkEnd w:id="19"/>
    <w:bookmarkStart w:id="20" w:name="분석-틀"/>
    <w:p>
      <w:pPr>
        <w:pStyle w:val="Heading3"/>
      </w:pPr>
      <w:r>
        <w:t xml:space="preserve">2.5 분석 틀</w:t>
      </w:r>
    </w:p>
    <w:p>
      <w:pPr>
        <w:pStyle w:val="FirstParagraph"/>
      </w:pPr>
      <w:r>
        <w:t xml:space="preserve">표 1은 이상의 논의를 연구 질문별로 정리한 것이다. 첫째 연구 질문에서 기술 융합 단계가 한 산업의 공정 단계 경계에서 발명 수준으로 나타나는지를 확인한 뒤, 둘째 연구 질문에서는 그 수준과 형태가 기술의 발전 단계에 따라 어떻게 변화하는지를, 셋째 연구 질문에서는 그 변화가 핵심 기술의 고착화와 함께 지식 통합 위치의 이동으로 나타나는지를 검토한다. 이 기대들은 통계적 가설로 검정되는 것이 아니라 분석 결과를 해석하는 이론적 기준의 역할을 한다. 특허 공동분류로 직접 관찰할 수 있는 것은 기술 융합 단계이므로, 응용 융합 단계는 셋째 연구 질문에서 간접적으로만 다루며 산업 융합 단계는 분석 범위에 포함하지 않는다.</w:t>
      </w:r>
    </w:p>
    <w:p>
      <w:pPr>
        <w:pStyle w:val="BodyText"/>
        <w:keepNext/>
      </w:pPr>
      <w:r>
        <w:rPr>
          <w:b/>
          <w:bCs/>
          <w:sz w:val="20"/>
          <w:szCs w:val="20"/>
        </w:rPr>
        <w:t xml:space="preserve">표 1.</w:t>
      </w:r>
      <w:r>
        <w:rPr>
          <w:sz w:val="20"/>
          <w:szCs w:val="20"/>
        </w:rPr>
        <w:t xml:space="preserve"> </w:t>
      </w:r>
      <w:r>
        <w:rPr>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81"/>
        <w:gridCol w:w="2329"/>
        <w:gridCol w:w="1982"/>
        <w:gridCol w:w="2676"/>
      </w:tblGrid>
      <w:tr>
        <w:trPr>
          <w:tblHeader w:val="on"/>
          <w:cantSplit/>
        </w:trPr>
        <w:tc>
          <w:tcPr>
            <w:tcW w:type="dxa" w:w="2081"/>
            <w:tcBorders>
              <w:bottom w:val="single" w:sz="4" w:space="0" w:color="000000"/>
            </w:tcBorders>
          </w:tcPr>
          <w:p>
            <w:pPr>
              <w:pStyle w:val="Compact"/>
              <w:spacing w:before="20" w:after="20" w:line="240" w:lineRule="auto"/>
              <w:keepNext/>
            </w:pPr>
            <w:r>
              <w:rPr>
                <w:sz w:val="18"/>
                <w:szCs w:val="18"/>
              </w:rPr>
              <w:t xml:space="preserve">연구 질문</w:t>
            </w:r>
          </w:p>
        </w:tc>
        <w:tc>
          <w:tcPr>
            <w:tcW w:type="dxa" w:w="2329"/>
            <w:tcBorders>
              <w:bottom w:val="single" w:sz="4" w:space="0" w:color="000000"/>
            </w:tcBorders>
          </w:tcPr>
          <w:p>
            <w:pPr>
              <w:pStyle w:val="Compact"/>
              <w:spacing w:before="20" w:after="20" w:line="240" w:lineRule="auto"/>
              <w:keepNext/>
            </w:pPr>
            <w:r>
              <w:rPr>
                <w:sz w:val="18"/>
                <w:szCs w:val="18"/>
              </w:rPr>
              <w:t xml:space="preserve">이론적 근거</w:t>
            </w:r>
          </w:p>
        </w:tc>
        <w:tc>
          <w:tcPr>
            <w:tcW w:type="dxa" w:w="1982"/>
            <w:tcBorders>
              <w:bottom w:val="single" w:sz="4" w:space="0" w:color="000000"/>
            </w:tcBorders>
          </w:tcPr>
          <w:p>
            <w:pPr>
              <w:pStyle w:val="Compact"/>
              <w:spacing w:before="20" w:after="20" w:line="240" w:lineRule="auto"/>
              <w:keepNext/>
            </w:pPr>
            <w:r>
              <w:rPr>
                <w:sz w:val="18"/>
                <w:szCs w:val="18"/>
              </w:rPr>
              <w:t xml:space="preserve">이론적 기대</w:t>
            </w:r>
          </w:p>
        </w:tc>
        <w:tc>
          <w:tcPr>
            <w:tcW w:type="dxa" w:w="2676"/>
            <w:tcBorders>
              <w:bottom w:val="single" w:sz="4" w:space="0" w:color="000000"/>
            </w:tcBorders>
          </w:tcPr>
          <w:p>
            <w:pPr>
              <w:pStyle w:val="Compact"/>
              <w:spacing w:before="20" w:after="20" w:line="240" w:lineRule="auto"/>
              <w:keepNext/>
            </w:pPr>
            <w:r>
              <w:rPr>
                <w:sz w:val="18"/>
                <w:szCs w:val="18"/>
              </w:rPr>
              <w:t xml:space="preserve">측정과 분석 방법</w:t>
            </w:r>
          </w:p>
        </w:tc>
      </w:tr>
      <w:tr>
        <w:trPr>
          <w:cantSplit/>
        </w:trPr>
        <w:tc>
          <w:tcPr>
            <w:tcW w:type="dxa" w:w="2081"/>
          </w:tcPr>
          <w:p>
            <w:pPr>
              <w:pStyle w:val="Compact"/>
              <w:spacing w:before="20" w:after="20" w:line="240" w:lineRule="auto"/>
              <w:keepNext/>
            </w:pPr>
            <w:r>
              <w:rPr>
                <w:sz w:val="18"/>
                <w:szCs w:val="18"/>
              </w:rPr>
              <w:t xml:space="preserve">첫째(수준과 형태)</w:t>
            </w:r>
          </w:p>
        </w:tc>
        <w:tc>
          <w:tcPr>
            <w:tcW w:type="dxa" w:w="2329"/>
          </w:tcPr>
          <w:p>
            <w:pPr>
              <w:pStyle w:val="Compact"/>
              <w:spacing w:before="20" w:after="20" w:line="240" w:lineRule="auto"/>
              <w:keepNext/>
            </w:pPr>
            <w:r>
              <w:rPr>
                <w:sz w:val="18"/>
                <w:szCs w:val="18"/>
              </w:rPr>
              <w:t xml:space="preserve">기술융합과 지식 통합(Fleming, 2001; Grant, 1996; Kodama, 1992); 지식 경계와 산업 아키텍처(Brusoni et al., 2001; Jacobides et al., 2006; Kapoor &amp; Adner, 2012); 단계 모형의 기술 융합 단계(Hacklin et al., 2010)</w:t>
            </w:r>
          </w:p>
        </w:tc>
        <w:tc>
          <w:tcPr>
            <w:tcW w:type="dxa" w:w="1982"/>
          </w:tcPr>
          <w:p>
            <w:pPr>
              <w:pStyle w:val="Compact"/>
              <w:spacing w:before="20" w:after="20" w:line="240" w:lineRule="auto"/>
              <w:keepNext/>
            </w:pPr>
            <w:r>
              <w:rPr>
                <w:sz w:val="18"/>
                <w:szCs w:val="18"/>
              </w:rPr>
              <w:t xml:space="preserve">인터페이스가 불안정해진 공정 단계 사이에서 두 영역의 지식을 통합한 발명이 예외적이지 않은 비중으로 나타나며, 그러한 발명은 더 다양한 세부 기술을 포함한다</w:t>
            </w:r>
          </w:p>
        </w:tc>
        <w:tc>
          <w:tcPr>
            <w:tcW w:type="dxa" w:w="2676"/>
          </w:tcPr>
          <w:p>
            <w:pPr>
              <w:pStyle w:val="Compact"/>
              <w:spacing w:before="20" w:after="20" w:line="240" w:lineRule="auto"/>
              <w:keepNext/>
            </w:pPr>
            <w:r>
              <w:rPr>
                <w:sz w:val="18"/>
                <w:szCs w:val="18"/>
              </w:rPr>
              <w:t xml:space="preserve">공동분류 유형의 분포; 제조공정 분류 보유의 이항 로짓, 공동분류 유형의 다항 로짓(기술범위; 제5.1절)</w:t>
            </w:r>
          </w:p>
        </w:tc>
      </w:tr>
      <w:tr>
        <w:trPr>
          <w:cantSplit/>
        </w:trPr>
        <w:tc>
          <w:tcPr>
            <w:tcW w:type="dxa" w:w="2081"/>
          </w:tcPr>
          <w:p>
            <w:pPr>
              <w:pStyle w:val="Compact"/>
              <w:spacing w:before="20" w:after="20" w:line="240" w:lineRule="auto"/>
              <w:keepNext/>
            </w:pPr>
            <w:r>
              <w:rPr>
                <w:sz w:val="18"/>
                <w:szCs w:val="18"/>
              </w:rPr>
              <w:t xml:space="preserve">둘째(시간적 변화)</w:t>
            </w:r>
          </w:p>
        </w:tc>
        <w:tc>
          <w:tcPr>
            <w:tcW w:type="dxa" w:w="2329"/>
          </w:tcPr>
          <w:p>
            <w:pPr>
              <w:pStyle w:val="Compact"/>
              <w:spacing w:before="20" w:after="20" w:line="240" w:lineRule="auto"/>
              <w:keepNext/>
            </w:pPr>
            <w:r>
              <w:rPr>
                <w:sz w:val="18"/>
                <w:szCs w:val="18"/>
              </w:rPr>
              <w:t xml:space="preserve">단계 모형과 공진화적 순환(Hacklin et al., 2009, 2010); 기술 순환 모형(Anderson &amp; Tushman, 1990); 특허 기반 융합 동태(Jeong et al., 2015; Yun &amp; Geum, 2019)</w:t>
            </w:r>
          </w:p>
        </w:tc>
        <w:tc>
          <w:tcPr>
            <w:tcW w:type="dxa" w:w="1982"/>
          </w:tcPr>
          <w:p>
            <w:pPr>
              <w:pStyle w:val="Compact"/>
              <w:spacing w:before="20" w:after="20" w:line="240" w:lineRule="auto"/>
              <w:keepNext/>
            </w:pPr>
            <w:r>
              <w:rPr>
                <w:sz w:val="18"/>
                <w:szCs w:val="18"/>
              </w:rPr>
              <w:t xml:space="preserve">지식 통합은 단선적으로 확대되기보다 기술의 발전 단계에 따라 그 수준이 달라지며, 출원의 구성은 제조공정 발명 중심에서 접합 발명 중심으로 이동한다</w:t>
            </w:r>
          </w:p>
        </w:tc>
        <w:tc>
          <w:tcPr>
            <w:tcW w:type="dxa" w:w="2676"/>
          </w:tcPr>
          <w:p>
            <w:pPr>
              <w:pStyle w:val="Compact"/>
              <w:spacing w:before="20" w:after="20" w:line="240" w:lineRule="auto"/>
              <w:keepNext/>
            </w:pPr>
            <w:r>
              <w:rPr>
                <w:sz w:val="18"/>
                <w:szCs w:val="18"/>
              </w:rPr>
              <w:t xml:space="preserve">출원 시기별 유형 분포; 다항 로짓(출원연도, 기간 더미)과 시기별 분리 추정(제5.2절)</w:t>
            </w:r>
          </w:p>
        </w:tc>
      </w:tr>
      <w:tr>
        <w:trPr>
          <w:cantSplit/>
        </w:trPr>
        <w:tc>
          <w:tcPr>
            <w:tcW w:type="dxa" w:w="2081"/>
          </w:tcPr>
          <w:p>
            <w:pPr>
              <w:pStyle w:val="Compact"/>
              <w:spacing w:before="20" w:after="20" w:line="240" w:lineRule="auto"/>
              <w:keepNext/>
            </w:pPr>
            <w:r>
              <w:rPr>
                <w:sz w:val="18"/>
                <w:szCs w:val="18"/>
              </w:rPr>
              <w:t xml:space="preserve">셋째(통합 위치의 이동)</w:t>
            </w:r>
          </w:p>
        </w:tc>
        <w:tc>
          <w:tcPr>
            <w:tcW w:type="dxa" w:w="2329"/>
          </w:tcPr>
          <w:p>
            <w:pPr>
              <w:pStyle w:val="Compact"/>
              <w:spacing w:before="20" w:after="20" w:line="240" w:lineRule="auto"/>
              <w:keepNext/>
            </w:pPr>
            <w:r>
              <w:rPr>
                <w:sz w:val="18"/>
                <w:szCs w:val="18"/>
              </w:rPr>
              <w:t xml:space="preserve">핵심–주변 구조(Murmann &amp; Frenken, 2006); 지배적 설계와 아키텍처 지식(Anderson &amp; Tushman, 1990; Henderson &amp; Clark, 1990); 지식 관련성과 기술 네트워크(Breschi et al., 2003; Sternitzke et al., 2008)</w:t>
            </w:r>
          </w:p>
        </w:tc>
        <w:tc>
          <w:tcPr>
            <w:tcW w:type="dxa" w:w="1982"/>
          </w:tcPr>
          <w:p>
            <w:pPr>
              <w:pStyle w:val="Compact"/>
              <w:spacing w:before="20" w:after="20" w:line="240" w:lineRule="auto"/>
              <w:keepNext/>
            </w:pPr>
            <w:r>
              <w:rPr>
                <w:sz w:val="18"/>
                <w:szCs w:val="18"/>
              </w:rPr>
              <w:t xml:space="preserve">핵심 기술의 설계가 고착화되면서 핵심 기술을 포함한 발명의 제조공정 지식 포함 우위가 감소하고, 지식 통합의 위치는 응용에 필요한 주변 공정으로 이동한다</w:t>
            </w:r>
          </w:p>
        </w:tc>
        <w:tc>
          <w:tcPr>
            <w:tcW w:type="dxa" w:w="2676"/>
          </w:tcPr>
          <w:p>
            <w:pPr>
              <w:pStyle w:val="Compact"/>
              <w:spacing w:before="20" w:after="20" w:line="240" w:lineRule="auto"/>
              <w:keepNext/>
            </w:pPr>
            <w:r>
              <w:rPr>
                <w:sz w:val="18"/>
                <w:szCs w:val="18"/>
              </w:rPr>
              <w:t xml:space="preserve">기술 클러스터·네트워크로 핵심 기술 식별(제4.4절); 핵심 기술 × 출원 시기의 이항 로짓; 제조공정 영역별 Jaccard 계수와 매개 중심성(제5.3절)</w:t>
            </w:r>
          </w:p>
        </w:tc>
      </w:tr>
    </w:tbl>
    <w:bookmarkEnd w:id="20"/>
    <w:bookmarkEnd w:id="21"/>
    <w:bookmarkStart w:id="27" w:name="연구-맥락-하이브리드-본딩-기술과-산업"/>
    <w:p>
      <w:pPr>
        <w:pStyle w:val="Heading2"/>
      </w:pPr>
      <w:r>
        <w:t xml:space="preserve">3. 연구 맥락: 하이브리드 본딩 기술과 산업</w:t>
      </w:r>
    </w:p>
    <w:bookmarkStart w:id="25"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않으므로 연결 간격을 마이크로범프 플립칩으로는 구현하기 어려운 10 µm 이하로 줄일 수 있고, 연구 단계에서는 1 µm 이하에 이른다(Lau, 2021, 2022). 웨이퍼 전체를 접합하는 웨이퍼-투-웨이퍼(W2W) 접합은 CMOS 이미지센서와 3D NAND에서 먼저 상용화되었고, 개별 다이를 웨이퍼에 접합하는 다이-투-웨이퍼(D2W) 접합은 칩렛, HBM, 3D 로직을 구현하는 데 필요하다. 그림 1은 하이브리드 본딩을 기반 공정, 접합 형태, 소자 구조, 적용 제품의 네 층위로 정리한 것이다.</w:t>
      </w:r>
    </w:p>
    <w:p>
      <w:pPr>
        <w:pStyle w:val="BodyText"/>
        <w:keepNext/>
      </w:pPr>
      <w:r>
        <w:drawing>
          <wp:inline>
            <wp:extent cx="5334000" cy="4233333"/>
            <wp:effectExtent b="0" l="0" r="0" t="0"/>
            <wp:docPr descr="" title="" id="23" name="Picture"/>
            <a:graphic>
              <a:graphicData uri="http://schemas.openxmlformats.org/drawingml/2006/picture">
                <pic:pic>
                  <pic:nvPicPr>
                    <pic:cNvPr descr="figures/fig_framework_psp.png" id="24" name="Picture"/>
                    <pic:cNvPicPr>
                      <a:picLocks noChangeArrowheads="1" noChangeAspect="1"/>
                    </pic:cNvPicPr>
                  </pic:nvPicPr>
                  <pic:blipFill>
                    <a:blip r:embed="rId22"/>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5"/>
    <w:bookmarkStart w:id="26" w:name="제조공정과-접합-기술의-상호의존성"/>
    <w:p>
      <w:pPr>
        <w:pStyle w:val="Heading3"/>
      </w:pPr>
      <w:r>
        <w:t xml:space="preserve">3.2 제조공정과 접합 기술의 상호의존성</w:t>
      </w:r>
    </w:p>
    <w:p>
      <w:pPr>
        <w:pStyle w:val="FirstParagraph"/>
      </w:pPr>
      <w:r>
        <w:t xml:space="preserve">하이브리드 본딩에서 수율을 좌우하는 단계는 나노미터 이하의 거칠기로 표면을 연마하는 화학적 기계연마(CMP), 플라즈마 표면 활성화, 파티클 제어, 정밀 정렬이며, 모두 CPC 분류상 반도체 제조공정 클래스(H01L21)에 속한다. 그림 1의 기반 공정은 주로 H01L21에, 접합 형태와 인터커넥트 구성은 주로 접합·인터커넥트 클래스(H01L24)에 해당한다. 실제 D2W 공정 흐름에서도 다이를 절단하여 접합하기 전까지 층간 절연막 증착, 다마신 식각, 구리 배리어·시드 증착, 구리 도금, 화학적 기계연마가 차례로 진행되며, 이는 모두 전공정에서 사용되던 공정과 장비이다(Applied Materials, 2025). 따라서 하이브리드 본딩 발명은 평탄화, 표면 화학, 정렬에 관한 전공정 지식과 다이 처리, 적층, 패키징에 관한 후공정 지식을 함께 결합해야 하며, 이 지식들은 오랫동안 서로 다른 생산 단계, 흔히 서로 다른 기업에 나뉘어 있었다.</w:t>
      </w:r>
    </w:p>
    <w:p>
      <w:pPr>
        <w:pStyle w:val="BodyText"/>
      </w:pPr>
      <w:r>
        <w:t xml:space="preserve">산업 지형도 같은 상호의존을 보여 준다. KnowMade(2024)의 산업 분석에 따르면 하이브리드 본딩 특허 활동을 주도하는 출원인은 TSMC, Adeia, YMTC, Intel, Samsung으로, 원천기술을 보유한 라이선싱 기업과 첨단 패키징을 직접 운영하는 파운드리, 메모리 제조사가 함께 포함되어 있다. 이 기술에 필요한 지식이 수직적 분업으로 나뉘어 있던 여러 조직에 걸쳐 분포하는 것이며, 따라서 하이브리드 본딩은 공정 단계 간 지식 통합을 관찰하기에 적합한 사례이다.</w:t>
      </w:r>
    </w:p>
    <w:bookmarkEnd w:id="26"/>
    <w:bookmarkEnd w:id="27"/>
    <w:bookmarkStart w:id="39" w:name="자료와-방법"/>
    <w:p>
      <w:pPr>
        <w:pStyle w:val="Heading2"/>
      </w:pPr>
      <w:r>
        <w:t xml:space="preserve">4. 자료와 방법</w:t>
      </w:r>
    </w:p>
    <w:bookmarkStart w:id="28" w:name="자료-수집"/>
    <w:p>
      <w:pPr>
        <w:pStyle w:val="Heading3"/>
      </w:pPr>
      <w:r>
        <w:t xml:space="preserve">4.1 자료 수집</w:t>
      </w:r>
    </w:p>
    <w:p>
      <w:pPr>
        <w:pStyle w:val="FirstParagraph"/>
      </w:pPr>
      <w:r>
        <w:t xml:space="preserve">분석 자료는 유럽특허청의 PATSTAT Global 2025년판에서 추출하였다(European Patent Office, 2025). 검색은 두 단계로 진행하였다(부록 A의 표 A.1). 1차로 CPC 분류 H01L21(반도체 제조공정) 또는 H01L24(반도체 접합·인터커넥트 기술) 계열의 기호를 하나 이상 보유한 출원을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)가 하나 이상 포함된 출원을 선별하였다. 최종 표본은 1968–2024년에 출원된 928건이며, H01L21·H01L24의 서브그룹 기호를 기준으로 한 출원–기호 쌍으로는 5,277건이다. 이 표본은 하이브리드 본딩 특허 전체가 아니라 위 검색식으로 식별된 관련 출원이며, 범위를 넓게 설정한 것은 현대의 하이브리드 본딩과 함께 그 기반이 된 초기 직접 접합(direct bonding) 전구 기술까지 포착하기 위해서이다. 추출 단계에서 두 클래스 이외의 기호는 보존되지 않았으므로 회귀분석 자료의 기호는 H01L21 계열(202개)과 H01L24 계열(60개)의 서브그룹 기호 262개로 구성되며, 제4.4절의 기술 클러스터와 기술 네트워크 표는 동일한 928건에 부여된 전체 CPC 기호(접합의 인덱싱 코드 H01L2224와 소자 조립체 클래스 H01L25 포함)를 별도로 집계한 것이다. 분석 단위는 개별 특허출원이다.</w:t>
      </w:r>
    </w:p>
    <w:p>
      <w:pPr>
        <w:pStyle w:val="BodyText"/>
      </w:pPr>
      <w:r>
        <w:t xml:space="preserve">이 자료의 세 가지 특성은 강건성 분석으로 점검하였다(제5.4절). 첫째,</w:t>
      </w:r>
      <w:r>
        <w:t xml:space="preserve"> </w:t>
      </w:r>
      <w:r>
        <w:rPr>
          <w:i/>
          <w:iCs/>
        </w:rPr>
        <w:t xml:space="preserve">direct bonding</w:t>
      </w:r>
      <w:r>
        <w:t xml:space="preserve">은</w:t>
      </w:r>
      <w:r>
        <w:t xml:space="preserve"> </w:t>
      </w:r>
      <w:r>
        <w:rPr>
          <w:i/>
          <w:iCs/>
        </w:rPr>
        <w:t xml:space="preserve">hybrid bonding</w:t>
      </w:r>
      <w:r>
        <w:t xml:space="preserve">보다 의미의 범위가 넓으므로 제목에</w:t>
      </w:r>
      <w:r>
        <w:t xml:space="preserve"> </w:t>
      </w:r>
      <w:r>
        <w:rPr>
          <w:i/>
          <w:iCs/>
        </w:rPr>
        <w:t xml:space="preserve">hybrid bonding</w:t>
      </w:r>
      <w:r>
        <w:t xml:space="preserve">이 포함된 467건(이하</w:t>
      </w:r>
      <w:r>
        <w:t xml:space="preserve"> </w:t>
      </w:r>
      <w:r>
        <w:rPr>
          <w:i/>
          <w:iCs/>
        </w:rPr>
        <w:t xml:space="preserve">hybrid bonding</w:t>
      </w:r>
      <w:r>
        <w:t xml:space="preserve"> </w:t>
      </w:r>
      <w:r>
        <w:t xml:space="preserve">표본)으로 재추정하였다. 둘째, 세라믹 기판에 구리를 접합하는 DBC 기판이나 전력 모듈처럼 검색어가 다른 의미로 사용된 출원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5건)을 제목으로 식별하여 이를 제외한 표본으로 재추정하였다(부록 A). 셋째, 추출한 자료에는 특허 패밀리 식별자가 포함되지 않아 동일한 발명이 여러 특허청에 출원되면 여러 건으로 집계되므로, 같은 제목의 출원 가운데 가장 이른 1건만을 남긴 표본과 동일 제목 군집 표준오차로 점검하였다. 928건은 473개의 고유 제목으로 구성되며, 이 중 149개 제목은 둘 이상의 출원청에 출원되었다.</w:t>
      </w:r>
    </w:p>
    <w:bookmarkEnd w:id="28"/>
    <w:bookmarkStart w:id="29" w:name="조작적-정의와-측정"/>
    <w:p>
      <w:pPr>
        <w:pStyle w:val="Heading3"/>
      </w:pPr>
      <w:r>
        <w:t xml:space="preserve">4.2 조작적 정의와 측정</w:t>
      </w:r>
    </w:p>
    <w:p>
      <w:pPr>
        <w:pStyle w:val="FirstParagraph"/>
      </w:pPr>
      <w:r>
        <w:t xml:space="preserve">본 연구에서 이론적 개념은 공정 단계 간 기술융합, 즉 두 공정 영역의 지식 통합이며, 관찰 현상은 제조공정 기술과 접합·인터커넥트 기술이 하나의 출원에 함께 포함되는 것이고, 조작적 지표는 H01L21과 H01L24의 공동분류이다. 지식의 관점에서 두 클래스는 제조공정 지식과 접합·인터커넥트 지식이라는 서로 구분되는 지식 영역에 해당하며, 통합형 출원은 두 영역의 지식을 통합한 발명이다. 다만 H01L21에는 웨이퍼 제조공정 외에 실장·봉지, 다이싱과 같은 패키징 단계의 제조공정과 공정 장치도 들어 있고, H01L24 역시 조직적 의미의 후공정 산업 경계와 일치하지 않으므로 두 클래스를 전공정과 후공정 그 자체로 간주하지는 않는다. 그럼에도 두 클래스의 공동분류를 대리측정치로 사용할 수 있는 것은 하이브리드 본딩의 성능을 좌우하는 웨이퍼 준비, 표면 처리, 평탄화 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403건(24.6%)이며, 패키징 단계 공정을 제외한 좁은 정의로도 재추정하였다(제5.4절). 또한 CPC 기호는 심사관이 부여하므로, 이하에서 어떤 출원이 특정 기술을 ‘포함한다’고 한 것은 해당 클래스의 기호가 부여되어 있다는 뜻이며 법적 청구범위에 관한 진술은 아니다.</w:t>
      </w:r>
    </w:p>
    <w:bookmarkEnd w:id="29"/>
    <w:bookmarkStart w:id="33" w:name="분석변수의-정의"/>
    <w:p>
      <w:pPr>
        <w:pStyle w:val="Heading3"/>
      </w:pPr>
      <w:r>
        <w:t xml:space="preserve">4.3 분석변수의 정의</w:t>
      </w:r>
    </w:p>
    <w:p>
      <w:pPr>
        <w:pStyle w:val="FirstParagraph"/>
      </w:pPr>
      <w:r>
        <w:t xml:space="preserve">변수는 표 2와 같이 정의하였다. 기술범위(breadth)는 두 클래스 안에서 출원에 부여된 세부 기술의 다양성을 의미하며, 반도체 이외의 분야로 확장되는 정도나 법적 청구범위를 측정하지는 않는다. 공동분류 유형과 기술범위는 동일한 CPC 정보에서 산출되므로 통합형은 정의상 최소 breadth가 2이고 단독형은 1이다. 이 기계적 최소치의 차이를 완화하기 위하여 출원이 보유한 클래스마다 최소 1개의 기호를 차감한 유형 최소치 조정 CPC 범위(breadth_adj = breadth − I[H01L21 보유] − I[H01L24 보유])를 구성하였으나, 이 지표 역시 유형 정보를 이용하므로 탐색적 강건성 지표로만 사용한다. 출원 시기(period)는 출원이 드물었던 1968–2014년을 하나의 시기로 묶고 이후를 5년 단위로 구분하였다. 출원청(ccode)은 출원청마다 출원 시기와 기술 구성이 상이하므로 모든 모형에 통제변수로 포함하되 그 계수는 해석하지 않는다. 기술범위는 평균 5.69개(표준편차 4.07)이며 유형별로는 통합형 7.89개, 접합 단독형 4.16개, 공정 단독형 3.15개이다. 출원청별로는 미국 382건, 중국 175건, PCT 경로 113건, EPO 83건, 대만 75건, 한국 58건, 일본 26건, 기타 16건이며, 출원은 2010년 이전에는 드물었으나 2010년대 후반에 급증하여 2022년경 정점에 이르렀다(그림 2).</w:t>
      </w:r>
    </w:p>
    <w:p>
      <w:pPr>
        <w:pStyle w:val="BodyText"/>
        <w:keepNext/>
      </w:pPr>
      <w:r>
        <w:rPr>
          <w:b/>
          <w:bCs/>
          <w:sz w:val="20"/>
          <w:szCs w:val="20"/>
        </w:rPr>
        <w:t xml:space="preserve">표 2.</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단독형은 breadth − 1, 통합형은 breadth − 2</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0(제4.4절)</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keepNext/>
      </w:pPr>
      <w:r>
        <w:drawing>
          <wp:inline>
            <wp:extent cx="5334000" cy="3048000"/>
            <wp:effectExtent b="0" l="0" r="0" t="0"/>
            <wp:docPr descr="" title="" id="31" name="Picture"/>
            <a:graphic>
              <a:graphicData uri="http://schemas.openxmlformats.org/drawingml/2006/picture">
                <pic:pic>
                  <pic:nvPicPr>
                    <pic:cNvPr descr="figures/fig2_applications_by_year_ko.png" id="32" name="Picture"/>
                    <pic:cNvPicPr>
                      <a:picLocks noChangeArrowheads="1" noChangeAspect="1"/>
                    </pic:cNvPicPr>
                  </pic:nvPicPr>
                  <pic:blipFill>
                    <a:blip r:embed="rId3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3"/>
    <w:bookmarkStart w:id="37" w:name="핵심-기술의-식별-기술-클러스터와-기술-네트워크"/>
    <w:p>
      <w:pPr>
        <w:pStyle w:val="Heading3"/>
      </w:pPr>
      <w:r>
        <w:t xml:space="preserve">4.4 핵심 기술의 식별: 기술 클러스터와 기술 네트워크</w:t>
      </w:r>
    </w:p>
    <w:p>
      <w:pPr>
        <w:pStyle w:val="FirstParagraph"/>
      </w:pPr>
      <w:r>
        <w:t xml:space="preserve">핵심 기술은 다수의 출원이 공통으로 포함하는 기호를 찾는 기술 클러스터와, 한 출원에 함께 부여된 기호의 쌍을 연결로 보아 요소 간의 결합 방식을 파악하는 기술 네트워크의 두 방법으로 식별하였다(Breschi et al., 2003; Sternitzke et al., 2008). 지식의 관점에서 핵심 기술은 하이브리드 본딩 아키텍처의 핵심 지식 요소이며, 기술 네트워크는 지식 요소들이 결합하는 구조를 보여 준다.</w:t>
      </w:r>
    </w:p>
    <w:p>
      <w:pPr>
        <w:pStyle w:val="BodyText"/>
      </w:pPr>
      <w:r>
        <w:t xml:space="preserve">표 3은 928건에 부여된 전체 CPC 기호 가운데 200건 이상의 출원에 부여된 11개 기호이다. 가장 많은 출원에 부여된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 하이브리드 본딩은 구리를 주성분으로 한 접합 패드(2224/05647)를 표면과 같은 높이로 형성하고(2224/80357), 금속(2224/80895)과 절연막(2224/80896)을 함께 직접 접합하여(24/08, 24/80), 범프 없이 칩을 수직으로 적층하는(2224/08145, 25/0657) 기술로 정의된다. 전체 CPC 기호의 네트워크에서도 가장 강한 연결은 도전성 표면의 직접 접합과 절연성 표면의 직접 접합의 쌍(460건)이었으며, 상위 10개 쌍은 모두 24/08, 24/80, 2224/80895, 2224/80896, 2224/08145의 다섯 기호 가운데 두 기호의 조합이었다(부록 B). 하이브리드 본딩의 핵심 기술은 서로 밀접하게 연결된 소수의 접합 기호에 집중되어 있는 것이다.</w:t>
      </w:r>
    </w:p>
    <w:p>
      <w:pPr>
        <w:pStyle w:val="BodyText"/>
        <w:keepNext/>
      </w:pPr>
      <w:r>
        <w:rPr>
          <w:b/>
          <w:bCs/>
          <w:sz w:val="20"/>
          <w:szCs w:val="20"/>
        </w:rPr>
        <w:t xml:space="preserve">표 3.</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각 기호의 설명은 CPC 공식 정의를 요약한 것이다. 회귀 자료 열에 ○로 표시한 네 기호는 회귀분석에 사용하는 H01L21·H01L24 기호 레코드에 포함된 기호이다. —로 표시한 인덱싱 코드(H01L2224)와 소자 조립체 클래스(H01L25)는 같은 출원의 전체 CPC 기호를 별도로 집계한 값이다.</w:t>
      </w:r>
    </w:p>
    <w:p>
      <w:pPr>
        <w:pStyle w:val="BodyText"/>
      </w:pPr>
      <w:r>
        <w:t xml:space="preserve">인덱싱 코드는 회귀 자료에 포함되어 있지 않으므로 분석에 사용하는 핵심 기술은 회귀 자료의 H01L24 기호 가운데에서 선정하였다. 표 3에서 출원 200건 이상에 부여된 H01L24 기호 네 개(24/80, 24/08, 24/05, 24/03)는 회귀 자료의 네트워크(그림 3)에서도 연결 강도(함께 부여된 출원 수의 합)가 가장 큰 네 기호이며(3,235, 3,140, 2,518, 1,778), 이 네 기호가 이루는 여섯 쌍(186–439건)이 전체 네트워크에서 가장 강한 여섯 연결이다. 네 기호는 모두 CPC 체계에서 접합 패드에 관한 그룹에 속하며, 24/03과 24/05는 접합 패드의 제조와 연결 전 구조, 24/08과 24/80은 범프·층·와이어와 같은 별도의 커넥터 없이 접합 패드끼리 연결한 후의 구조와 그 연결 방법이다. 이에 본 연구는 이 네 기호를 하이브리드 본딩의 핵심 기술로 정의한다. H01L24 기호 가운데 출원 수 기준으로 다섯째인 층 형태 커넥터를 이용한 연결(24/83)은 164건으로 200건 기준에 미치지 못한다. H01L24 기호를 보유한 출원(이하 접합 출원) 763건 가운데 620건(81.3%)이 핵심 기술을 포함하고 있다.</w:t>
      </w:r>
    </w:p>
    <w:p>
      <w:pPr>
        <w:pStyle w:val="BodyText"/>
        <w:keepNext/>
      </w:pPr>
      <w:r>
        <w:drawing>
          <wp:inline>
            <wp:extent cx="5334000" cy="4402666"/>
            <wp:effectExtent b="0" l="0" r="0" t="0"/>
            <wp:docPr descr="" title="" id="35" name="Picture"/>
            <a:graphic>
              <a:graphicData uri="http://schemas.openxmlformats.org/drawingml/2006/picture">
                <pic:pic>
                  <pic:nvPicPr>
                    <pic:cNvPr descr="figures/fig_core_network_v58_ko.png" id="36" name="Picture"/>
                    <pic:cNvPicPr>
                      <a:picLocks noChangeArrowheads="1" noChangeAspect="1"/>
                    </pic:cNvPicPr>
                  </pic:nvPicPr>
                  <pic:blipFill>
                    <a:blip r:embed="rId34"/>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bookmarkEnd w:id="37"/>
    <w:bookmarkStart w:id="38" w:name="분석-방법"/>
    <w:p>
      <w:pPr>
        <w:pStyle w:val="Heading3"/>
      </w:pPr>
      <w:r>
        <w:t xml:space="preserve">4.5 분석 방법</w:t>
      </w:r>
    </w:p>
    <w:p>
      <w:pPr>
        <w:pStyle w:val="FirstParagraph"/>
      </w:pPr>
      <w:r>
        <w:t xml:space="preserve">본 연구는 세 가지 모형을 사용하며, 모든 모형에 출원청 더미를 통제변수로 포함한다. 주모형인 공동분류 유형 모형은 tech_cat을 종속변수로 하는 다항 로짓(McFadden, 1974)이다(N = 928). 세 범주는 크기의 순서가 아니라 서로 다른 CPC 구성 방식을 나타내므로 다항 로짓을 사용하였으며, 접합 단독형을 기준 범주로 하여 통합형과 공정 단독형의 상대위험비(RRR)를 보고한다. 보완분석인 제조공정 분류 보유 모형은 has_process를 종속변수로 하는 이항 로짓으로, 결과는 승산비(OR)로 보고한다. 두 모형의 설명변수는 기술범위와 출원연도이다. OR과 RRR은 확률의 변화율이 아니므로, 다항 로짓에서는 관심 설명변수만 변화시키고 나머지 변수는 각 출원의 관측값에 고정하여 평균한 예측확률을 함께 제시한다.</w:t>
      </w:r>
    </w:p>
    <w:p>
      <w:pPr>
        <w:pStyle w:val="BodyText"/>
      </w:pPr>
      <w:r>
        <w:t xml:space="preserve">핵심 기술 모형은 접합 출원 763건(통합형 425건, 접합 단독형 338건)에서 통합형 여부를 종속변수로 하는 이항 로짓이다(공정 단독형은 정의상 핵심 기술을 보유할 수 없다).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핵심 기술을 포함한 출원의 통합형 우위가 감소하였다면 2014년 이전의 승산비는 1보다 크고 θ_t는 0보다 작게 추정될 것이다. 출원연도를 세 시기로 투입한 것은 기술 순환의 단계를 근사하기 위함이며(Lee et al., 2017), 표준오차는 이분산에 강건한 방식으로 추정하였다.</w:t>
      </w:r>
    </w:p>
    <w:p>
      <w:pPr>
        <w:pStyle w:val="BodyText"/>
      </w:pPr>
      <w:r>
        <w:t xml:space="preserve">지식 통합 위치의 이동은 두 보조 지표로 확인하였다. 하나는 세 제조공정 영역(웨이퍼 제조공정, 공정 장치, 패키징 단계 공정)이 각각 접합 기호와 한 출원에 함께 부여되는 정도를 측정한 Jaccard 계수이다(Jaccard, 1912). 다른 하나는 시기별 기술 네트워크로, 연결 강도가 큰 기호를 허브로, 매개 중심성(Freeman, 1977)이 큰 기호를 서로 다른 기호들을 잇는 연결 기호로 보았으며, 매개 중심성을 계산할 때 연결의 가중치는 고려하지 않았다. 지식의 관점에서 Jaccard 계수는 각 제조공정 지식 영역이 접합 지식과 얼마나 강하게 통합되는지를, 매개 중심성은 어떤 지식 영역이 두 영역을 잇는지, 곧 통합이 일어나는 위치를 보여 준다.</w:t>
      </w:r>
    </w:p>
    <w:p>
      <w:pPr>
        <w:pStyle w:val="BodyText"/>
      </w:pPr>
      <w:r>
        <w:t xml:space="preserve">강건성은 제4.1–4.3절의 대안 표본과 정의, 동일 제목 군집 표준오차로 검토하였으며, 핵심 기술 모형에는 핵심 기호 외의 접합 기호 수를 통제한 모형과 핵심 기술을 핵심 기호 가운데 가장 강하게 연결된 쌍(24/08, 24/80)으로 한정한 정의를 추가하였다. 다항 로짓이 가정하는 무관 대안의 독립성(IIA)은 대안 제외 민감도 분석으로 점검하였다(부록 C). 결과의 해석에는 5% 유의수준을 적용하되 기준 모형과 대안 표본·정의 전반에서 계수의 방향, 크기, 유의성이 일관되는지를 종합적으로 판단하였으며, 모든 계수는 인과효과가 아닌 관찰된 변수를 통제한 조건부 연관으로 해석한다.</w:t>
      </w:r>
    </w:p>
    <w:bookmarkEnd w:id="38"/>
    <w:bookmarkEnd w:id="39"/>
    <w:bookmarkStart w:id="50" w:name="결과"/>
    <w:p>
      <w:pPr>
        <w:pStyle w:val="Heading2"/>
      </w:pPr>
      <w:r>
        <w:t xml:space="preserve">5. 결과</w:t>
      </w:r>
    </w:p>
    <w:bookmarkStart w:id="43" w:name="지식-통합의-수준과-형태-rq1"/>
    <w:p>
      <w:pPr>
        <w:pStyle w:val="Heading3"/>
      </w:pPr>
      <w:r>
        <w:t xml:space="preserve">5.1 지식 통합의 수준과 형태 (RQ1)</w:t>
      </w:r>
    </w:p>
    <w:p>
      <w:pPr>
        <w:pStyle w:val="FirstParagraph"/>
      </w:pPr>
      <w:r>
        <w:t xml:space="preserve">전체 928건 가운데 가장 큰 비중을 차지한 유형은 통합형(425건, 45.8%)이었으며, 접합 단독형은 338건(36.4%), 공정 단독형은 165건(17.8%)이었다. 패키징 단계 공정을 제외한 좁은 정의에서도 통합형의 비중은 37.2%에 달하였다(제5.4절). 출원의 절반 가까이가 두 공정 영역의 지식을 하나의 발명 안에서 통합하고 있어, 공정 단계 간 융합은 예외적인 현상이 아니었다.</w:t>
      </w:r>
    </w:p>
    <w:p>
      <w:pPr>
        <w:pStyle w:val="BodyText"/>
      </w:pPr>
      <w:r>
        <w:t xml:space="preserve">표 4는 제조공정 분류 보유의 이항 로짓과 공동분류 유형의 다항 로짓 결과이다. 이항 로짓에서 기술범위와 제조공정 기호의 보유 사이에는 강한 양의 관계가 있었으며, 세부 분류가 하나 증가할 때마다 제조공정 기호를 가질 승산은 약 27%씩 높아졌다(OR 1.267, p &lt; 0.01). 모형의 판별력을 나타내는 AUC는 0.707로, Hosmer et al.(2013)의 기준에 비추어 수용 가능한 수준의 하단이다. 주분석인 다항 로짓에서도</w:t>
      </w:r>
      <w:r>
        <w:t xml:space="preserve"> </w:t>
      </w: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그림 4의 왼쪽과 같이 기술범위가 3인 출원이 통합형으로 예측될 확률은 0.26, 접합 단독형은 0.50, 공정 단독형은 0.24인 반면, 기술범위가 8인 출원은 통합형 0.68, 접합 단독형 0.24, 공정 단독형 0.08이다. 기술범위가 넓은 출원은 두 영역에 걸쳐 있고 좁은 출원은 한 영역에 머무는 경향이 있는 것으로, 통합형 출원이 더 다양한 세부 기술을 포함한다는 구성적 특징을 보여 준다.</w:t>
      </w:r>
    </w:p>
    <w:p>
      <w:pPr>
        <w:pStyle w:val="BodyText"/>
        <w:keepNext/>
      </w:pPr>
      <w:r>
        <w:rPr>
          <w:b/>
          <w:bCs/>
          <w:sz w:val="20"/>
          <w:szCs w:val="20"/>
        </w:rPr>
        <w:t xml:space="preserve">표 4.</w:t>
      </w:r>
      <w:r>
        <w:rPr>
          <w:sz w:val="20"/>
          <w:szCs w:val="20"/>
        </w:rPr>
        <w:t xml:space="preserve"> </w:t>
      </w:r>
      <w:r>
        <w:rPr>
          <w:sz w:val="20"/>
          <w:szCs w:val="20"/>
        </w:rPr>
        <w:t xml:space="preserve">제조공정 분류 보유의 이항 로짓과 공동분류 유형의 다항 로짓(N = 928; 출원청 더미 7개 포함(계수 생략);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2"/>
        <w:gridCol w:w="2835"/>
        <w:gridCol w:w="2158"/>
        <w:gridCol w:w="2303"/>
      </w:tblGrid>
      <w:tr>
        <w:trPr>
          <w:tblHeader w:val="on"/>
          <w:cantSplit/>
        </w:trPr>
        <w:tc>
          <w:tcPr>
            <w:tcW w:type="dxa" w:w="1772"/>
            <w:tcBorders>
              <w:bottom w:val="single" w:sz="4" w:space="0" w:color="000000"/>
            </w:tcBorders>
          </w:tcPr>
          <w:p>
            <w:pPr>
              <w:pStyle w:val="Compact"/>
              <w:spacing w:before="20" w:after="20" w:line="240" w:lineRule="auto"/>
              <w:keepNext/>
            </w:pPr>
          </w:p>
        </w:tc>
        <w:tc>
          <w:tcPr>
            <w:tcW w:type="dxa" w:w="2835"/>
            <w:tcBorders>
              <w:bottom w:val="single" w:sz="4" w:space="0" w:color="000000"/>
            </w:tcBorders>
          </w:tcPr>
          <w:p>
            <w:pPr>
              <w:pStyle w:val="Compact"/>
              <w:spacing w:before="20" w:after="20" w:line="240" w:lineRule="auto"/>
              <w:jc w:val="center"/>
              <w:keepNext/>
            </w:pPr>
            <w:r>
              <w:rPr>
                <w:sz w:val="18"/>
                <w:szCs w:val="18"/>
              </w:rPr>
              <w:t xml:space="preserve">이항 로짓: 제조공정 분류 보유(OR)</w:t>
            </w:r>
          </w:p>
        </w:tc>
        <w:tc>
          <w:tcPr>
            <w:tcW w:type="dxa" w:w="2158"/>
            <w:tcBorders>
              <w:bottom w:val="single" w:sz="4" w:space="0" w:color="000000"/>
            </w:tcBorders>
          </w:tcPr>
          <w:p>
            <w:pPr>
              <w:pStyle w:val="Compact"/>
              <w:spacing w:before="20" w:after="20" w:line="240" w:lineRule="auto"/>
              <w:jc w:val="center"/>
              <w:keepNext/>
            </w:pPr>
            <w:r>
              <w:rPr>
                <w:sz w:val="18"/>
                <w:szCs w:val="18"/>
              </w:rPr>
              <w:t xml:space="preserve">다항 로짓: 통합형(RRR)</w:t>
            </w:r>
          </w:p>
        </w:tc>
        <w:tc>
          <w:tcPr>
            <w:tcW w:type="dxa" w:w="2303"/>
            <w:tcBorders>
              <w:bottom w:val="single" w:sz="4" w:space="0" w:color="000000"/>
            </w:tcBorders>
          </w:tcPr>
          <w:p>
            <w:pPr>
              <w:pStyle w:val="Compact"/>
              <w:spacing w:before="20" w:after="20" w:line="240" w:lineRule="auto"/>
              <w:jc w:val="center"/>
              <w:keepNext/>
            </w:pPr>
            <w:r>
              <w:rPr>
                <w:sz w:val="18"/>
                <w:szCs w:val="18"/>
              </w:rPr>
              <w:t xml:space="preserve">다항 로짓: 공정 단독형(RRR)</w:t>
            </w:r>
          </w:p>
        </w:tc>
      </w:tr>
      <w:tr>
        <w:trPr>
          <w:cantSplit/>
        </w:trPr>
        <w:tc>
          <w:tcPr>
            <w:tcW w:type="dxa" w:w="1772"/>
          </w:tcPr>
          <w:p>
            <w:pPr>
              <w:pStyle w:val="Compact"/>
              <w:spacing w:before="20" w:after="20" w:line="240" w:lineRule="auto"/>
              <w:keepNext/>
            </w:pPr>
            <w:r>
              <w:rPr>
                <w:sz w:val="18"/>
                <w:szCs w:val="18"/>
              </w:rPr>
              <w:t xml:space="preserve">기술범위</w:t>
            </w:r>
          </w:p>
        </w:tc>
        <w:tc>
          <w:tcPr>
            <w:tcW w:type="dxa" w:w="2835"/>
          </w:tcPr>
          <w:p>
            <w:pPr>
              <w:pStyle w:val="Compact"/>
              <w:spacing w:before="20" w:after="20" w:line="240" w:lineRule="auto"/>
              <w:jc w:val="center"/>
              <w:keepNext/>
            </w:pPr>
            <w:r>
              <w:rPr>
                <w:sz w:val="18"/>
                <w:szCs w:val="18"/>
              </w:rPr>
              <w:t xml:space="preserve">1.267*** (0.027)</w:t>
            </w:r>
          </w:p>
        </w:tc>
        <w:tc>
          <w:tcPr>
            <w:tcW w:type="dxa" w:w="2158"/>
          </w:tcPr>
          <w:p>
            <w:pPr>
              <w:pStyle w:val="Compact"/>
              <w:spacing w:before="20" w:after="20" w:line="240" w:lineRule="auto"/>
              <w:jc w:val="center"/>
              <w:keepNext/>
            </w:pPr>
            <w:r>
              <w:rPr>
                <w:sz w:val="18"/>
                <w:szCs w:val="18"/>
              </w:rPr>
              <w:t xml:space="preserve">1.403*** (0.031)</w:t>
            </w:r>
          </w:p>
        </w:tc>
        <w:tc>
          <w:tcPr>
            <w:tcW w:type="dxa" w:w="2303"/>
          </w:tcPr>
          <w:p>
            <w:pPr>
              <w:pStyle w:val="Compact"/>
              <w:spacing w:before="20" w:after="20" w:line="240" w:lineRule="auto"/>
              <w:jc w:val="center"/>
              <w:keepNext/>
            </w:pPr>
            <w:r>
              <w:rPr>
                <w:sz w:val="18"/>
                <w:szCs w:val="18"/>
              </w:rPr>
              <w:t xml:space="preserve">0.905** (0.048)</w:t>
            </w:r>
          </w:p>
        </w:tc>
      </w:tr>
      <w:tr>
        <w:trPr>
          <w:cantSplit/>
        </w:trPr>
        <w:tc>
          <w:tcPr>
            <w:tcW w:type="dxa" w:w="1772"/>
          </w:tcPr>
          <w:p>
            <w:pPr>
              <w:pStyle w:val="Compact"/>
              <w:spacing w:before="20" w:after="20" w:line="240" w:lineRule="auto"/>
              <w:keepNext/>
            </w:pPr>
            <w:r>
              <w:rPr>
                <w:sz w:val="18"/>
                <w:szCs w:val="18"/>
              </w:rPr>
              <w:t xml:space="preserve">출원연도(yc)</w:t>
            </w:r>
          </w:p>
        </w:tc>
        <w:tc>
          <w:tcPr>
            <w:tcW w:type="dxa" w:w="2835"/>
          </w:tcPr>
          <w:p>
            <w:pPr>
              <w:pStyle w:val="Compact"/>
              <w:spacing w:before="20" w:after="20" w:line="240" w:lineRule="auto"/>
              <w:jc w:val="center"/>
              <w:keepNext/>
            </w:pPr>
            <w:r>
              <w:rPr>
                <w:sz w:val="18"/>
                <w:szCs w:val="18"/>
              </w:rPr>
              <w:t xml:space="preserve">0.946*** (0.011)</w:t>
            </w:r>
          </w:p>
        </w:tc>
        <w:tc>
          <w:tcPr>
            <w:tcW w:type="dxa" w:w="2158"/>
          </w:tcPr>
          <w:p>
            <w:pPr>
              <w:pStyle w:val="Compact"/>
              <w:spacing w:before="20" w:after="20" w:line="240" w:lineRule="auto"/>
              <w:jc w:val="center"/>
              <w:keepNext/>
            </w:pPr>
            <w:r>
              <w:rPr>
                <w:sz w:val="18"/>
                <w:szCs w:val="18"/>
              </w:rPr>
              <w:t xml:space="preserve">0.993 (0.015)</w:t>
            </w:r>
          </w:p>
        </w:tc>
        <w:tc>
          <w:tcPr>
            <w:tcW w:type="dxa" w:w="2303"/>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주:</w:t>
      </w:r>
      <w:r>
        <w:rPr>
          <w:sz w:val="20"/>
          <w:szCs w:val="20"/>
        </w:rPr>
        <w:t xml:space="preserve"> </w:t>
      </w:r>
      <w:r>
        <w:rPr>
          <w:sz w:val="20"/>
          <w:szCs w:val="20"/>
        </w:rPr>
        <w:t xml:space="preserve">이항 로짓의 종속변수는 has_process이며, 로그우도 −547.6, 우도비 χ²(9) = 122.0(p &lt; 0.001), McFadden 의사 R² = 0.100, AIC 1,115.1, AUC 0.707이다. 다항 로짓의 기준 범주는 접합 단독형이며, 로그우도 −774.5, 우도비 χ²(18) = 367.4(p &lt; 0.001), McFadden 의사 R² = 0.192, AIC 1,589.0이다.</w:t>
      </w:r>
    </w:p>
    <w:p>
      <w:pPr>
        <w:pStyle w:val="BodyText"/>
        <w:keepNext/>
      </w:pPr>
      <w:r>
        <w:drawing>
          <wp:inline>
            <wp:extent cx="5334000" cy="2794000"/>
            <wp:effectExtent b="0" l="0" r="0" t="0"/>
            <wp:docPr descr="" title="" id="41" name="Picture"/>
            <a:graphic>
              <a:graphicData uri="http://schemas.openxmlformats.org/drawingml/2006/picture">
                <pic:pic>
                  <pic:nvPicPr>
                    <pic:cNvPr descr="figures/fig_pred_types_v37_ko.png" id="42" name="Picture"/>
                    <pic:cNvPicPr>
                      <a:picLocks noChangeArrowheads="1" noChangeAspect="1"/>
                    </pic:cNvPicPr>
                  </pic:nvPicPr>
                  <pic:blipFill>
                    <a:blip r:embed="rId40"/>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bookmarkEnd w:id="43"/>
    <w:bookmarkStart w:id="47" w:name="지식-통합의-시간적-변화-rq2"/>
    <w:p>
      <w:pPr>
        <w:pStyle w:val="Heading3"/>
      </w:pPr>
      <w:r>
        <w:t xml:space="preserve">5.2 지식 통합의 시간적 변화 (RQ2)</w:t>
      </w:r>
    </w:p>
    <w:p>
      <w:pPr>
        <w:pStyle w:val="FirstParagraph"/>
      </w:pPr>
      <w:r>
        <w:t xml:space="preserve">지식 통합의 수준은 시기에 따라 큰 차이를 보였다. 1968–2014년에는 47년간의 출원(179건)이 이후 5년간의 출원(209건)보다 적었으므로 이 기간을 하나의 시기로 묶었다. 그림 5와 같이 공정 단독형의 비중은 2014년 이전 43.6%에서 2015–2019년 14.8%, 2020–2024년 10.4%로 계속 낮아졌다. 통합형은 31.3%에서 62.2%로 크게 높아졌다가 44.3%로 하락하였으며, 접합 단독형은 25.1%와 23.0%에 머물다가 45.4%로 상승하였다. 이 변화는 공정 단독형이 가장 많았던 2014년 이전, 통합형이 정점에 이른 2015–2019년, 통합형의 비중이 낮아지는 가운데 접합 단독형이 통합형과 비슷한 수준까지 증가한 2020–2024년의 세 국면으로 나누어 볼 수 있으며, 이하에서는 이를 각각 형성기, 확산기, 재편기라 한다. 두 공정 단계의 지식 통합은 꾸준히 누적되기보다 강화되었다가 다시 약해진 것이다.</w:t>
      </w:r>
    </w:p>
    <w:p>
      <w:pPr>
        <w:pStyle w:val="BodyText"/>
        <w:keepNext/>
      </w:pPr>
      <w:r>
        <w:drawing>
          <wp:inline>
            <wp:extent cx="5334000" cy="3386666"/>
            <wp:effectExtent b="0" l="0" r="0" t="0"/>
            <wp:docPr descr="" title="" id="45" name="Picture"/>
            <a:graphic>
              <a:graphicData uri="http://schemas.openxmlformats.org/drawingml/2006/picture">
                <pic:pic>
                  <pic:nvPicPr>
                    <pic:cNvPr descr="figures/fig7_period_shares_v37_ko.png" id="46" name="Picture"/>
                    <pic:cNvPicPr>
                      <a:picLocks noChangeArrowheads="1" noChangeAspect="1"/>
                    </pic:cNvPicPr>
                  </pic:nvPicPr>
                  <pic:blipFill>
                    <a:blip r:embed="rId44"/>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출원은 공정 단독형보다 접합 단독형으로 분류될 가능성이 높아졌다.</w:t>
      </w:r>
      <w:r>
        <w:t xml:space="preserve"> </w:t>
      </w:r>
      <w:r>
        <w:t xml:space="preserve">표 4의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4 오른쪽). 이항 로짓에서도 최근 출원일수록 제조공정 기호를 가질 승산이 낮았는데(연간 OR 0.946, p &lt; 0.01), 이는 주로 공정 단독형의 감소에서 비롯된 것이다. 선형 연도 대신 기간 더미를 투입한 다항 로짓에서도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C). 출원의 무게중심이 제조공정에서 접합 쪽으로 이동한 것이다.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유의하였다(첫 시기에는 비어 있는 출원청 칸이 많아 출원청 더미를 제외하고 추정). 지식 통합의 비중과 출원의 무게중심은 국면마다 변화하였으나, 경계를 넘는 특허가 더 다양한 세부 기술을 포함한다는 특징은 유지된 것이다.</w:t>
      </w:r>
    </w:p>
    <w:bookmarkEnd w:id="47"/>
    <w:bookmarkStart w:id="48" w:name="지식-통합-위치의-이동-rq3"/>
    <w:p>
      <w:pPr>
        <w:pStyle w:val="Heading3"/>
      </w:pPr>
      <w:r>
        <w:t xml:space="preserve">5.3 지식 통합 위치의 이동 (RQ3)</w:t>
      </w:r>
    </w:p>
    <w:p>
      <w:pPr>
        <w:pStyle w:val="FirstParagraph"/>
      </w:pPr>
      <w:r>
        <w:t xml:space="preserve">각 국면에서 두 단계의 지식이 기술 아키텍처의 어느 지점에서 통합되었는지를 파악하기 위해 핵심 기술 모형(표 5)과 제조공정 영역별 결합 지표(표 6)를 분석하였다.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않았으며(승산비 0.658, p = 0.15), 이 시기의 승산비는 2014년 이전의 0.059배였다(p &lt; 0.01).</w:t>
      </w:r>
    </w:p>
    <w:p>
      <w:pPr>
        <w:pStyle w:val="BodyText"/>
        <w:keepNext/>
      </w:pPr>
      <w:r>
        <w:rPr>
          <w:b/>
          <w:bCs/>
          <w:sz w:val="20"/>
          <w:szCs w:val="20"/>
        </w:rPr>
        <w:t xml:space="preserve">표 5.</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 변화는 핵심 기술을 포함한 출원에서 비롯되었다. 핵심 기술이 없는 접합 출원의 통합형 비중은 오히려 높아졌으나, 핵심 기술을 포함한 출원에서는 그 비중이 낮아졌다. 같은 기간 접합 출원 가운데 핵심 기술을 포함한 출원의 비중은 53.5%, 78.7%, 88.0%로 높아져, 발명이 하나의 핵심 설계로 수렴한 것으로 보인다. 핵심 기술과 함께 부여된 제조공정 기호도 시기마다 달랐다. 핵심 기술을 포함한 통합형 출원에서 가장 빈번한 H01L21 기호는 2015–2019년에는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w:t>
      </w:r>
    </w:p>
    <w:p>
      <w:pPr>
        <w:pStyle w:val="BodyText"/>
      </w:pPr>
      <w:r>
        <w:t xml:space="preserve">이러한 이동은 제조공정 영역 전체와 기술 네트워크의 구조에서도 확인된다(표 6). 접합 기호와의 Jaccard 계수는 웨이퍼 제조공정에서 확산기에 0.598로 가장 높았다가 재편기에 0.159로 크게 낮아진 반면, 공정 장치와 패키징 단계 공정에서는 지속적으로 높아졌다. 확산기에서 재편기로 가면서 접합 기호와 함께 부여된 출원 수도 웨이퍼 제조공정은 119건에서 82건으로 감소하였으나 공정 장치는 11건에서 89건으로, 패키징 단계 공정은 43건에서 139건으로 증가하여, 접합과 가장 강하게 결합한 제조공정 영역은 웨이퍼 제조공정에서 패키징 단계 공정으로 바뀌었다. 기술 네트워크에서 연결 강도가 가장 큰 세 기호는 세 시기 모두 핵심 기호(24/80, 24/08, 24/05)로, 핵심 기술은 허브의 위치를 유지하였다. 반면 매개 중심성에서 웨이퍼 제조공정 기호가 차지하는 비중은 형성기 53.6%, 확산기 42.5%에서 재편기 9.0%로 감소하고 공정 장치 기호가 26.1%를 차지하였다. 재편기에 매개 중심성이 가장 큰 제조공정 기호 다섯 개도 조립체의 제조 장치(21/67121), 이송 장치의 기계 부품(21/67766), 기계적 처리 장치(21/67092), 임시 기판을 이용한 지지(21/6835)의 공정 장치 기호 네 개와 패키징 단계 공정 기호 하나(21/50)였으며, 연결 가중치의 역수를 거리로 삼아 계산하여도 방향은 동일하였다. 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6.</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8"/>
    <w:bookmarkStart w:id="49" w:name="강건성-검증"/>
    <w:p>
      <w:pPr>
        <w:pStyle w:val="Heading3"/>
      </w:pPr>
      <w:r>
        <w:t xml:space="preserve">5.4 강건성 검증</w:t>
      </w:r>
    </w:p>
    <w:p>
      <w:pPr>
        <w:pStyle w:val="FirstParagraph"/>
      </w:pPr>
      <w:r>
        <w:t xml:space="preserve">표 7과 표 8은 표본과 변수 정의를 변경한 재추정 결과이며, 다항 로짓의 전체 계수는 부록 C에 제시하였다.</w:t>
      </w:r>
    </w:p>
    <w:p>
      <w:pPr>
        <w:pStyle w:val="BodyText"/>
        <w:keepNext/>
      </w:pPr>
      <w:r>
        <w:rPr>
          <w:b/>
          <w:bCs/>
          <w:sz w:val="20"/>
          <w:szCs w:val="20"/>
        </w:rPr>
        <w:t xml:space="preserve">표 7.</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4)</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군집하지 않은 추정의 표준오차와 나머지 계수, 유형 최소치 조정 CPC 범위(breadth_adj)의 결과는 부록 C에 제시하였다.</w:t>
      </w:r>
    </w:p>
    <w:p>
      <w:pPr>
        <w:pStyle w:val="BodyText"/>
      </w:pPr>
      <w:r>
        <w:t xml:space="preserve">표 7에서 다항 로짓의 두 핵심 계수는</w:t>
      </w:r>
      <w:r>
        <w:t xml:space="preserve"> </w:t>
      </w:r>
      <w:r>
        <w:rPr>
          <w:i/>
          <w:iCs/>
        </w:rPr>
        <w:t xml:space="preserve">hybrid bonding</w:t>
      </w:r>
      <w:r>
        <w:t xml:space="preserve"> </w:t>
      </w:r>
      <w:r>
        <w:t xml:space="preserve">표본의 연도 계수를 제외한 모든 재추정에서 1% 수준에서 유의하였다. 동일 제목 군집 표준오차를 적용하였을 때 유의성을 잃은 계수는 표에 제시하지 않은 범위 → 공정 단독형(RRR 0.905, p = 0.29) 하나뿐이었다. 유형 최소치 조정 CPC 범위(breadth_adj)로 재추정하면 통합형의 RRR은 1.403에서 1.262로 감소하였으나 방향은 유지되어, 유형의 최소 구성을 넘어서는 CPC 다양성도 통합형과 관련되어 있었다. 좁은 제조공정 정의를 적용하면(어느 기호도 남지 않는 20건 제외, N = 908) 유형 분포는 접합 단독형 46.8%, 통합형 37.2%, 공정 단독형 16.0%가 되어 접합 단독형이 가장 많은 유형이 된다. 통합형이 최다 유형이라는 기술통계는 제조공정의 정의에 의존하는 것이다. 다만 이 정의에서도 출원의 3분의 1 이상이 두 영역의 기호를 함께 보유하였으며, 두 핵심 계수의 부호와 유의성은 유지되었다.</w:t>
      </w:r>
      <w:r>
        <w:t xml:space="preserve"> </w:t>
      </w:r>
      <w:r>
        <w:rPr>
          <w:i/>
          <w:iCs/>
        </w:rPr>
        <w:t xml:space="preserve">hybrid bonding</w:t>
      </w:r>
      <w:r>
        <w:t xml:space="preserve"> </w:t>
      </w:r>
      <w:r>
        <w:t xml:space="preserve">표본(N = 467)에서는 통합형이 49.5%였고 기술범위의 상대위험비(1.485)도 유의하였으나, 2014년 이전 출원이 30건에 불과하여 공정 단독형의 연도 계수는 유의하지 않았다(1.029). 공정 단독형의 감소는</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때문으로 보인다.</w:t>
      </w:r>
    </w:p>
    <w:p>
      <w:pPr>
        <w:pStyle w:val="BodyText"/>
        <w:keepNext/>
      </w:pPr>
      <w:r>
        <w:rPr>
          <w:b/>
          <w:bCs/>
          <w:sz w:val="20"/>
          <w:szCs w:val="20"/>
        </w:rPr>
        <w:t xml:space="preserve">표 8.</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5)</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핵심 기술 모형에서는 2014년 이전의 승산비가 1보다 크고, 2020–2024년의 승산비가 1과 유의하게 다르지 않으며, 두 승산비의 비(마지막 열)가 유의하게 1보다 작다는 결과가 일곱 가지 추정 모두에서 유지되었다(표 8). 핵심 기호 외의 접합 기호 수를 통제하여도(그 자체의 승산비 1.100, p &lt; 0.01) 시기별 승산비는 거의 변하지 않아, 핵심 기술과 통합형의 연관이 접합 기호를 다수 보유한 출원의 특성을 단순히 반영한 것은 아니었다. 결과가 가장 약해지는 무관 용법 제외 표본에서는 2014년 이전의 승산비가 3.981로 작아지는데,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 종합하면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첫째, 지식 통합은 서로 다른 산업 사이뿐 아니라 한 산업 내의 공정 단계 사이에서도 일어난다(RQ1).</w:t>
      </w:r>
      <w:r>
        <w:t xml:space="preserve"> </w:t>
      </w:r>
      <w:r>
        <w:t xml:space="preserve">기존 문헌은 융합을 주로 산업과 산업, 기술 분야와 기술 분야 사이의 현상으로 다루어 왔다(Curran &amp; Leker, 2011; Hacklin et al., 2010; Zhang &amp; Zhang, 2025). 하이브리드 본딩 관련 출원의 45.8%(좁은 정의에서 37.2%)가 두 영역의 기호를 함께 보유한다는 결과는, 단계 모형의 기술 융합 단계가 한 산업의 공정 단계 경계에서도 개별 발명으로 나타나며 이때 수직적으로 분리된 영역의 지식이 발명 안에서 통합된다는 것을 보여 준다. 지식의 관점에서 이는 기업 경계를 중심으로 논의되어 온 지식 경계(Brusoni et al., 2001; Kapoor &amp; Adner, 2012)를 한 산업 내의 수직적으로 분리된 공정 영역으로 확장한다. Kapoor(2013)가 분업 속에서도 조직적 통합이 지속되었음을 보였다면, 본 연구는 그 통합의 기술적 기반을 발명 수준에서 보여 준다. 이러한 발명은 산업 아키텍처(Jacobides et al., 2006)의 재편에 선행할 수 있는 기술적 상호의존의 확대이며, 경계를 넘는 특허의 분포가 조직 경계의 변화에 앞서는 지표가 될 수 있다는 가설은 후속 연구의 과제로 남긴다. 또한 경계를 넘는 특허는 더 다양한 세부 기술을 포함하였고 이 연관은 세 국면 모두에서 유지되어, 분야 수준의 지표로는 답하기 어려웠던 ‘어떠한 발명이 융합을 포함하는가’라는 질문에 하나의 답을 제공한다. 이는 특허 범위의 경제적 가치(Lerner, 1994)와 세분화된 기술 시장에서의 포트폴리오 전략(Zhao et al., 2023; Ziedonis, 2004)에 관한 논의와 궤를 같이하지만, 유형의 정의에 일부 내재된 구성상의 연관이며 다양성이 통합을 유발한다는 증거는 아니다(제5.4절).</w:t>
      </w:r>
    </w:p>
    <w:p>
      <w:pPr>
        <w:pStyle w:val="BodyText"/>
      </w:pPr>
      <w:r>
        <w:rPr>
          <w:b/>
          <w:bCs/>
        </w:rPr>
        <w:t xml:space="preserve">둘째, 공정 단계 간 지식 통합은 단선적으로 확대되지 않고 형성, 확산, 재편의 세 국면을 거쳐 전개되었다(RQ2).</w:t>
      </w:r>
      <w:r>
        <w:t xml:space="preserve"> </w:t>
      </w:r>
      <w:r>
        <w:t xml:space="preserve">표 9는 결과를 시간 순서에 따라 정리한 것이다. 융합을 단순한 확대 과정으로 이해하면 경계를 넘는 특허의 비중은 시간이 지날수록 증가할 것으로 기대되지만, 실제로는 형성기에 공정 단독형이, 확산기에 통합형이 가장 많았고 재편기에는 접합 단독형이 통합형과 비슷한 수준까지 늘어났다. 출원당 기호 수도 같은 흐름을 보여, 접합 계열(H01L24) 기호는 2014년 이전 3.03개에서 2015–2019년 4.73개로 증가하였다가 2020–2024년 3.91개로 감소하였고, 제조공정 계열(H01L21) 기호는 앞의 두 시기 2.12개와 2.23개였다가 1.46개로 감소하였다. 제2.3절의 기대와 비교하면 형성기는 접합에 필요한 제조공정 지식이 축적되는 지식 융합 단계에, 확산기는 두 영역의 지식이 하나의 발명 안에서 결합되는 기술 융합 단계에, 핵심 기술과 결합하는 제조공정이 다이 지지와 봉지 공정으로 바뀐 재편기는 응용 융합 단계로 이행하는 시기에 대응한다. 공정 단계 간 지식 통합의 강도와 형태가 기술 아키텍처의 진화와 함께 비선형적으로 재편된 것이며, 이는 단계 모형(Hacklin et al., 2010)이 제시하였으나 실증적으로 충분히 다루어지지 않았던 융합 내용의 시간적 변화를 보여 준다.</w:t>
      </w:r>
    </w:p>
    <w:p>
      <w:pPr>
        <w:pStyle w:val="BodyText"/>
        <w:keepNext/>
      </w:pPr>
      <w:r>
        <w:rPr>
          <w:b/>
          <w:bCs/>
          <w:sz w:val="20"/>
          <w:szCs w:val="20"/>
        </w:rPr>
        <w:t xml:space="preserve">표 9.</w:t>
      </w:r>
      <w:r>
        <w:rPr>
          <w:sz w:val="20"/>
          <w:szCs w:val="20"/>
        </w:rPr>
        <w:t xml:space="preserve"> </w:t>
      </w:r>
      <w:r>
        <w:rPr>
          <w:sz w:val="20"/>
          <w:szCs w:val="20"/>
        </w:rPr>
        <w:t xml:space="preserve">하이브리드 본딩에서 공정 단계 간 지식 통합의 세 국면(유형 비중은 그림 5, 승산비는 표 5,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rPr>
          <w:b/>
          <w:bCs/>
        </w:rPr>
        <w:t xml:space="preserve">셋째, 핵심 설계가 고착화되면서 지식 통합이 일어나는 위치는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&amp; Tushman, 1990)과 부합한다. 접합 출원 가운데 핵심 기술을 포함한 비중이 53.5%에서 88.0%로 높아지는 동안 그 핵심을 다루는 발명이 다른 접합 발명보다 제조공정 지식을 더 자주 포함하지 않게 된 것은, 핵심 요소의 설계가 고착화되면 연관된 요소를 함께 변경할 필요가 줄어든다는 Murmann과 Frenken(2006)의 논리와 일치한다. 지배적 설계가 확립되면 아키텍처 지식이 당연한 전제가 된다는 Henderson과 Clark(1990)의 논의에 비추어 보면, 핵심 접합부의 지식 통합이 개별 발명에서 덜 드러나게 된 것은 그 통합이 사라졌다기보다 확립된 설계 안에 내재되었기 때문일 수 있다. 실제로 핵심 기호는 세 시기 내내 허브로 남아 안정된 인터페이스의 역할을 하였고, 접합과 결합하는 제조공정의 중심과 둘을 잇는 연결은 웨이퍼 제조공정에서 공정 장치와 패키징 단계 공정으로 이동하였다(표 6). 재편기에 매개 중심성이 큰 제조공정 기호가 공정 장치 기호로 바뀐 것은 생산공정의 수렴이 공작기계라는 장비를 매개로 확산되었다는 Rosenberg(1963)의 관찰과도 맥을 같이한다. 여기서 주변이란 핵심 접합 기호 밖에 있다는 구조적 의미이며, 이 공정들이 양산에서 덜 중요하다는 의미는 아니다. 이러한 결과는 기술 아키텍처의 성숙이 영역 간 지식 통합을 없애는 것이 아니라 통합이 일어나는 위치를 핵심 접합부에서 아키텍처를 새로운 응용에 구현하는 주변 공정으로 옮긴다는 점을 시사하며, Hacklin et al.(2009)의 공진화 논리가 하나의 기술 안에서도 나타남을 보여 준다.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 역량만으로는 충분하지 않으며 표면 평탄화, 오염 제어, 표면 화학, 정렬을 아우르는 인접 공정 지식의 중요성이 커질 수 있음을 뜻한다. 생산의 경계와 지식의 경계가 반드시 일치하지는 않으므로(Brusoni et al., 2001; Kapoor &amp; Adner, 2012), 기업은 직접 수행하지 않는 인접 공정 단계의 지식도 유지할 필요가 있다. 또한 재편기에는 핵심 기술을 포함한 발명이 다른 접합 발명보다 제조공정 기호를 더 자주 보유하지 않았고 핵심 기술과 결합하는 제조공정도 다이를 지지하고 패키지로 완성하는 공정이 다수를 차지하여, 경쟁의 초점이 핵심 접합 원리의 발명에서 그 원리를 다이 단위 공정과 결합하는 응용의 발명으로 이동하고 있을 가능성을 보여 준다. 차세대 HBM 적층에 하이브리드 본딩을 도입하려는 한국 메모리 산업에는 패키징 경쟁력이 접합 원리 하나에 좌우되지 않을 수 있다는 시사점을 주며, 평탄화, 표면 화학, 정렬 계측과 같은 제조공정 역량에 더하여 얇은 다이를 다루고 적층하는 공정까지 포괄하는 역량이 요구될 수 있다.</w:t>
      </w:r>
    </w:p>
    <w:bookmarkEnd w:id="52"/>
    <w:bookmarkStart w:id="53" w:name="한계와-향후-연구"/>
    <w:p>
      <w:pPr>
        <w:pStyle w:val="Heading3"/>
      </w:pPr>
      <w:r>
        <w:t xml:space="preserve">6.3 한계와 향후 연구</w:t>
      </w:r>
    </w:p>
    <w:p>
      <w:pPr>
        <w:pStyle w:val="FirstParagraph"/>
      </w:pPr>
      <w:r>
        <w:t xml:space="preserve">본 연구에는 다음과 같은 한계가 있다. 첫째, H01L21–H01L24 공동분류는 두 공정 영역의 지식이 하나의 발명 안에서 통합되었음을 보여 주는 흔적으로 사용되었으며, 조직 간 지식 이전, 기업의 흡수역량, 혁신 성과를 측정한 것은 아니다. H01L21에는 패키징 단계의 제조공정이 포함되어 있고 기술범위는 유형과 같은 CPC 정보에서 산출된다. 회귀 결과는 좁은 정의에서도 유지되었으나, 통합형의 비중과 같은 기술통계는 정의에 따라 달라진다. CPC가 주기적으로 개정되고 과거 출원까지 소급하여 재분류될 수 있다는 점에서, 관찰된 시간적 변화의 일부는 분류 체계와 심사 관행의 변화를 반영하였을 가능성도 있다. 둘째, 제목 키워드 검색은 기준이 명확하지만 제목에 관련어가 없는 출원을 포착하지 못하며, 특허 패밀리 식별자가 없어 동일 제목으로 근사 조정하였으므로 관측치의 독립성이 완전히 보장되지는 않는다. 셋째, 출원인과 기업 유형, 국적, 응용처, 웨이퍼 단위와 다이 단위 접합의 구분, 두 클래스 이외의 CPC 기호가 회귀 자료에 포함되지 않았다. 넷째, 본 연구는 인과관계를 주장하지 않는다. 다양성과 유형은 함께 결정될 가능성이 높고 적절한 도구변수가 없으며, 핵심 기술 분석의 시기 구분은 지배적 설계의 형성 시점을 직접 측정한 것이 아니라 출원 시기로 근사한 것이다. 특허출원은 일반적으로 우선일로부터 18개월 뒤에 공개되므로 최근 연도의 출원은 아직 모두 관찰되지 않았다(그림 2). 또한 세 시기의 경계는 자료에서 추정한 것이 아니라 출원의 집중도를 고려하여 정한 것이다. 따라서 재편기의 결과는 이러한 절단을 감안하여 해석할 필요가 있으며, 다른 시기 구분에 따른 검토는 향후 과제로 남긴다. 다섯째, CPC 공동분류는 재현 가능하지만 발명보다 늦게 부여된다. 보다 이른 탐지가 가능한 텍스트 기반 방법(Lei et al., 2019; Preschitschek et al., 2013; Zhu &amp; Motohashi, 2022)은 학습된 모형에 의존하므로, 두 클래스의 경계가 제도적으로 명확한 본 연구에서는 재현성을 우선하였다.</w:t>
      </w:r>
    </w:p>
    <w:p>
      <w:pPr>
        <w:pStyle w:val="BodyText"/>
      </w:pPr>
      <w:r>
        <w:t xml:space="preserve">후속 연구는 디스플레이의 첨단 리소그래피, 배터리의 셀-투-팩 통합, 항공우주 조립의 적층제조와 같이 하류 단계가 상류 역량에 의존하기 시작한 공정기술에 같은 두 클래스 규칙과 이산선택 모형을 적용하여, 형성–확산–재편의 전개가 일반적인 현상인지를 검증할 수 있다. 고차 공출현을 보존하는 표현이나 일반성 지수(Petralia, 2020)를 적용한다면 하이브리드 본딩이 로직, 메모리, 이미지센서로 확산되는 범용기술적 성격도 검정할 수 있을 것이다.</w:t>
      </w:r>
    </w:p>
    <w:bookmarkEnd w:id="53"/>
    <w:bookmarkEnd w:id="54"/>
    <w:bookmarkStart w:id="55" w:name="결론"/>
    <w:p>
      <w:pPr>
        <w:pStyle w:val="Heading2"/>
      </w:pPr>
      <w:r>
        <w:t xml:space="preserve">7. 결론</w:t>
      </w:r>
    </w:p>
    <w:p>
      <w:pPr>
        <w:pStyle w:val="FirstParagraph"/>
      </w:pPr>
      <w:r>
        <w:t xml:space="preserve">기술융합은 주로 산업 간의 결합을 대상으로, 그리고 융합의 정도가 증가하였는가의 문제로 연구되어 왔다. 그러나 융합을 분리되어 있던 영역의 지식이 통합되는 과정으로 이해하면, 융합은 한 산업 안에서 가치사슬의 단계 사이에서도 일어날 수 있다. 본 연구는 하이브리드 본딩 관련 출원 928건을 CPC 공동분류에 따라 세 유형으로 구분하여 공정 단계 간 지식 통합의 수준과 형태, 시간적 변화, 통합 위치의 이동을 분석하였다.</w:t>
      </w:r>
    </w:p>
    <w:p>
      <w:pPr>
        <w:pStyle w:val="BodyText"/>
      </w:pPr>
      <w:r>
        <w:t xml:space="preserve">분석 결과, 통합형은 45.8%로 가장 큰 비중을 차지하였고 좁은 정의에서도 37.2%였으며, 세부 기술을 더 다양하게 포함한 출원일수록 경계를 넘을 가능성이 높았다(RQ1). 지식 통합은 공정 단독형이 우세한 형성기, 통합형이 정점에 이른 확산기, 통합형이 감소하고 접합 단독형이 증가한 재편기를 거쳐 변화하였으며, 출원의 무게중심은 제조공정에서 접합 쪽으로 이동하였다(RQ2). 핵심 기술을 포함한 출원이 제조공정 분류를 함께 가질 승산은 형성기에는 그렇지 않은 접합 출원의 11.1배였으나 재편기에는 그 차이가 유의하지 않았고, 접합과 결합하는 제조공정의 중심도 웨이퍼 제조공정에서 공정 장치와 패키징 단계 공정으로 이동하였다(RQ3). 기술 아키텍처가 성숙하면서 두 공정 단계의 지식 통합은 사라지지 않고 핵심 접합부에서 아키텍처를 구현하는 주변 공정으로 그 위치를 옮긴 것이다.</w:t>
      </w:r>
    </w:p>
    <w:p>
      <w:pPr>
        <w:pStyle w:val="BodyText"/>
      </w:pPr>
      <w:r>
        <w:t xml:space="preserve">본 연구는 기술융합 연구의 분석 범위를 동일 산업 내 공정 단계 간 융합으로 확장하고, 공동분류를 개별 특허의 유형으로 재구성하여 특허 수준의 이질성과 그 시간적 변화를 기술 클러스터와 기술 네트워크로 식별한 핵심 기술과 연결하였다. 이를 통해 수직적으로 분리된 공정 영역의 지식이 어떻게 통합되고 기술이 성숙함에 따라 그 통합이 어디에서 일어나는지를 추적함으로써, 기술혁신 연구와 지식 경계를 넘는 지식 통합 연구를 연결한다.</w:t>
      </w:r>
    </w:p>
    <w:p>
      <w:r>
        <w:pict>
          <v:rect style="width:0;height:1.5pt" o:hralign="center" o:hrstd="t" o:hr="t"/>
        </w:pict>
      </w:r>
    </w:p>
    <w:bookmarkEnd w:id="55"/>
    <w:bookmarkStart w:id="56"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6"/>
    <w:bookmarkStart w:id="57"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학위논문 원고를 학술지 분량으로 축약하고, 국문 원고를 영어로 번역하며, 영문을 교정하기 위해 Claude(Anthropic)를 사용하였다. 저자들은 이 도구를 사용한 뒤 내용을 검토하고 필요에 따라 수정하였으며, 출판된 논문의 내용에 대해 전적인 책임을 진다.</w:t>
      </w:r>
    </w:p>
    <w:bookmarkEnd w:id="57"/>
    <w:bookmarkStart w:id="58"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8"/>
    <w:bookmarkStart w:id="62" w:name="부록"/>
    <w:p>
      <w:pPr>
        <w:pStyle w:val="Heading2"/>
      </w:pPr>
      <w:r>
        <w:t xml:space="preserve">부록</w:t>
      </w:r>
    </w:p>
    <w:bookmarkStart w:id="59" w:name="부록-a.-표본-구축-검색-전략과-검색어의-무관한-용법"/>
    <w:p>
      <w:pPr>
        <w:pStyle w:val="Heading3"/>
      </w:pPr>
      <w:r>
        <w:t xml:space="preserve">부록 A. 표본 구축: 검색 전략과 검색어의 무관한 용법</w:t>
      </w:r>
    </w:p>
    <w:p>
      <w:pPr>
        <w:pStyle w:val="FirstParagraph"/>
      </w:pPr>
      <w:r>
        <w:t xml:space="preserve">표 A.1은 하이브리드 본딩 관련 특허의 검색 전략이다.</w:t>
      </w:r>
    </w:p>
    <w:p>
      <w:pPr>
        <w:pStyle w:val="BodyText"/>
        <w:keepNext/>
      </w:pPr>
      <w:r>
        <w:rPr>
          <w:b/>
          <w:bCs/>
          <w:sz w:val="20"/>
          <w:szCs w:val="20"/>
        </w:rPr>
        <w:t xml:space="preserve">표 A.1.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A.2와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A.2.</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Start w:id="60" w:name="부록-b.-기술-네트워크의-상위-연결"/>
    <w:p>
      <w:pPr>
        <w:pStyle w:val="Heading3"/>
      </w:pPr>
      <w:r>
        <w:t xml:space="preserve">부록 B. 기술 네트워크의 상위 연결</w:t>
      </w:r>
    </w:p>
    <w:p>
      <w:pPr>
        <w:pStyle w:val="FirstParagraph"/>
      </w:pPr>
      <w:r>
        <w:t xml:space="preserve">표 B.1은 928건에 부여된 전체 CPC 기호의 네트워크에서 함께 부여된 출원이 가장 많은 상위 10개 기호 쌍이다. 네트워크의 노드는 CPC 기호이고, 한 출원에 함께 부여된 서로 다른 두 기호 사이에 무방향 연결을 두었으며, 두 기호가 함께 부여된 출원 수를 연결의 가중치로 삼았다. 가장 강한 연결인 도전성 표면의 직접 접합과 절연성 표면의 직접 접합의 쌍에는 금속과 절연막을 함께 접합하는 하이브리드 본딩의 원리가 그대로 반영되어 있다.</w:t>
      </w:r>
    </w:p>
    <w:p>
      <w:pPr>
        <w:pStyle w:val="BodyText"/>
        <w:keepNext/>
      </w:pPr>
      <w:r>
        <w:rPr>
          <w:b/>
          <w:bCs/>
          <w:sz w:val="20"/>
          <w:szCs w:val="20"/>
        </w:rPr>
        <w:t xml:space="preserve">표 B.1.</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bookmarkEnd w:id="60"/>
    <w:bookmarkStart w:id="61" w:name="부록-c.-재추정-결과-전체"/>
    <w:p>
      <w:pPr>
        <w:pStyle w:val="Heading3"/>
      </w:pPr>
      <w:r>
        <w:t xml:space="preserve">부록 C. 재추정 결과 전체</w:t>
      </w:r>
    </w:p>
    <w:p>
      <w:pPr>
        <w:pStyle w:val="FirstParagraph"/>
      </w:pPr>
      <w:r>
        <w:t xml:space="preserve">표 C.1과 C.2는 본문 표 7에 제시한 재추정(점추정치가 기준과 같은 군집 표준오차 행 제외)에 조정 범위와 2010년 이후 표본을 추가하여 전체 계수를 제시한 것이다. 각 열은 표본 또는 변수 정의를 하나씩 변경한 다항 로짓이며, 기준 열은 본문 표 4의 다항 로짓과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A의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C.1.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C.2.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61"/>
    <w:bookmarkEnd w:id="62"/>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44" Type="http://schemas.openxmlformats.org/officeDocument/2006/relationships/image" Target="media/rId44.png"/><Relationship Id="rId34" Type="http://schemas.openxmlformats.org/officeDocument/2006/relationships/image" Target="media/rId34.png"/><Relationship Id="rId22" Type="http://schemas.openxmlformats.org/officeDocument/2006/relationships/image" Target="media/rId22.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2026-10-15T10:27:33Z</dcterms:created>
  <dcterms:modified xsi:type="dcterms:W3CDTF">2026-10-15T10:27:33Z</dcterms:modified>
  <cp:lastModifiedBy/>
  <dc:description/>
</cp:coreProperties>
</file>

<file path=docProps/custom.xml><?xml version="1.0" encoding="utf-8"?>
<Properties xmlns="http://schemas.openxmlformats.org/officeDocument/2006/custom-properties" xmlns:vt="http://schemas.openxmlformats.org/officeDocument/2006/docPropsVTypes"/>
</file>