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cs="맑은 고딕"/>
          <w:b/>
          <w:color w:val="13294B"/>
          <w:sz w:val="36"/>
        </w:rPr>
        <w:t>석사학위논문 심사 대비 자료: 예상 질문과 답변</w:t>
      </w:r>
    </w:p>
    <w:p>
      <w:r>
        <w:rPr>
          <w:rFonts w:ascii="맑은 고딕" w:hAnsi="맑은 고딕" w:eastAsia="맑은 고딕" w:cs="맑은 고딕"/>
          <w:b w:val="0"/>
          <w:color w:val="5B6475"/>
          <w:sz w:val="22"/>
        </w:rPr>
        <w:t>반도체 하이브리드 본딩의 공정 단계 간 기술융합: 특허 기반 종단 분석 (학위논문 최종본 v84 기준)</w:t>
      </w:r>
    </w:p>
    <w:p>
      <w:pPr>
        <w:pStyle w:val="Heading1"/>
      </w:pPr>
      <w:r>
        <w:t>이 문서의 사용법</w:t>
      </w:r>
    </w:p>
    <w:p>
      <w:pPr>
        <w:pStyle w:val="ListBullet"/>
        <w:spacing w:after="40"/>
      </w:pPr>
      <w:r>
        <w:rPr>
          <w:rFonts w:ascii="맑은 고딕" w:hAnsi="맑은 고딕" w:eastAsia="맑은 고딕" w:cs="맑은 고딕"/>
          <w:b w:val="0"/>
          <w:sz w:val="21"/>
        </w:rPr>
        <w:t>이 문서는 학위논문 최종본(v84)을 기준으로 작성했습니다. 저널 투고본(JIK)은 분량을 줄이고 표 번호를 바꾼 별도 원고이므로, 심사에서는 학위논문의 장·절·표 번호로 답합니다.</w:t>
      </w:r>
    </w:p>
    <w:p>
      <w:pPr>
        <w:pStyle w:val="ListBullet"/>
        <w:spacing w:after="40"/>
      </w:pPr>
      <w:r>
        <w:rPr>
          <w:rFonts w:ascii="맑은 고딕" w:hAnsi="맑은 고딕" w:eastAsia="맑은 고딕" w:cs="맑은 고딕"/>
          <w:b w:val="0"/>
          <w:sz w:val="21"/>
        </w:rPr>
        <w:t>질문마다 ★로 나올 가능성을 표시했습니다(★★★ 매우 높음, ★★ 높음, ★ 가능). ★★★ 질문은 "답변 요지"를 소리 내어 외우고, 상세 답변은 자기 말로 설명할 수 있을 때까지 읽어 두십시오.</w:t>
      </w:r>
    </w:p>
    <w:p>
      <w:pPr>
        <w:pStyle w:val="ListBullet"/>
        <w:spacing w:after="40"/>
      </w:pPr>
      <w:r>
        <w:rPr>
          <w:rFonts w:ascii="맑은 고딕" w:hAnsi="맑은 고딕" w:eastAsia="맑은 고딕" w:cs="맑은 고딕"/>
          <w:b w:val="0"/>
          <w:sz w:val="21"/>
        </w:rPr>
        <w:t>"답변 요지"는 질문을 받자마자 말할 첫 문장입니다. 이어서 "상세 답변"의 근거 한두 개를 말하고, 필요하면 "근거"에 적힌 표나 부록 슬라이드로 넘어갑니다.</w:t>
      </w:r>
    </w:p>
    <w:p>
      <w:pPr>
        <w:pStyle w:val="ListBullet"/>
        <w:spacing w:after="40"/>
      </w:pPr>
      <w:r>
        <w:rPr>
          <w:rFonts w:ascii="맑은 고딕" w:hAnsi="맑은 고딕" w:eastAsia="맑은 고딕" w:cs="맑은 고딕"/>
          <w:b w:val="0"/>
          <w:sz w:val="21"/>
        </w:rPr>
        <w:t>"주의"는 심사 자리에서 하지 말아야 할 표현이나 과장하기 쉬운 지점입니다. "꼬리 질문"은 답변 뒤에 이어질 가능성이 높은 질문입니다.</w:t>
      </w:r>
    </w:p>
    <w:p>
      <w:pPr>
        <w:pStyle w:val="ListBullet"/>
        <w:spacing w:after="40"/>
      </w:pPr>
      <w:r>
        <w:rPr>
          <w:rFonts w:ascii="맑은 고딕" w:hAnsi="맑은 고딕" w:eastAsia="맑은 고딕" w:cs="맑은 고딕"/>
          <w:b w:val="0"/>
          <w:sz w:val="21"/>
        </w:rPr>
        <w:t>논문 쪽수는 학위논문 v84 기준(목차 쪽수)이고, 슬라이드 번호는 20분용(S20)과 15분용(S15) 발표 자료 기준입니다.</w:t>
      </w:r>
    </w:p>
    <w:p>
      <w:pPr>
        <w:pStyle w:val="Heading1"/>
      </w:pPr>
      <w:r>
        <w:t>1. 연구를 짧게 설명하기</w:t>
      </w:r>
    </w:p>
    <w:p>
      <w:pPr>
        <w:spacing w:after="80" w:before="0"/>
      </w:pPr>
      <w:r>
        <w:rPr>
          <w:rFonts w:ascii="맑은 고딕" w:hAnsi="맑은 고딕" w:eastAsia="맑은 고딕" w:cs="맑은 고딕"/>
          <w:b w:val="0"/>
          <w:color w:val="5B6475"/>
          <w:sz w:val="21"/>
        </w:rPr>
        <w:t>심사 시작이나 질의응답 중 "한마디로 무슨 연구인가"라는 질문을 받으면 아래 문장으로 답합니다.</w:t>
      </w:r>
    </w:p>
    <w:p>
      <w:pPr>
        <w:pStyle w:val="Heading3"/>
      </w:pPr>
      <w:r>
        <w:t>30초 버전</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EAF0FA"/>
          </w:tcPr>
          <w:p>
            <w:pPr>
              <w:spacing w:after="0"/>
            </w:pPr>
            <w:r>
              <w:rPr>
                <w:rFonts w:ascii="맑은 고딕" w:hAnsi="맑은 고딕" w:eastAsia="맑은 고딕" w:cs="맑은 고딕"/>
                <w:b/>
                <w:color w:val="13294B"/>
                <w:sz w:val="21"/>
              </w:rPr>
            </w:r>
            <w:r>
              <w:rPr>
                <w:rFonts w:ascii="맑은 고딕" w:hAnsi="맑은 고딕" w:eastAsia="맑은 고딕" w:cs="맑은 고딕"/>
                <w:b w:val="0"/>
                <w:sz w:val="21"/>
              </w:rPr>
              <w:t>반도체 후공정 기술인 하이브리드 본딩은 그 성패를 전공정의 제조공정 역량이 좌우합니다. 저는 1968–2024년의 관련 특허출원 928건을 제조공정과 접합 분류의 공동분류로 세 유형으로 나누어, 한 산업의 공정 단계 사이에서도 기술융합이 개별 발명으로 나타나며, 그 융합이 형성기·확산기·재편기를 거치면서 중심이 핵심 기술에서 주변 공정으로 이동한 동태적 과정이었음을 보였습니다.</w:t>
            </w:r>
          </w:p>
        </w:tc>
      </w:tr>
    </w:tbl>
    <w:p>
      <w:pPr>
        <w:spacing w:after="0"/>
      </w:pPr>
    </w:p>
    <w:p>
      <w:pPr>
        <w:pStyle w:val="Heading3"/>
      </w:pPr>
      <w:r>
        <w:t>1분 버전</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EAF0FA"/>
          </w:tcPr>
          <w:p>
            <w:pPr>
              <w:spacing w:after="0"/>
            </w:pPr>
            <w:r>
              <w:rPr>
                <w:rFonts w:ascii="맑은 고딕" w:hAnsi="맑은 고딕" w:eastAsia="맑은 고딕" w:cs="맑은 고딕"/>
                <w:b/>
                <w:color w:val="13294B"/>
                <w:sz w:val="21"/>
              </w:rPr>
            </w:r>
            <w:r>
              <w:rPr>
                <w:rFonts w:ascii="맑은 고딕" w:hAnsi="맑은 고딕" w:eastAsia="맑은 고딕" w:cs="맑은 고딕"/>
                <w:b w:val="0"/>
                <w:sz w:val="21"/>
              </w:rPr>
              <w:t>기존 기술융합 연구는 주로 서로 다른 산업 사이의 융합을 분야 수준의 지수로 측정했고, 융합이 늘었는지를 확인하는 데 머물렀습니다. 본 연구는 시야를 한 산업 안의 공정 단계 사이로 옮겼습니다. PATSTAT에서 추출한 하이브리드 본딩 관련 출원 928건을 H01L21(제조공정)과 H01L24(접합) 기호의 보유 여부로 접합 단독형, 통합형, 공정 단독형으로 나누고, 다항·이항 로짓과 기술 클러스터·네트워크 분석을 했습니다. 그 결과 첫째, 두 영역의 기호를 함께 가진 통합형이 45.8%로 가장 많았고(좁은 정의 37.2%), 세부 기술이 다양한 출원일수록 통합형일 가능성이 높았습니다. 둘째, 융합은 공정 단독형이 많은 형성기, 통합형이 62.2%로 정점인 확산기, 접합 단독형이 늘어난 재편기를 거쳤고 출원의 무게중심은 제조공정에서 접합 쪽으로 이동했습니다. 셋째, 핵심 접합 기술을 포함한 출원의 통합형 승산비는 11.1에서 재편기에는 유의하지 않은 0.66으로 줄었고, 접합과 결합하는 제조공정의 중심은 웨이퍼 제조공정에서 공정 장치와 패키징 단계 공정으로 옮겨 갔습니다. 공정 단계 간 융합은 핵심 설계의 고착화와 함께 중심이 핵심에서 주변으로 이동하는 동태적 과정이라는 것이 결론입니다.</w:t>
            </w:r>
          </w:p>
        </w:tc>
      </w:tr>
    </w:tbl>
    <w:p>
      <w:pPr>
        <w:spacing w:after="0"/>
      </w:pPr>
    </w:p>
    <w:p>
      <w:pPr>
        <w:pStyle w:val="Heading1"/>
      </w:pPr>
      <w:r>
        <w:t>2. 반드시 외울 핵심 수치</w:t>
      </w:r>
    </w:p>
    <w:p>
      <w:pPr>
        <w:spacing w:after="80" w:before="0"/>
      </w:pPr>
      <w:r>
        <w:rPr>
          <w:rFonts w:ascii="맑은 고딕" w:hAnsi="맑은 고딕" w:eastAsia="맑은 고딕" w:cs="맑은 고딕"/>
          <w:b w:val="0"/>
          <w:color w:val="5B6475"/>
          <w:sz w:val="21"/>
        </w:rPr>
        <w:t>수치를 정확히 말하면 답변의 신뢰가 높아집니다. 출처는 학위논문 v84의 장·절·표입니다.</w:t>
      </w:r>
    </w:p>
    <w:tbl>
      <w:tblPr>
        <w:tblStyle w:val="TableGrid"/>
        <w:tblW w:type="auto" w:w="0"/>
        <w:jc w:val="center"/>
        <w:tblLayout w:type="fixed"/>
        <w:tblLook w:firstColumn="1" w:firstRow="1" w:lastColumn="0" w:lastRow="0" w:noHBand="0" w:noVBand="1" w:val="04A0"/>
        <w:tblLayout w:type="fixed"/>
      </w:tblPr>
      <w:tblGrid>
        <w:gridCol w:w="794"/>
        <w:gridCol w:w="1814"/>
        <w:gridCol w:w="4989"/>
        <w:gridCol w:w="1814"/>
      </w:tblGrid>
      <w:tr>
        <w:tc>
          <w:tcPr>
            <w:tcW w:type="dxa" w:w="794"/>
            <w:shd w:val="clear" w:color="auto" w:fill="13294B"/>
          </w:tcPr>
          <w:p>
            <w:pPr>
              <w:spacing w:after="0"/>
            </w:pPr>
            <w:r/>
            <w:r>
              <w:rPr>
                <w:rFonts w:ascii="맑은 고딕" w:hAnsi="맑은 고딕" w:eastAsia="맑은 고딕" w:cs="맑은 고딕"/>
                <w:b/>
                <w:color w:val="FFFFFF"/>
                <w:sz w:val="17"/>
              </w:rPr>
              <w:t>구분</w:t>
            </w:r>
          </w:p>
        </w:tc>
        <w:tc>
          <w:tcPr>
            <w:tcW w:type="dxa" w:w="1814"/>
            <w:shd w:val="clear" w:color="auto" w:fill="13294B"/>
          </w:tcPr>
          <w:p>
            <w:pPr>
              <w:spacing w:after="0"/>
            </w:pPr>
            <w:r/>
            <w:r>
              <w:rPr>
                <w:rFonts w:ascii="맑은 고딕" w:hAnsi="맑은 고딕" w:eastAsia="맑은 고딕" w:cs="맑은 고딕"/>
                <w:b/>
                <w:color w:val="FFFFFF"/>
                <w:sz w:val="17"/>
              </w:rPr>
              <w:t>항목</w:t>
            </w:r>
          </w:p>
        </w:tc>
        <w:tc>
          <w:tcPr>
            <w:tcW w:type="dxa" w:w="4989"/>
            <w:shd w:val="clear" w:color="auto" w:fill="13294B"/>
          </w:tcPr>
          <w:p>
            <w:pPr>
              <w:spacing w:after="0"/>
            </w:pPr>
            <w:r/>
            <w:r>
              <w:rPr>
                <w:rFonts w:ascii="맑은 고딕" w:hAnsi="맑은 고딕" w:eastAsia="맑은 고딕" w:cs="맑은 고딕"/>
                <w:b/>
                <w:color w:val="FFFFFF"/>
                <w:sz w:val="17"/>
              </w:rPr>
              <w:t>값</w:t>
            </w:r>
          </w:p>
        </w:tc>
        <w:tc>
          <w:tcPr>
            <w:tcW w:type="dxa" w:w="1814"/>
            <w:shd w:val="clear" w:color="auto" w:fill="13294B"/>
          </w:tcPr>
          <w:p>
            <w:pPr>
              <w:spacing w:after="0"/>
            </w:pPr>
            <w:r/>
            <w:r>
              <w:rPr>
                <w:rFonts w:ascii="맑은 고딕" w:hAnsi="맑은 고딕" w:eastAsia="맑은 고딕" w:cs="맑은 고딕"/>
                <w:b/>
                <w:color w:val="FFFFFF"/>
                <w:sz w:val="17"/>
              </w:rPr>
              <w:t>논문 위치</w:t>
            </w:r>
          </w:p>
        </w:tc>
      </w:tr>
      <w:tr>
        <w:tc>
          <w:tcPr>
            <w:tcW w:type="dxa" w:w="794"/>
          </w:tcPr>
          <w:p>
            <w:pPr>
              <w:spacing w:after="0"/>
            </w:pPr>
            <w:r/>
            <w:r>
              <w:rPr>
                <w:rFonts w:ascii="맑은 고딕" w:hAnsi="맑은 고딕" w:eastAsia="맑은 고딕" w:cs="맑은 고딕"/>
                <w:b/>
                <w:sz w:val="17"/>
              </w:rPr>
              <w:t>자료</w:t>
            </w:r>
          </w:p>
        </w:tc>
        <w:tc>
          <w:tcPr>
            <w:tcW w:type="dxa" w:w="1814"/>
          </w:tcPr>
          <w:p>
            <w:pPr>
              <w:spacing w:after="0"/>
            </w:pPr>
            <w:r/>
            <w:r>
              <w:rPr>
                <w:rFonts w:ascii="맑은 고딕" w:hAnsi="맑은 고딕" w:eastAsia="맑은 고딕" w:cs="맑은 고딕"/>
                <w:b w:val="0"/>
                <w:sz w:val="17"/>
              </w:rPr>
              <w:t>자료원 · 검색</w:t>
            </w:r>
          </w:p>
        </w:tc>
        <w:tc>
          <w:tcPr>
            <w:tcW w:type="dxa" w:w="4989"/>
          </w:tcPr>
          <w:p>
            <w:pPr>
              <w:spacing w:after="0"/>
            </w:pPr>
            <w:r/>
            <w:r>
              <w:rPr>
                <w:rFonts w:ascii="맑은 고딕" w:hAnsi="맑은 고딕" w:eastAsia="맑은 고딕" w:cs="맑은 고딕"/>
                <w:b w:val="0"/>
                <w:sz w:val="17"/>
              </w:rPr>
              <w:t>EPO PATSTAT Global 2025년판 · 1차 CPC(H01L21 또는 H01L24) + 2차 제목 키워드 5개</w:t>
            </w:r>
          </w:p>
        </w:tc>
        <w:tc>
          <w:tcPr>
            <w:tcW w:type="dxa" w:w="1814"/>
          </w:tcPr>
          <w:p>
            <w:pPr>
              <w:spacing w:after="0"/>
            </w:pPr>
            <w:r/>
            <w:r>
              <w:rPr>
                <w:rFonts w:ascii="맑은 고딕" w:hAnsi="맑은 고딕" w:eastAsia="맑은 고딕" w:cs="맑은 고딕"/>
                <w:b w:val="0"/>
                <w:sz w:val="17"/>
              </w:rPr>
              <w:t>제4장 제1절(19쪽~), 표 2(19쪽)</w:t>
            </w:r>
          </w:p>
        </w:tc>
      </w:tr>
      <w:tr>
        <w:tc>
          <w:tcPr>
            <w:tcW w:type="dxa" w:w="794"/>
            <w:shd w:val="clear" w:color="auto" w:fill="F4F7FB"/>
          </w:tcPr>
          <w:p>
            <w:pPr>
              <w:spacing w:after="0"/>
            </w:pPr>
            <w:r/>
            <w:r>
              <w:rPr>
                <w:rFonts w:ascii="맑은 고딕" w:hAnsi="맑은 고딕" w:eastAsia="맑은 고딕" w:cs="맑은 고딕"/>
                <w:b/>
                <w:sz w:val="17"/>
              </w:rPr>
              <w:t>자료</w:t>
            </w:r>
          </w:p>
        </w:tc>
        <w:tc>
          <w:tcPr>
            <w:tcW w:type="dxa" w:w="1814"/>
            <w:shd w:val="clear" w:color="auto" w:fill="F4F7FB"/>
          </w:tcPr>
          <w:p>
            <w:pPr>
              <w:spacing w:after="0"/>
            </w:pPr>
            <w:r/>
            <w:r>
              <w:rPr>
                <w:rFonts w:ascii="맑은 고딕" w:hAnsi="맑은 고딕" w:eastAsia="맑은 고딕" w:cs="맑은 고딕"/>
                <w:b w:val="0"/>
                <w:sz w:val="17"/>
              </w:rPr>
              <w:t>표본</w:t>
            </w:r>
          </w:p>
        </w:tc>
        <w:tc>
          <w:tcPr>
            <w:tcW w:type="dxa" w:w="4989"/>
            <w:shd w:val="clear" w:color="auto" w:fill="F4F7FB"/>
          </w:tcPr>
          <w:p>
            <w:pPr>
              <w:spacing w:after="0"/>
            </w:pPr>
            <w:r/>
            <w:r>
              <w:rPr>
                <w:rFonts w:ascii="맑은 고딕" w:hAnsi="맑은 고딕" w:eastAsia="맑은 고딕" w:cs="맑은 고딕"/>
                <w:b w:val="0"/>
                <w:sz w:val="17"/>
              </w:rPr>
              <w:t>출원 928건(1968–2024) · 출원–CPC 쌍 5,277건 · 서브그룹 기호 262개(H01L21 202 · H01L24 60)</w:t>
            </w:r>
          </w:p>
        </w:tc>
        <w:tc>
          <w:tcPr>
            <w:tcW w:type="dxa" w:w="1814"/>
            <w:shd w:val="clear" w:color="auto" w:fill="F4F7FB"/>
          </w:tcPr>
          <w:p>
            <w:pPr>
              <w:spacing w:after="0"/>
            </w:pPr>
            <w:r/>
            <w:r>
              <w:rPr>
                <w:rFonts w:ascii="맑은 고딕" w:hAnsi="맑은 고딕" w:eastAsia="맑은 고딕" w:cs="맑은 고딕"/>
                <w:b w:val="0"/>
                <w:sz w:val="17"/>
              </w:rPr>
              <w:t>제4장 제1절(19쪽~)</w:t>
            </w:r>
          </w:p>
        </w:tc>
      </w:tr>
      <w:tr>
        <w:tc>
          <w:tcPr>
            <w:tcW w:type="dxa" w:w="794"/>
          </w:tcPr>
          <w:p>
            <w:pPr>
              <w:spacing w:after="0"/>
            </w:pPr>
            <w:r/>
            <w:r>
              <w:rPr>
                <w:rFonts w:ascii="맑은 고딕" w:hAnsi="맑은 고딕" w:eastAsia="맑은 고딕" w:cs="맑은 고딕"/>
                <w:b/>
                <w:sz w:val="17"/>
              </w:rPr>
              <w:t>자료</w:t>
            </w:r>
          </w:p>
        </w:tc>
        <w:tc>
          <w:tcPr>
            <w:tcW w:type="dxa" w:w="1814"/>
          </w:tcPr>
          <w:p>
            <w:pPr>
              <w:spacing w:after="0"/>
            </w:pPr>
            <w:r/>
            <w:r>
              <w:rPr>
                <w:rFonts w:ascii="맑은 고딕" w:hAnsi="맑은 고딕" w:eastAsia="맑은 고딕" w:cs="맑은 고딕"/>
                <w:b w:val="0"/>
                <w:sz w:val="17"/>
              </w:rPr>
              <w:t>시기별 출원 수</w:t>
            </w:r>
          </w:p>
        </w:tc>
        <w:tc>
          <w:tcPr>
            <w:tcW w:type="dxa" w:w="4989"/>
          </w:tcPr>
          <w:p>
            <w:pPr>
              <w:spacing w:after="0"/>
            </w:pPr>
            <w:r/>
            <w:r>
              <w:rPr>
                <w:rFonts w:ascii="맑은 고딕" w:hAnsi="맑은 고딕" w:eastAsia="맑은 고딕" w:cs="맑은 고딕"/>
                <w:b w:val="0"/>
                <w:sz w:val="17"/>
              </w:rPr>
              <w:t>–2014: 179건 · 2015–2019: 209건 · 2020–2024: 540건</w:t>
            </w:r>
          </w:p>
        </w:tc>
        <w:tc>
          <w:tcPr>
            <w:tcW w:type="dxa" w:w="1814"/>
          </w:tcPr>
          <w:p>
            <w:pPr>
              <w:spacing w:after="0"/>
            </w:pPr>
            <w:r/>
            <w:r>
              <w:rPr>
                <w:rFonts w:ascii="맑은 고딕" w:hAnsi="맑은 고딕" w:eastAsia="맑은 고딕" w:cs="맑은 고딕"/>
                <w:b w:val="0"/>
                <w:sz w:val="17"/>
              </w:rPr>
              <w:t>표 10(32쪽)</w:t>
            </w:r>
          </w:p>
        </w:tc>
      </w:tr>
      <w:tr>
        <w:tc>
          <w:tcPr>
            <w:tcW w:type="dxa" w:w="794"/>
            <w:shd w:val="clear" w:color="auto" w:fill="F4F7FB"/>
          </w:tcPr>
          <w:p>
            <w:pPr>
              <w:spacing w:after="0"/>
            </w:pPr>
            <w:r/>
            <w:r>
              <w:rPr>
                <w:rFonts w:ascii="맑은 고딕" w:hAnsi="맑은 고딕" w:eastAsia="맑은 고딕" w:cs="맑은 고딕"/>
                <w:b/>
                <w:sz w:val="17"/>
              </w:rPr>
              <w:t>자료</w:t>
            </w:r>
          </w:p>
        </w:tc>
        <w:tc>
          <w:tcPr>
            <w:tcW w:type="dxa" w:w="1814"/>
            <w:shd w:val="clear" w:color="auto" w:fill="F4F7FB"/>
          </w:tcPr>
          <w:p>
            <w:pPr>
              <w:spacing w:after="0"/>
            </w:pPr>
            <w:r/>
            <w:r>
              <w:rPr>
                <w:rFonts w:ascii="맑은 고딕" w:hAnsi="맑은 고딕" w:eastAsia="맑은 고딕" w:cs="맑은 고딕"/>
                <w:b w:val="0"/>
                <w:sz w:val="17"/>
              </w:rPr>
              <w:t>출원청</w:t>
            </w:r>
          </w:p>
        </w:tc>
        <w:tc>
          <w:tcPr>
            <w:tcW w:type="dxa" w:w="4989"/>
            <w:shd w:val="clear" w:color="auto" w:fill="F4F7FB"/>
          </w:tcPr>
          <w:p>
            <w:pPr>
              <w:spacing w:after="0"/>
            </w:pPr>
            <w:r/>
            <w:r>
              <w:rPr>
                <w:rFonts w:ascii="맑은 고딕" w:hAnsi="맑은 고딕" w:eastAsia="맑은 고딕" w:cs="맑은 고딕"/>
                <w:b w:val="0"/>
                <w:sz w:val="17"/>
              </w:rPr>
              <w:t>US 382 · CN 175 · WO(PCT) 113 · EP 83 · TW 75 · KR 58 · JP 26 · 기타 16</w:t>
            </w:r>
          </w:p>
        </w:tc>
        <w:tc>
          <w:tcPr>
            <w:tcW w:type="dxa" w:w="1814"/>
            <w:shd w:val="clear" w:color="auto" w:fill="F4F7FB"/>
          </w:tcPr>
          <w:p>
            <w:pPr>
              <w:spacing w:after="0"/>
            </w:pPr>
            <w:r/>
            <w:r>
              <w:rPr>
                <w:rFonts w:ascii="맑은 고딕" w:hAnsi="맑은 고딕" w:eastAsia="맑은 고딕" w:cs="맑은 고딕"/>
                <w:b w:val="0"/>
                <w:sz w:val="17"/>
              </w:rPr>
              <w:t>제4장 제3절(21쪽~)</w:t>
            </w:r>
          </w:p>
        </w:tc>
      </w:tr>
      <w:tr>
        <w:tc>
          <w:tcPr>
            <w:tcW w:type="dxa" w:w="794"/>
          </w:tcPr>
          <w:p>
            <w:pPr>
              <w:spacing w:after="0"/>
            </w:pPr>
            <w:r/>
            <w:r>
              <w:rPr>
                <w:rFonts w:ascii="맑은 고딕" w:hAnsi="맑은 고딕" w:eastAsia="맑은 고딕" w:cs="맑은 고딕"/>
                <w:b/>
                <w:sz w:val="17"/>
              </w:rPr>
              <w:t>자료</w:t>
            </w:r>
          </w:p>
        </w:tc>
        <w:tc>
          <w:tcPr>
            <w:tcW w:type="dxa" w:w="1814"/>
          </w:tcPr>
          <w:p>
            <w:pPr>
              <w:spacing w:after="0"/>
            </w:pPr>
            <w:r/>
            <w:r>
              <w:rPr>
                <w:rFonts w:ascii="맑은 고딕" w:hAnsi="맑은 고딕" w:eastAsia="맑은 고딕" w:cs="맑은 고딕"/>
                <w:b w:val="0"/>
                <w:sz w:val="17"/>
              </w:rPr>
              <w:t>대안 표본</w:t>
            </w:r>
          </w:p>
        </w:tc>
        <w:tc>
          <w:tcPr>
            <w:tcW w:type="dxa" w:w="4989"/>
          </w:tcPr>
          <w:p>
            <w:pPr>
              <w:spacing w:after="0"/>
            </w:pPr>
            <w:r/>
            <w:r>
              <w:rPr>
                <w:rFonts w:ascii="맑은 고딕" w:hAnsi="맑은 고딕" w:eastAsia="맑은 고딕" w:cs="맑은 고딕"/>
                <w:b w:val="0"/>
                <w:sz w:val="17"/>
              </w:rPr>
              <w:t>hybrid bonding 467건 · 무관 용법 68건(direct 63 · hybrid 5) · 고유 제목 473개(149개는 다국 출원)</w:t>
            </w:r>
          </w:p>
        </w:tc>
        <w:tc>
          <w:tcPr>
            <w:tcW w:type="dxa" w:w="1814"/>
          </w:tcPr>
          <w:p>
            <w:pPr>
              <w:spacing w:after="0"/>
            </w:pPr>
            <w:r/>
            <w:r>
              <w:rPr>
                <w:rFonts w:ascii="맑은 고딕" w:hAnsi="맑은 고딕" w:eastAsia="맑은 고딕" w:cs="맑은 고딕"/>
                <w:b w:val="0"/>
                <w:sz w:val="17"/>
              </w:rPr>
              <w:t>제4장 제1절(19쪽~)</w:t>
            </w:r>
          </w:p>
        </w:tc>
      </w:tr>
      <w:tr>
        <w:tc>
          <w:tcPr>
            <w:tcW w:type="dxa" w:w="794"/>
            <w:shd w:val="clear" w:color="auto" w:fill="F4F7FB"/>
          </w:tcPr>
          <w:p>
            <w:pPr>
              <w:spacing w:after="0"/>
            </w:pPr>
            <w:r/>
            <w:r>
              <w:rPr>
                <w:rFonts w:ascii="맑은 고딕" w:hAnsi="맑은 고딕" w:eastAsia="맑은 고딕" w:cs="맑은 고딕"/>
                <w:b/>
                <w:sz w:val="17"/>
              </w:rPr>
              <w:t>측정</w:t>
            </w:r>
          </w:p>
        </w:tc>
        <w:tc>
          <w:tcPr>
            <w:tcW w:type="dxa" w:w="1814"/>
            <w:shd w:val="clear" w:color="auto" w:fill="F4F7FB"/>
          </w:tcPr>
          <w:p>
            <w:pPr>
              <w:spacing w:after="0"/>
            </w:pPr>
            <w:r/>
            <w:r>
              <w:rPr>
                <w:rFonts w:ascii="맑은 고딕" w:hAnsi="맑은 고딕" w:eastAsia="맑은 고딕" w:cs="맑은 고딕"/>
                <w:b w:val="0"/>
                <w:sz w:val="17"/>
              </w:rPr>
              <w:t>H01L21 기호 1,636건</w:t>
            </w:r>
          </w:p>
        </w:tc>
        <w:tc>
          <w:tcPr>
            <w:tcW w:type="dxa" w:w="4989"/>
            <w:shd w:val="clear" w:color="auto" w:fill="F4F7FB"/>
          </w:tcPr>
          <w:p>
            <w:pPr>
              <w:spacing w:after="0"/>
            </w:pPr>
            <w:r/>
            <w:r>
              <w:rPr>
                <w:rFonts w:ascii="맑은 고딕" w:hAnsi="맑은 고딕" w:eastAsia="맑은 고딕" w:cs="맑은 고딕"/>
                <w:b w:val="0"/>
                <w:sz w:val="17"/>
              </w:rPr>
              <w:t>웨이퍼 제조공정 905(55.3%) · 공정 장치 328(20.0%) · 패키징 단계 공정 403(24.6%)</w:t>
            </w:r>
          </w:p>
        </w:tc>
        <w:tc>
          <w:tcPr>
            <w:tcW w:type="dxa" w:w="1814"/>
            <w:shd w:val="clear" w:color="auto" w:fill="F4F7FB"/>
          </w:tcPr>
          <w:p>
            <w:pPr>
              <w:spacing w:after="0"/>
            </w:pPr>
            <w:r/>
            <w:r>
              <w:rPr>
                <w:rFonts w:ascii="맑은 고딕" w:hAnsi="맑은 고딕" w:eastAsia="맑은 고딕" w:cs="맑은 고딕"/>
                <w:b w:val="0"/>
                <w:sz w:val="17"/>
              </w:rPr>
              <w:t>제4장 제2절(20쪽~)</w:t>
            </w:r>
          </w:p>
        </w:tc>
      </w:tr>
      <w:tr>
        <w:tc>
          <w:tcPr>
            <w:tcW w:type="dxa" w:w="794"/>
          </w:tcPr>
          <w:p>
            <w:pPr>
              <w:spacing w:after="0"/>
            </w:pPr>
            <w:r/>
            <w:r>
              <w:rPr>
                <w:rFonts w:ascii="맑은 고딕" w:hAnsi="맑은 고딕" w:eastAsia="맑은 고딕" w:cs="맑은 고딕"/>
                <w:b/>
                <w:sz w:val="17"/>
              </w:rPr>
              <w:t>측정</w:t>
            </w:r>
          </w:p>
        </w:tc>
        <w:tc>
          <w:tcPr>
            <w:tcW w:type="dxa" w:w="1814"/>
          </w:tcPr>
          <w:p>
            <w:pPr>
              <w:spacing w:after="0"/>
            </w:pPr>
            <w:r/>
            <w:r>
              <w:rPr>
                <w:rFonts w:ascii="맑은 고딕" w:hAnsi="맑은 고딕" w:eastAsia="맑은 고딕" w:cs="맑은 고딕"/>
                <w:b w:val="0"/>
                <w:sz w:val="17"/>
              </w:rPr>
              <w:t>기술범위</w:t>
            </w:r>
          </w:p>
        </w:tc>
        <w:tc>
          <w:tcPr>
            <w:tcW w:type="dxa" w:w="4989"/>
          </w:tcPr>
          <w:p>
            <w:pPr>
              <w:spacing w:after="0"/>
            </w:pPr>
            <w:r/>
            <w:r>
              <w:rPr>
                <w:rFonts w:ascii="맑은 고딕" w:hAnsi="맑은 고딕" w:eastAsia="맑은 고딕" w:cs="맑은 고딕"/>
                <w:b w:val="0"/>
                <w:sz w:val="17"/>
              </w:rPr>
              <w:t>평균 5.69(SD 4.07, 1–21) · 통합형 7.89 · 접합 단독형 4.16 · 공정 단독형 3.15</w:t>
            </w:r>
          </w:p>
        </w:tc>
        <w:tc>
          <w:tcPr>
            <w:tcW w:type="dxa" w:w="1814"/>
          </w:tcPr>
          <w:p>
            <w:pPr>
              <w:spacing w:after="0"/>
            </w:pPr>
            <w:r/>
            <w:r>
              <w:rPr>
                <w:rFonts w:ascii="맑은 고딕" w:hAnsi="맑은 고딕" w:eastAsia="맑은 고딕" w:cs="맑은 고딕"/>
                <w:b w:val="0"/>
                <w:sz w:val="17"/>
              </w:rPr>
              <w:t>제4장 제3절(21쪽~)</w:t>
            </w:r>
          </w:p>
        </w:tc>
      </w:tr>
      <w:tr>
        <w:tc>
          <w:tcPr>
            <w:tcW w:type="dxa" w:w="794"/>
            <w:shd w:val="clear" w:color="auto" w:fill="F4F7FB"/>
          </w:tcPr>
          <w:p>
            <w:pPr>
              <w:spacing w:after="0"/>
            </w:pPr>
            <w:r/>
            <w:r>
              <w:rPr>
                <w:rFonts w:ascii="맑은 고딕" w:hAnsi="맑은 고딕" w:eastAsia="맑은 고딕" w:cs="맑은 고딕"/>
                <w:b/>
                <w:sz w:val="17"/>
              </w:rPr>
              <w:t>측정</w:t>
            </w:r>
          </w:p>
        </w:tc>
        <w:tc>
          <w:tcPr>
            <w:tcW w:type="dxa" w:w="1814"/>
            <w:shd w:val="clear" w:color="auto" w:fill="F4F7FB"/>
          </w:tcPr>
          <w:p>
            <w:pPr>
              <w:spacing w:after="0"/>
            </w:pPr>
            <w:r/>
            <w:r>
              <w:rPr>
                <w:rFonts w:ascii="맑은 고딕" w:hAnsi="맑은 고딕" w:eastAsia="맑은 고딕" w:cs="맑은 고딕"/>
                <w:b w:val="0"/>
                <w:sz w:val="17"/>
              </w:rPr>
              <w:t>핵심 기술</w:t>
            </w:r>
          </w:p>
        </w:tc>
        <w:tc>
          <w:tcPr>
            <w:tcW w:type="dxa" w:w="4989"/>
            <w:shd w:val="clear" w:color="auto" w:fill="F4F7FB"/>
          </w:tcPr>
          <w:p>
            <w:pPr>
              <w:spacing w:after="0"/>
            </w:pPr>
            <w:r/>
            <w:r>
              <w:rPr>
                <w:rFonts w:ascii="맑은 고딕" w:hAnsi="맑은 고딕" w:eastAsia="맑은 고딕" w:cs="맑은 고딕"/>
                <w:b w:val="0"/>
                <w:sz w:val="17"/>
              </w:rPr>
              <w:t>24/03 · 24/05 · 24/08 · 24/80(출원 200건 이상 H01L24 기호) · 접합 출원 763건 중 620건(81.3%) 포함</w:t>
            </w:r>
          </w:p>
        </w:tc>
        <w:tc>
          <w:tcPr>
            <w:tcW w:type="dxa" w:w="1814"/>
            <w:shd w:val="clear" w:color="auto" w:fill="F4F7FB"/>
          </w:tcPr>
          <w:p>
            <w:pPr>
              <w:spacing w:after="0"/>
            </w:pPr>
            <w:r/>
            <w:r>
              <w:rPr>
                <w:rFonts w:ascii="맑은 고딕" w:hAnsi="맑은 고딕" w:eastAsia="맑은 고딕" w:cs="맑은 고딕"/>
                <w:b w:val="0"/>
                <w:sz w:val="17"/>
              </w:rPr>
              <w:t>제4장 제4절(23쪽~)</w:t>
            </w:r>
          </w:p>
        </w:tc>
      </w:tr>
      <w:tr>
        <w:tc>
          <w:tcPr>
            <w:tcW w:type="dxa" w:w="794"/>
          </w:tcPr>
          <w:p>
            <w:pPr>
              <w:spacing w:after="0"/>
            </w:pPr>
            <w:r/>
            <w:r>
              <w:rPr>
                <w:rFonts w:ascii="맑은 고딕" w:hAnsi="맑은 고딕" w:eastAsia="맑은 고딕" w:cs="맑은 고딕"/>
                <w:b/>
                <w:sz w:val="17"/>
              </w:rPr>
              <w:t>측정</w:t>
            </w:r>
          </w:p>
        </w:tc>
        <w:tc>
          <w:tcPr>
            <w:tcW w:type="dxa" w:w="1814"/>
          </w:tcPr>
          <w:p>
            <w:pPr>
              <w:spacing w:after="0"/>
            </w:pPr>
            <w:r/>
            <w:r>
              <w:rPr>
                <w:rFonts w:ascii="맑은 고딕" w:hAnsi="맑은 고딕" w:eastAsia="맑은 고딕" w:cs="맑은 고딕"/>
                <w:b w:val="0"/>
                <w:sz w:val="17"/>
              </w:rPr>
              <w:t>클러스터 상위</w:t>
            </w:r>
          </w:p>
        </w:tc>
        <w:tc>
          <w:tcPr>
            <w:tcW w:type="dxa" w:w="4989"/>
          </w:tcPr>
          <w:p>
            <w:pPr>
              <w:spacing w:after="0"/>
            </w:pPr>
            <w:r/>
            <w:r>
              <w:rPr>
                <w:rFonts w:ascii="맑은 고딕" w:hAnsi="맑은 고딕" w:eastAsia="맑은 고딕" w:cs="맑은 고딕"/>
                <w:b w:val="0"/>
                <w:sz w:val="17"/>
              </w:rPr>
              <w:t>24/80 529(57.0%) · 24/08 513(55.3%) · 2224/80895 504 · 2224/80896 488 · 최강 쌍 80895–80896 460</w:t>
            </w:r>
          </w:p>
        </w:tc>
        <w:tc>
          <w:tcPr>
            <w:tcW w:type="dxa" w:w="1814"/>
          </w:tcPr>
          <w:p>
            <w:pPr>
              <w:spacing w:after="0"/>
            </w:pPr>
            <w:r/>
            <w:r>
              <w:rPr>
                <w:rFonts w:ascii="맑은 고딕" w:hAnsi="맑은 고딕" w:eastAsia="맑은 고딕" w:cs="맑은 고딕"/>
                <w:b w:val="0"/>
                <w:sz w:val="17"/>
              </w:rPr>
              <w:t>표 5·6(24–25쪽)</w:t>
            </w:r>
          </w:p>
        </w:tc>
      </w:tr>
      <w:tr>
        <w:tc>
          <w:tcPr>
            <w:tcW w:type="dxa" w:w="794"/>
            <w:shd w:val="clear" w:color="auto" w:fill="F4F7FB"/>
          </w:tcPr>
          <w:p>
            <w:pPr>
              <w:spacing w:after="0"/>
            </w:pPr>
            <w:r/>
            <w:r>
              <w:rPr>
                <w:rFonts w:ascii="맑은 고딕" w:hAnsi="맑은 고딕" w:eastAsia="맑은 고딕" w:cs="맑은 고딕"/>
                <w:b/>
                <w:sz w:val="17"/>
              </w:rPr>
              <w:t>RQ1</w:t>
            </w:r>
          </w:p>
        </w:tc>
        <w:tc>
          <w:tcPr>
            <w:tcW w:type="dxa" w:w="1814"/>
            <w:shd w:val="clear" w:color="auto" w:fill="F4F7FB"/>
          </w:tcPr>
          <w:p>
            <w:pPr>
              <w:spacing w:after="0"/>
            </w:pPr>
            <w:r/>
            <w:r>
              <w:rPr>
                <w:rFonts w:ascii="맑은 고딕" w:hAnsi="맑은 고딕" w:eastAsia="맑은 고딕" w:cs="맑은 고딕"/>
                <w:b w:val="0"/>
                <w:sz w:val="17"/>
              </w:rPr>
              <w:t>유형 분포</w:t>
            </w:r>
          </w:p>
        </w:tc>
        <w:tc>
          <w:tcPr>
            <w:tcW w:type="dxa" w:w="4989"/>
            <w:shd w:val="clear" w:color="auto" w:fill="F4F7FB"/>
          </w:tcPr>
          <w:p>
            <w:pPr>
              <w:spacing w:after="0"/>
            </w:pPr>
            <w:r/>
            <w:r>
              <w:rPr>
                <w:rFonts w:ascii="맑은 고딕" w:hAnsi="맑은 고딕" w:eastAsia="맑은 고딕" w:cs="맑은 고딕"/>
                <w:b w:val="0"/>
                <w:sz w:val="17"/>
              </w:rPr>
              <w:t>통합형 425(45.8%) · 접합 단독형 338(36.4%) · 공정 단독형 165(17.8%) · 제조공정 기호 보유 590(63.6%)</w:t>
            </w:r>
          </w:p>
        </w:tc>
        <w:tc>
          <w:tcPr>
            <w:tcW w:type="dxa" w:w="1814"/>
            <w:shd w:val="clear" w:color="auto" w:fill="F4F7FB"/>
          </w:tcPr>
          <w:p>
            <w:pPr>
              <w:spacing w:after="0"/>
            </w:pPr>
            <w:r/>
            <w:r>
              <w:rPr>
                <w:rFonts w:ascii="맑은 고딕" w:hAnsi="맑은 고딕" w:eastAsia="맑은 고딕" w:cs="맑은 고딕"/>
                <w:b w:val="0"/>
                <w:sz w:val="17"/>
              </w:rPr>
              <w:t>제4장 제3절(21쪽~), 제5장 제1절(30쪽~)</w:t>
            </w:r>
          </w:p>
        </w:tc>
      </w:tr>
      <w:tr>
        <w:tc>
          <w:tcPr>
            <w:tcW w:type="dxa" w:w="794"/>
          </w:tcPr>
          <w:p>
            <w:pPr>
              <w:spacing w:after="0"/>
            </w:pPr>
            <w:r/>
            <w:r>
              <w:rPr>
                <w:rFonts w:ascii="맑은 고딕" w:hAnsi="맑은 고딕" w:eastAsia="맑은 고딕" w:cs="맑은 고딕"/>
                <w:b/>
                <w:sz w:val="17"/>
              </w:rPr>
              <w:t>RQ1</w:t>
            </w:r>
          </w:p>
        </w:tc>
        <w:tc>
          <w:tcPr>
            <w:tcW w:type="dxa" w:w="1814"/>
          </w:tcPr>
          <w:p>
            <w:pPr>
              <w:spacing w:after="0"/>
            </w:pPr>
            <w:r/>
            <w:r>
              <w:rPr>
                <w:rFonts w:ascii="맑은 고딕" w:hAnsi="맑은 고딕" w:eastAsia="맑은 고딕" w:cs="맑은 고딕"/>
                <w:b w:val="0"/>
                <w:sz w:val="17"/>
              </w:rPr>
              <w:t>좁은 정의(N = 908)</w:t>
            </w:r>
          </w:p>
        </w:tc>
        <w:tc>
          <w:tcPr>
            <w:tcW w:type="dxa" w:w="4989"/>
          </w:tcPr>
          <w:p>
            <w:pPr>
              <w:spacing w:after="0"/>
            </w:pPr>
            <w:r/>
            <w:r>
              <w:rPr>
                <w:rFonts w:ascii="맑은 고딕" w:hAnsi="맑은 고딕" w:eastAsia="맑은 고딕" w:cs="맑은 고딕"/>
                <w:b w:val="0"/>
                <w:sz w:val="17"/>
              </w:rPr>
              <w:t>접합 단독형 46.8% · 통합형 37.2% · 공정 단독형 16.0% (최다 유형이 바뀜)</w:t>
            </w:r>
          </w:p>
        </w:tc>
        <w:tc>
          <w:tcPr>
            <w:tcW w:type="dxa" w:w="1814"/>
          </w:tcPr>
          <w:p>
            <w:pPr>
              <w:spacing w:after="0"/>
            </w:pPr>
            <w:r/>
            <w:r>
              <w:rPr>
                <w:rFonts w:ascii="맑은 고딕" w:hAnsi="맑은 고딕" w:eastAsia="맑은 고딕" w:cs="맑은 고딕"/>
                <w:b w:val="0"/>
                <w:sz w:val="17"/>
              </w:rPr>
              <w:t>제5장 제4절(36쪽~)</w:t>
            </w:r>
          </w:p>
        </w:tc>
      </w:tr>
      <w:tr>
        <w:tc>
          <w:tcPr>
            <w:tcW w:type="dxa" w:w="794"/>
            <w:shd w:val="clear" w:color="auto" w:fill="F4F7FB"/>
          </w:tcPr>
          <w:p>
            <w:pPr>
              <w:spacing w:after="0"/>
            </w:pPr>
            <w:r/>
            <w:r>
              <w:rPr>
                <w:rFonts w:ascii="맑은 고딕" w:hAnsi="맑은 고딕" w:eastAsia="맑은 고딕" w:cs="맑은 고딕"/>
                <w:b/>
                <w:sz w:val="17"/>
              </w:rPr>
              <w:t>RQ1</w:t>
            </w:r>
          </w:p>
        </w:tc>
        <w:tc>
          <w:tcPr>
            <w:tcW w:type="dxa" w:w="1814"/>
            <w:shd w:val="clear" w:color="auto" w:fill="F4F7FB"/>
          </w:tcPr>
          <w:p>
            <w:pPr>
              <w:spacing w:after="0"/>
            </w:pPr>
            <w:r/>
            <w:r>
              <w:rPr>
                <w:rFonts w:ascii="맑은 고딕" w:hAnsi="맑은 고딕" w:eastAsia="맑은 고딕" w:cs="맑은 고딕"/>
                <w:b w:val="0"/>
                <w:sz w:val="17"/>
              </w:rPr>
              <w:t>다항 로짓</w:t>
            </w:r>
          </w:p>
        </w:tc>
        <w:tc>
          <w:tcPr>
            <w:tcW w:type="dxa" w:w="4989"/>
            <w:shd w:val="clear" w:color="auto" w:fill="F4F7FB"/>
          </w:tcPr>
          <w:p>
            <w:pPr>
              <w:spacing w:after="0"/>
            </w:pPr>
            <w:r/>
            <w:r>
              <w:rPr>
                <w:rFonts w:ascii="맑은 고딕" w:hAnsi="맑은 고딕" w:eastAsia="맑은 고딕" w:cs="맑은 고딕"/>
                <w:b w:val="0"/>
                <w:sz w:val="17"/>
              </w:rPr>
              <w:t>기술범위 → 통합형 RRR 1.403***(95% CI 1.321–1.489) · → 공정 단독형 0.905**</w:t>
            </w:r>
          </w:p>
        </w:tc>
        <w:tc>
          <w:tcPr>
            <w:tcW w:type="dxa" w:w="1814"/>
            <w:shd w:val="clear" w:color="auto" w:fill="F4F7FB"/>
          </w:tcPr>
          <w:p>
            <w:pPr>
              <w:spacing w:after="0"/>
            </w:pPr>
            <w:r/>
            <w:r>
              <w:rPr>
                <w:rFonts w:ascii="맑은 고딕" w:hAnsi="맑은 고딕" w:eastAsia="맑은 고딕" w:cs="맑은 고딕"/>
                <w:b w:val="0"/>
                <w:sz w:val="17"/>
              </w:rPr>
              <w:t>표 9(31쪽)</w:t>
            </w:r>
          </w:p>
        </w:tc>
      </w:tr>
      <w:tr>
        <w:tc>
          <w:tcPr>
            <w:tcW w:type="dxa" w:w="794"/>
          </w:tcPr>
          <w:p>
            <w:pPr>
              <w:spacing w:after="0"/>
            </w:pPr>
            <w:r/>
            <w:r>
              <w:rPr>
                <w:rFonts w:ascii="맑은 고딕" w:hAnsi="맑은 고딕" w:eastAsia="맑은 고딕" w:cs="맑은 고딕"/>
                <w:b/>
                <w:sz w:val="17"/>
              </w:rPr>
              <w:t>RQ1</w:t>
            </w:r>
          </w:p>
        </w:tc>
        <w:tc>
          <w:tcPr>
            <w:tcW w:type="dxa" w:w="1814"/>
          </w:tcPr>
          <w:p>
            <w:pPr>
              <w:spacing w:after="0"/>
            </w:pPr>
            <w:r/>
            <w:r>
              <w:rPr>
                <w:rFonts w:ascii="맑은 고딕" w:hAnsi="맑은 고딕" w:eastAsia="맑은 고딕" w:cs="맑은 고딕"/>
                <w:b w:val="0"/>
                <w:sz w:val="17"/>
              </w:rPr>
              <w:t>이항 로짓</w:t>
            </w:r>
          </w:p>
        </w:tc>
        <w:tc>
          <w:tcPr>
            <w:tcW w:type="dxa" w:w="4989"/>
          </w:tcPr>
          <w:p>
            <w:pPr>
              <w:spacing w:after="0"/>
            </w:pPr>
            <w:r/>
            <w:r>
              <w:rPr>
                <w:rFonts w:ascii="맑은 고딕" w:hAnsi="맑은 고딕" w:eastAsia="맑은 고딕" w:cs="맑은 고딕"/>
                <w:b w:val="0"/>
                <w:sz w:val="17"/>
              </w:rPr>
              <w:t>기술범위 OR 1.267*** · 출원연도 OR 0.946*** · AUC 0.707 · 의사 R² 0.100</w:t>
            </w:r>
          </w:p>
        </w:tc>
        <w:tc>
          <w:tcPr>
            <w:tcW w:type="dxa" w:w="1814"/>
          </w:tcPr>
          <w:p>
            <w:pPr>
              <w:spacing w:after="0"/>
            </w:pPr>
            <w:r/>
            <w:r>
              <w:rPr>
                <w:rFonts w:ascii="맑은 고딕" w:hAnsi="맑은 고딕" w:eastAsia="맑은 고딕" w:cs="맑은 고딕"/>
                <w:b w:val="0"/>
                <w:sz w:val="17"/>
              </w:rPr>
              <w:t>표 8(30쪽)</w:t>
            </w:r>
          </w:p>
        </w:tc>
      </w:tr>
      <w:tr>
        <w:tc>
          <w:tcPr>
            <w:tcW w:type="dxa" w:w="794"/>
            <w:shd w:val="clear" w:color="auto" w:fill="F4F7FB"/>
          </w:tcPr>
          <w:p>
            <w:pPr>
              <w:spacing w:after="0"/>
            </w:pPr>
            <w:r/>
            <w:r>
              <w:rPr>
                <w:rFonts w:ascii="맑은 고딕" w:hAnsi="맑은 고딕" w:eastAsia="맑은 고딕" w:cs="맑은 고딕"/>
                <w:b/>
                <w:sz w:val="17"/>
              </w:rPr>
              <w:t>RQ1</w:t>
            </w:r>
          </w:p>
        </w:tc>
        <w:tc>
          <w:tcPr>
            <w:tcW w:type="dxa" w:w="1814"/>
            <w:shd w:val="clear" w:color="auto" w:fill="F4F7FB"/>
          </w:tcPr>
          <w:p>
            <w:pPr>
              <w:spacing w:after="0"/>
            </w:pPr>
            <w:r/>
            <w:r>
              <w:rPr>
                <w:rFonts w:ascii="맑은 고딕" w:hAnsi="맑은 고딕" w:eastAsia="맑은 고딕" w:cs="맑은 고딕"/>
                <w:b w:val="0"/>
                <w:sz w:val="17"/>
              </w:rPr>
              <w:t>예측확률</w:t>
            </w:r>
          </w:p>
        </w:tc>
        <w:tc>
          <w:tcPr>
            <w:tcW w:type="dxa" w:w="4989"/>
            <w:shd w:val="clear" w:color="auto" w:fill="F4F7FB"/>
          </w:tcPr>
          <w:p>
            <w:pPr>
              <w:spacing w:after="0"/>
            </w:pPr>
            <w:r/>
            <w:r>
              <w:rPr>
                <w:rFonts w:ascii="맑은 고딕" w:hAnsi="맑은 고딕" w:eastAsia="맑은 고딕" w:cs="맑은 고딕"/>
                <w:b w:val="0"/>
                <w:sz w:val="17"/>
              </w:rPr>
              <w:t>범위 3: 통합형 0.26 · 접합 단독형 0.50 · 공정 단독형 0.24 / 범위 8: 0.68 · 0.24 · 0.08</w:t>
            </w:r>
          </w:p>
        </w:tc>
        <w:tc>
          <w:tcPr>
            <w:tcW w:type="dxa" w:w="1814"/>
            <w:shd w:val="clear" w:color="auto" w:fill="F4F7FB"/>
          </w:tcPr>
          <w:p>
            <w:pPr>
              <w:spacing w:after="0"/>
            </w:pPr>
            <w:r/>
            <w:r>
              <w:rPr>
                <w:rFonts w:ascii="맑은 고딕" w:hAnsi="맑은 고딕" w:eastAsia="맑은 고딕" w:cs="맑은 고딕"/>
                <w:b w:val="0"/>
                <w:sz w:val="17"/>
              </w:rPr>
              <w:t>제5장 제1절(30쪽~), 그림 5(31쪽)</w:t>
            </w:r>
          </w:p>
        </w:tc>
      </w:tr>
      <w:tr>
        <w:tc>
          <w:tcPr>
            <w:tcW w:type="dxa" w:w="794"/>
          </w:tcPr>
          <w:p>
            <w:pPr>
              <w:spacing w:after="0"/>
            </w:pPr>
            <w:r/>
            <w:r>
              <w:rPr>
                <w:rFonts w:ascii="맑은 고딕" w:hAnsi="맑은 고딕" w:eastAsia="맑은 고딕" w:cs="맑은 고딕"/>
                <w:b/>
                <w:sz w:val="17"/>
              </w:rPr>
              <w:t>RQ1</w:t>
            </w:r>
          </w:p>
        </w:tc>
        <w:tc>
          <w:tcPr>
            <w:tcW w:type="dxa" w:w="1814"/>
          </w:tcPr>
          <w:p>
            <w:pPr>
              <w:spacing w:after="0"/>
            </w:pPr>
            <w:r/>
            <w:r>
              <w:rPr>
                <w:rFonts w:ascii="맑은 고딕" w:hAnsi="맑은 고딕" w:eastAsia="맑은 고딕" w:cs="맑은 고딕"/>
                <w:b w:val="0"/>
                <w:sz w:val="17"/>
              </w:rPr>
              <w:t>최소치 조정</w:t>
            </w:r>
          </w:p>
        </w:tc>
        <w:tc>
          <w:tcPr>
            <w:tcW w:type="dxa" w:w="4989"/>
          </w:tcPr>
          <w:p>
            <w:pPr>
              <w:spacing w:after="0"/>
            </w:pPr>
            <w:r/>
            <w:r>
              <w:rPr>
                <w:rFonts w:ascii="맑은 고딕" w:hAnsi="맑은 고딕" w:eastAsia="맑은 고딕" w:cs="맑은 고딕"/>
                <w:b w:val="0"/>
                <w:sz w:val="17"/>
              </w:rPr>
              <w:t>breadth_adj로 통합형 RRR 1.403 → 1.262 (방향 유지)</w:t>
            </w:r>
          </w:p>
        </w:tc>
        <w:tc>
          <w:tcPr>
            <w:tcW w:type="dxa" w:w="1814"/>
          </w:tcPr>
          <w:p>
            <w:pPr>
              <w:spacing w:after="0"/>
            </w:pPr>
            <w:r/>
            <w:r>
              <w:rPr>
                <w:rFonts w:ascii="맑은 고딕" w:hAnsi="맑은 고딕" w:eastAsia="맑은 고딕" w:cs="맑은 고딕"/>
                <w:b w:val="0"/>
                <w:sz w:val="17"/>
              </w:rPr>
              <w:t>제5장 제4절(36쪽~)</w:t>
            </w:r>
          </w:p>
        </w:tc>
      </w:tr>
      <w:tr>
        <w:tc>
          <w:tcPr>
            <w:tcW w:type="dxa" w:w="794"/>
            <w:shd w:val="clear" w:color="auto" w:fill="F4F7FB"/>
          </w:tcPr>
          <w:p>
            <w:pPr>
              <w:spacing w:after="0"/>
            </w:pPr>
            <w:r/>
            <w:r>
              <w:rPr>
                <w:rFonts w:ascii="맑은 고딕" w:hAnsi="맑은 고딕" w:eastAsia="맑은 고딕" w:cs="맑은 고딕"/>
                <w:b/>
                <w:sz w:val="17"/>
              </w:rPr>
              <w:t>RQ2</w:t>
            </w:r>
          </w:p>
        </w:tc>
        <w:tc>
          <w:tcPr>
            <w:tcW w:type="dxa" w:w="1814"/>
            <w:shd w:val="clear" w:color="auto" w:fill="F4F7FB"/>
          </w:tcPr>
          <w:p>
            <w:pPr>
              <w:spacing w:after="0"/>
            </w:pPr>
            <w:r/>
            <w:r>
              <w:rPr>
                <w:rFonts w:ascii="맑은 고딕" w:hAnsi="맑은 고딕" w:eastAsia="맑은 고딕" w:cs="맑은 고딕"/>
                <w:b w:val="0"/>
                <w:sz w:val="17"/>
              </w:rPr>
              <w:t>시기별 유형 비중</w:t>
            </w:r>
          </w:p>
        </w:tc>
        <w:tc>
          <w:tcPr>
            <w:tcW w:type="dxa" w:w="4989"/>
            <w:shd w:val="clear" w:color="auto" w:fill="F4F7FB"/>
          </w:tcPr>
          <w:p>
            <w:pPr>
              <w:spacing w:after="0"/>
            </w:pPr>
            <w:r/>
            <w:r>
              <w:rPr>
                <w:rFonts w:ascii="맑은 고딕" w:hAnsi="맑은 고딕" w:eastAsia="맑은 고딕" w:cs="맑은 고딕"/>
                <w:b w:val="0"/>
                <w:sz w:val="17"/>
              </w:rPr>
              <w:t>형성기 공정 단독형 43.6 · 통합형 31.3 · 접합 단독형 25.1 / 확산기 14.8 · 62.2 · 23.0 / 재편기 10.4 · 44.3 · 45.4 (%)</w:t>
            </w:r>
          </w:p>
        </w:tc>
        <w:tc>
          <w:tcPr>
            <w:tcW w:type="dxa" w:w="1814"/>
            <w:shd w:val="clear" w:color="auto" w:fill="F4F7FB"/>
          </w:tcPr>
          <w:p>
            <w:pPr>
              <w:spacing w:after="0"/>
            </w:pPr>
            <w:r/>
            <w:r>
              <w:rPr>
                <w:rFonts w:ascii="맑은 고딕" w:hAnsi="맑은 고딕" w:eastAsia="맑은 고딕" w:cs="맑은 고딕"/>
                <w:b w:val="0"/>
                <w:sz w:val="17"/>
              </w:rPr>
              <w:t>표 10(32쪽)</w:t>
            </w:r>
          </w:p>
        </w:tc>
      </w:tr>
      <w:tr>
        <w:tc>
          <w:tcPr>
            <w:tcW w:type="dxa" w:w="794"/>
          </w:tcPr>
          <w:p>
            <w:pPr>
              <w:spacing w:after="0"/>
            </w:pPr>
            <w:r/>
            <w:r>
              <w:rPr>
                <w:rFonts w:ascii="맑은 고딕" w:hAnsi="맑은 고딕" w:eastAsia="맑은 고딕" w:cs="맑은 고딕"/>
                <w:b/>
                <w:sz w:val="17"/>
              </w:rPr>
              <w:t>RQ2</w:t>
            </w:r>
          </w:p>
        </w:tc>
        <w:tc>
          <w:tcPr>
            <w:tcW w:type="dxa" w:w="1814"/>
          </w:tcPr>
          <w:p>
            <w:pPr>
              <w:spacing w:after="0"/>
            </w:pPr>
            <w:r/>
            <w:r>
              <w:rPr>
                <w:rFonts w:ascii="맑은 고딕" w:hAnsi="맑은 고딕" w:eastAsia="맑은 고딕" w:cs="맑은 고딕"/>
                <w:b w:val="0"/>
                <w:sz w:val="17"/>
              </w:rPr>
              <w:t>연도 효과</w:t>
            </w:r>
          </w:p>
        </w:tc>
        <w:tc>
          <w:tcPr>
            <w:tcW w:type="dxa" w:w="4989"/>
          </w:tcPr>
          <w:p>
            <w:pPr>
              <w:spacing w:after="0"/>
            </w:pPr>
            <w:r/>
            <w:r>
              <w:rPr>
                <w:rFonts w:ascii="맑은 고딕" w:hAnsi="맑은 고딕" w:eastAsia="맑은 고딕" w:cs="맑은 고딕"/>
                <w:b w:val="0"/>
                <w:sz w:val="17"/>
              </w:rPr>
              <w:t>출원연도 → 공정 단독형 RRR 0.913***(연 8.7% 감소, 95% CI 0.887–0.940) · → 통합형 0.993(비유의)</w:t>
            </w:r>
          </w:p>
        </w:tc>
        <w:tc>
          <w:tcPr>
            <w:tcW w:type="dxa" w:w="1814"/>
          </w:tcPr>
          <w:p>
            <w:pPr>
              <w:spacing w:after="0"/>
            </w:pPr>
            <w:r/>
            <w:r>
              <w:rPr>
                <w:rFonts w:ascii="맑은 고딕" w:hAnsi="맑은 고딕" w:eastAsia="맑은 고딕" w:cs="맑은 고딕"/>
                <w:b w:val="0"/>
                <w:sz w:val="17"/>
              </w:rPr>
              <w:t>표 9(31쪽)</w:t>
            </w:r>
          </w:p>
        </w:tc>
      </w:tr>
      <w:tr>
        <w:tc>
          <w:tcPr>
            <w:tcW w:type="dxa" w:w="794"/>
            <w:shd w:val="clear" w:color="auto" w:fill="F4F7FB"/>
          </w:tcPr>
          <w:p>
            <w:pPr>
              <w:spacing w:after="0"/>
            </w:pPr>
            <w:r/>
            <w:r>
              <w:rPr>
                <w:rFonts w:ascii="맑은 고딕" w:hAnsi="맑은 고딕" w:eastAsia="맑은 고딕" w:cs="맑은 고딕"/>
                <w:b/>
                <w:sz w:val="17"/>
              </w:rPr>
              <w:t>RQ2</w:t>
            </w:r>
          </w:p>
        </w:tc>
        <w:tc>
          <w:tcPr>
            <w:tcW w:type="dxa" w:w="1814"/>
            <w:shd w:val="clear" w:color="auto" w:fill="F4F7FB"/>
          </w:tcPr>
          <w:p>
            <w:pPr>
              <w:spacing w:after="0"/>
            </w:pPr>
            <w:r/>
            <w:r>
              <w:rPr>
                <w:rFonts w:ascii="맑은 고딕" w:hAnsi="맑은 고딕" w:eastAsia="맑은 고딕" w:cs="맑은 고딕"/>
                <w:b w:val="0"/>
                <w:sz w:val="17"/>
              </w:rPr>
              <w:t>기간 더미</w:t>
            </w:r>
          </w:p>
        </w:tc>
        <w:tc>
          <w:tcPr>
            <w:tcW w:type="dxa" w:w="4989"/>
            <w:shd w:val="clear" w:color="auto" w:fill="F4F7FB"/>
          </w:tcPr>
          <w:p>
            <w:pPr>
              <w:spacing w:after="0"/>
            </w:pPr>
            <w:r/>
            <w:r>
              <w:rPr>
                <w:rFonts w:ascii="맑은 고딕" w:hAnsi="맑은 고딕" w:eastAsia="맑은 고딕" w:cs="맑은 고딕"/>
                <w:b w:val="0"/>
                <w:sz w:val="17"/>
              </w:rPr>
              <w:t>공정 단독형 0.273***(2015–19) · 0.101***(2020–24) / 통합형 1.707(p = 0.09) · 0.762(비유의)</w:t>
            </w:r>
          </w:p>
        </w:tc>
        <w:tc>
          <w:tcPr>
            <w:tcW w:type="dxa" w:w="1814"/>
            <w:shd w:val="clear" w:color="auto" w:fill="F4F7FB"/>
          </w:tcPr>
          <w:p>
            <w:pPr>
              <w:spacing w:after="0"/>
            </w:pPr>
            <w:r/>
            <w:r>
              <w:rPr>
                <w:rFonts w:ascii="맑은 고딕" w:hAnsi="맑은 고딕" w:eastAsia="맑은 고딕" w:cs="맑은 고딕"/>
                <w:b w:val="0"/>
                <w:sz w:val="17"/>
              </w:rPr>
              <w:t>제5장 제2절(31쪽~)</w:t>
            </w:r>
          </w:p>
        </w:tc>
      </w:tr>
      <w:tr>
        <w:tc>
          <w:tcPr>
            <w:tcW w:type="dxa" w:w="794"/>
          </w:tcPr>
          <w:p>
            <w:pPr>
              <w:spacing w:after="0"/>
            </w:pPr>
            <w:r/>
            <w:r>
              <w:rPr>
                <w:rFonts w:ascii="맑은 고딕" w:hAnsi="맑은 고딕" w:eastAsia="맑은 고딕" w:cs="맑은 고딕"/>
                <w:b/>
                <w:sz w:val="17"/>
              </w:rPr>
              <w:t>RQ2</w:t>
            </w:r>
          </w:p>
        </w:tc>
        <w:tc>
          <w:tcPr>
            <w:tcW w:type="dxa" w:w="1814"/>
          </w:tcPr>
          <w:p>
            <w:pPr>
              <w:spacing w:after="0"/>
            </w:pPr>
            <w:r/>
            <w:r>
              <w:rPr>
                <w:rFonts w:ascii="맑은 고딕" w:hAnsi="맑은 고딕" w:eastAsia="맑은 고딕" w:cs="맑은 고딕"/>
                <w:b w:val="0"/>
                <w:sz w:val="17"/>
              </w:rPr>
              <w:t>연도별 예측확률</w:t>
            </w:r>
          </w:p>
        </w:tc>
        <w:tc>
          <w:tcPr>
            <w:tcW w:type="dxa" w:w="4989"/>
          </w:tcPr>
          <w:p>
            <w:pPr>
              <w:spacing w:after="0"/>
            </w:pPr>
            <w:r/>
            <w:r>
              <w:rPr>
                <w:rFonts w:ascii="맑은 고딕" w:hAnsi="맑은 고딕" w:eastAsia="맑은 고딕" w:cs="맑은 고딕"/>
                <w:b w:val="0"/>
                <w:sz w:val="17"/>
              </w:rPr>
              <w:t>2010 → 2022: 공정 단독형 0.27 → 0.12 · 접합 단독형 0.31 → 0.40 · 통합형 0.43 → 0.47</w:t>
            </w:r>
          </w:p>
        </w:tc>
        <w:tc>
          <w:tcPr>
            <w:tcW w:type="dxa" w:w="1814"/>
          </w:tcPr>
          <w:p>
            <w:pPr>
              <w:spacing w:after="0"/>
            </w:pPr>
            <w:r/>
            <w:r>
              <w:rPr>
                <w:rFonts w:ascii="맑은 고딕" w:hAnsi="맑은 고딕" w:eastAsia="맑은 고딕" w:cs="맑은 고딕"/>
                <w:b w:val="0"/>
                <w:sz w:val="17"/>
              </w:rPr>
              <w:t>제5장 제2절(31쪽~), 그림 5(31쪽)</w:t>
            </w:r>
          </w:p>
        </w:tc>
      </w:tr>
      <w:tr>
        <w:tc>
          <w:tcPr>
            <w:tcW w:type="dxa" w:w="794"/>
            <w:shd w:val="clear" w:color="auto" w:fill="F4F7FB"/>
          </w:tcPr>
          <w:p>
            <w:pPr>
              <w:spacing w:after="0"/>
            </w:pPr>
            <w:r/>
            <w:r>
              <w:rPr>
                <w:rFonts w:ascii="맑은 고딕" w:hAnsi="맑은 고딕" w:eastAsia="맑은 고딕" w:cs="맑은 고딕"/>
                <w:b/>
                <w:sz w:val="17"/>
              </w:rPr>
              <w:t>RQ2</w:t>
            </w:r>
          </w:p>
        </w:tc>
        <w:tc>
          <w:tcPr>
            <w:tcW w:type="dxa" w:w="1814"/>
            <w:shd w:val="clear" w:color="auto" w:fill="F4F7FB"/>
          </w:tcPr>
          <w:p>
            <w:pPr>
              <w:spacing w:after="0"/>
            </w:pPr>
            <w:r/>
            <w:r>
              <w:rPr>
                <w:rFonts w:ascii="맑은 고딕" w:hAnsi="맑은 고딕" w:eastAsia="맑은 고딕" w:cs="맑은 고딕"/>
                <w:b w:val="0"/>
                <w:sz w:val="17"/>
              </w:rPr>
              <w:t>국면별 기술범위</w:t>
            </w:r>
          </w:p>
        </w:tc>
        <w:tc>
          <w:tcPr>
            <w:tcW w:type="dxa" w:w="4989"/>
            <w:shd w:val="clear" w:color="auto" w:fill="F4F7FB"/>
          </w:tcPr>
          <w:p>
            <w:pPr>
              <w:spacing w:after="0"/>
            </w:pPr>
            <w:r/>
            <w:r>
              <w:rPr>
                <w:rFonts w:ascii="맑은 고딕" w:hAnsi="맑은 고딕" w:eastAsia="맑은 고딕" w:cs="맑은 고딕"/>
                <w:b w:val="0"/>
                <w:sz w:val="17"/>
              </w:rPr>
              <w:t>통합형 RRR 형성기 1.179 · 확산기 1.513 · 재편기 1.414 (모두 1% 유의)</w:t>
            </w:r>
          </w:p>
        </w:tc>
        <w:tc>
          <w:tcPr>
            <w:tcW w:type="dxa" w:w="1814"/>
            <w:shd w:val="clear" w:color="auto" w:fill="F4F7FB"/>
          </w:tcPr>
          <w:p>
            <w:pPr>
              <w:spacing w:after="0"/>
            </w:pPr>
            <w:r/>
            <w:r>
              <w:rPr>
                <w:rFonts w:ascii="맑은 고딕" w:hAnsi="맑은 고딕" w:eastAsia="맑은 고딕" w:cs="맑은 고딕"/>
                <w:b w:val="0"/>
                <w:sz w:val="17"/>
              </w:rPr>
              <w:t>제5장 제2절(31쪽~)</w:t>
            </w:r>
          </w:p>
        </w:tc>
      </w:tr>
      <w:tr>
        <w:tc>
          <w:tcPr>
            <w:tcW w:type="dxa" w:w="794"/>
          </w:tcPr>
          <w:p>
            <w:pPr>
              <w:spacing w:after="0"/>
            </w:pPr>
            <w:r/>
            <w:r>
              <w:rPr>
                <w:rFonts w:ascii="맑은 고딕" w:hAnsi="맑은 고딕" w:eastAsia="맑은 고딕" w:cs="맑은 고딕"/>
                <w:b/>
                <w:sz w:val="17"/>
              </w:rPr>
              <w:t>RQ2</w:t>
            </w:r>
          </w:p>
        </w:tc>
        <w:tc>
          <w:tcPr>
            <w:tcW w:type="dxa" w:w="1814"/>
          </w:tcPr>
          <w:p>
            <w:pPr>
              <w:spacing w:after="0"/>
            </w:pPr>
            <w:r/>
            <w:r>
              <w:rPr>
                <w:rFonts w:ascii="맑은 고딕" w:hAnsi="맑은 고딕" w:eastAsia="맑은 고딕" w:cs="맑은 고딕"/>
                <w:b w:val="0"/>
                <w:sz w:val="17"/>
              </w:rPr>
              <w:t>2010년 이후(N = 830)</w:t>
            </w:r>
          </w:p>
        </w:tc>
        <w:tc>
          <w:tcPr>
            <w:tcW w:type="dxa" w:w="4989"/>
          </w:tcPr>
          <w:p>
            <w:pPr>
              <w:spacing w:after="0"/>
            </w:pPr>
            <w:r/>
            <w:r>
              <w:rPr>
                <w:rFonts w:ascii="맑은 고딕" w:hAnsi="맑은 고딕" w:eastAsia="맑은 고딕" w:cs="맑은 고딕"/>
                <w:b w:val="0"/>
                <w:sz w:val="17"/>
              </w:rPr>
              <w:t>통합형 연도 RRR 0.934 (p &lt; 0.05)</w:t>
            </w:r>
          </w:p>
        </w:tc>
        <w:tc>
          <w:tcPr>
            <w:tcW w:type="dxa" w:w="1814"/>
          </w:tcPr>
          <w:p>
            <w:pPr>
              <w:spacing w:after="0"/>
            </w:pPr>
            <w:r/>
            <w:r>
              <w:rPr>
                <w:rFonts w:ascii="맑은 고딕" w:hAnsi="맑은 고딕" w:eastAsia="맑은 고딕" w:cs="맑은 고딕"/>
                <w:b w:val="0"/>
                <w:sz w:val="17"/>
              </w:rPr>
              <w:t>제5장 제2절(31쪽~)</w:t>
            </w:r>
          </w:p>
        </w:tc>
      </w:tr>
      <w:tr>
        <w:tc>
          <w:tcPr>
            <w:tcW w:type="dxa" w:w="794"/>
            <w:shd w:val="clear" w:color="auto" w:fill="F4F7FB"/>
          </w:tcPr>
          <w:p>
            <w:pPr>
              <w:spacing w:after="0"/>
            </w:pPr>
            <w:r/>
            <w:r>
              <w:rPr>
                <w:rFonts w:ascii="맑은 고딕" w:hAnsi="맑은 고딕" w:eastAsia="맑은 고딕" w:cs="맑은 고딕"/>
                <w:b/>
                <w:sz w:val="17"/>
              </w:rPr>
              <w:t>RQ3</w:t>
            </w:r>
          </w:p>
        </w:tc>
        <w:tc>
          <w:tcPr>
            <w:tcW w:type="dxa" w:w="1814"/>
            <w:shd w:val="clear" w:color="auto" w:fill="F4F7FB"/>
          </w:tcPr>
          <w:p>
            <w:pPr>
              <w:spacing w:after="0"/>
            </w:pPr>
            <w:r/>
            <w:r>
              <w:rPr>
                <w:rFonts w:ascii="맑은 고딕" w:hAnsi="맑은 고딕" w:eastAsia="맑은 고딕" w:cs="맑은 고딕"/>
                <w:b w:val="0"/>
                <w:sz w:val="17"/>
              </w:rPr>
              <w:t>시기별 통합형 비중</w:t>
            </w:r>
          </w:p>
        </w:tc>
        <w:tc>
          <w:tcPr>
            <w:tcW w:type="dxa" w:w="4989"/>
            <w:shd w:val="clear" w:color="auto" w:fill="F4F7FB"/>
          </w:tcPr>
          <w:p>
            <w:pPr>
              <w:spacing w:after="0"/>
            </w:pPr>
            <w:r/>
            <w:r>
              <w:rPr>
                <w:rFonts w:ascii="맑은 고딕" w:hAnsi="맑은 고딕" w:eastAsia="맑은 고딕" w:cs="맑은 고딕"/>
                <w:b w:val="0"/>
                <w:sz w:val="17"/>
              </w:rPr>
              <w:t>핵심 보유 79.6 → 77.1 → 48.4 / 핵심 없음 27.7 → 57.9 → 56.9 (%)</w:t>
            </w:r>
          </w:p>
        </w:tc>
        <w:tc>
          <w:tcPr>
            <w:tcW w:type="dxa" w:w="1814"/>
            <w:shd w:val="clear" w:color="auto" w:fill="F4F7FB"/>
          </w:tcPr>
          <w:p>
            <w:pPr>
              <w:spacing w:after="0"/>
            </w:pPr>
            <w:r/>
            <w:r>
              <w:rPr>
                <w:rFonts w:ascii="맑은 고딕" w:hAnsi="맑은 고딕" w:eastAsia="맑은 고딕" w:cs="맑은 고딕"/>
                <w:b w:val="0"/>
                <w:sz w:val="17"/>
              </w:rPr>
              <w:t>표 11(34쪽)</w:t>
            </w:r>
          </w:p>
        </w:tc>
      </w:tr>
      <w:tr>
        <w:tc>
          <w:tcPr>
            <w:tcW w:type="dxa" w:w="794"/>
          </w:tcPr>
          <w:p>
            <w:pPr>
              <w:spacing w:after="0"/>
            </w:pPr>
            <w:r/>
            <w:r>
              <w:rPr>
                <w:rFonts w:ascii="맑은 고딕" w:hAnsi="맑은 고딕" w:eastAsia="맑은 고딕" w:cs="맑은 고딕"/>
                <w:b/>
                <w:sz w:val="17"/>
              </w:rPr>
              <w:t>RQ3</w:t>
            </w:r>
          </w:p>
        </w:tc>
        <w:tc>
          <w:tcPr>
            <w:tcW w:type="dxa" w:w="1814"/>
          </w:tcPr>
          <w:p>
            <w:pPr>
              <w:spacing w:after="0"/>
            </w:pPr>
            <w:r/>
            <w:r>
              <w:rPr>
                <w:rFonts w:ascii="맑은 고딕" w:hAnsi="맑은 고딕" w:eastAsia="맑은 고딕" w:cs="맑은 고딕"/>
                <w:b w:val="0"/>
                <w:sz w:val="17"/>
              </w:rPr>
              <w:t>핵심 기술의 승산비</w:t>
            </w:r>
          </w:p>
        </w:tc>
        <w:tc>
          <w:tcPr>
            <w:tcW w:type="dxa" w:w="4989"/>
          </w:tcPr>
          <w:p>
            <w:pPr>
              <w:spacing w:after="0"/>
            </w:pPr>
            <w:r/>
            <w:r>
              <w:rPr>
                <w:rFonts w:ascii="맑은 고딕" w:hAnsi="맑은 고딕" w:eastAsia="맑은 고딕" w:cs="맑은 고딕"/>
                <w:b w:val="0"/>
                <w:sz w:val="17"/>
              </w:rPr>
              <w:t>11.071***(4.211–29.107) → 2.452**(1.158–5.194) → 0.658(0.374–1.160, p = 0.148)</w:t>
            </w:r>
          </w:p>
        </w:tc>
        <w:tc>
          <w:tcPr>
            <w:tcW w:type="dxa" w:w="1814"/>
          </w:tcPr>
          <w:p>
            <w:pPr>
              <w:spacing w:after="0"/>
            </w:pPr>
            <w:r/>
            <w:r>
              <w:rPr>
                <w:rFonts w:ascii="맑은 고딕" w:hAnsi="맑은 고딕" w:eastAsia="맑은 고딕" w:cs="맑은 고딕"/>
                <w:b w:val="0"/>
                <w:sz w:val="17"/>
              </w:rPr>
              <w:t>표 11(34쪽)</w:t>
            </w:r>
          </w:p>
        </w:tc>
      </w:tr>
      <w:tr>
        <w:tc>
          <w:tcPr>
            <w:tcW w:type="dxa" w:w="794"/>
            <w:shd w:val="clear" w:color="auto" w:fill="F4F7FB"/>
          </w:tcPr>
          <w:p>
            <w:pPr>
              <w:spacing w:after="0"/>
            </w:pPr>
            <w:r/>
            <w:r>
              <w:rPr>
                <w:rFonts w:ascii="맑은 고딕" w:hAnsi="맑은 고딕" w:eastAsia="맑은 고딕" w:cs="맑은 고딕"/>
                <w:b/>
                <w:sz w:val="17"/>
              </w:rPr>
              <w:t>RQ3</w:t>
            </w:r>
          </w:p>
        </w:tc>
        <w:tc>
          <w:tcPr>
            <w:tcW w:type="dxa" w:w="1814"/>
            <w:shd w:val="clear" w:color="auto" w:fill="F4F7FB"/>
          </w:tcPr>
          <w:p>
            <w:pPr>
              <w:spacing w:after="0"/>
            </w:pPr>
            <w:r/>
            <w:r>
              <w:rPr>
                <w:rFonts w:ascii="맑은 고딕" w:hAnsi="맑은 고딕" w:eastAsia="맑은 고딕" w:cs="맑은 고딕"/>
                <w:b w:val="0"/>
                <w:sz w:val="17"/>
              </w:rPr>
              <w:t>상호작용</w:t>
            </w:r>
          </w:p>
        </w:tc>
        <w:tc>
          <w:tcPr>
            <w:tcW w:type="dxa" w:w="4989"/>
            <w:shd w:val="clear" w:color="auto" w:fill="F4F7FB"/>
          </w:tcPr>
          <w:p>
            <w:pPr>
              <w:spacing w:after="0"/>
            </w:pPr>
            <w:r/>
            <w:r>
              <w:rPr>
                <w:rFonts w:ascii="맑은 고딕" w:hAnsi="맑은 고딕" w:eastAsia="맑은 고딕" w:cs="맑은 고딕"/>
                <w:b w:val="0"/>
                <w:sz w:val="17"/>
              </w:rPr>
              <w:t>2015–19: 0.221(p = 0.016) · 2020–24: 0.059(p &lt; 0.001) · 결합 Wald χ²(2) = 26.43 · 의사 R² 0.069</w:t>
            </w:r>
          </w:p>
        </w:tc>
        <w:tc>
          <w:tcPr>
            <w:tcW w:type="dxa" w:w="1814"/>
            <w:shd w:val="clear" w:color="auto" w:fill="F4F7FB"/>
          </w:tcPr>
          <w:p>
            <w:pPr>
              <w:spacing w:after="0"/>
            </w:pPr>
            <w:r/>
            <w:r>
              <w:rPr>
                <w:rFonts w:ascii="맑은 고딕" w:hAnsi="맑은 고딕" w:eastAsia="맑은 고딕" w:cs="맑은 고딕"/>
                <w:b w:val="0"/>
                <w:sz w:val="17"/>
              </w:rPr>
              <w:t>표 11(34쪽) 주</w:t>
            </w:r>
          </w:p>
        </w:tc>
      </w:tr>
      <w:tr>
        <w:tc>
          <w:tcPr>
            <w:tcW w:type="dxa" w:w="794"/>
          </w:tcPr>
          <w:p>
            <w:pPr>
              <w:spacing w:after="0"/>
            </w:pPr>
            <w:r/>
            <w:r>
              <w:rPr>
                <w:rFonts w:ascii="맑은 고딕" w:hAnsi="맑은 고딕" w:eastAsia="맑은 고딕" w:cs="맑은 고딕"/>
                <w:b/>
                <w:sz w:val="17"/>
              </w:rPr>
              <w:t>RQ3</w:t>
            </w:r>
          </w:p>
        </w:tc>
        <w:tc>
          <w:tcPr>
            <w:tcW w:type="dxa" w:w="1814"/>
          </w:tcPr>
          <w:p>
            <w:pPr>
              <w:spacing w:after="0"/>
            </w:pPr>
            <w:r/>
            <w:r>
              <w:rPr>
                <w:rFonts w:ascii="맑은 고딕" w:hAnsi="맑은 고딕" w:eastAsia="맑은 고딕" w:cs="맑은 고딕"/>
                <w:b w:val="0"/>
                <w:sz w:val="17"/>
              </w:rPr>
              <w:t>핵심 기술 비중</w:t>
            </w:r>
          </w:p>
        </w:tc>
        <w:tc>
          <w:tcPr>
            <w:tcW w:type="dxa" w:w="4989"/>
          </w:tcPr>
          <w:p>
            <w:pPr>
              <w:spacing w:after="0"/>
            </w:pPr>
            <w:r/>
            <w:r>
              <w:rPr>
                <w:rFonts w:ascii="맑은 고딕" w:hAnsi="맑은 고딕" w:eastAsia="맑은 고딕" w:cs="맑은 고딕"/>
                <w:b w:val="0"/>
                <w:sz w:val="17"/>
              </w:rPr>
              <w:t>접합 출원 중 53.5% → 78.7% → 88.0%</w:t>
            </w:r>
          </w:p>
        </w:tc>
        <w:tc>
          <w:tcPr>
            <w:tcW w:type="dxa" w:w="1814"/>
          </w:tcPr>
          <w:p>
            <w:pPr>
              <w:spacing w:after="0"/>
            </w:pPr>
            <w:r/>
            <w:r>
              <w:rPr>
                <w:rFonts w:ascii="맑은 고딕" w:hAnsi="맑은 고딕" w:eastAsia="맑은 고딕" w:cs="맑은 고딕"/>
                <w:b w:val="0"/>
                <w:sz w:val="17"/>
              </w:rPr>
              <w:t>제5장 제3절(33쪽~)</w:t>
            </w:r>
          </w:p>
        </w:tc>
      </w:tr>
      <w:tr>
        <w:tc>
          <w:tcPr>
            <w:tcW w:type="dxa" w:w="794"/>
            <w:shd w:val="clear" w:color="auto" w:fill="F4F7FB"/>
          </w:tcPr>
          <w:p>
            <w:pPr>
              <w:spacing w:after="0"/>
            </w:pPr>
            <w:r/>
            <w:r>
              <w:rPr>
                <w:rFonts w:ascii="맑은 고딕" w:hAnsi="맑은 고딕" w:eastAsia="맑은 고딕" w:cs="맑은 고딕"/>
                <w:b/>
                <w:sz w:val="17"/>
              </w:rPr>
              <w:t>RQ3</w:t>
            </w:r>
          </w:p>
        </w:tc>
        <w:tc>
          <w:tcPr>
            <w:tcW w:type="dxa" w:w="1814"/>
            <w:shd w:val="clear" w:color="auto" w:fill="F4F7FB"/>
          </w:tcPr>
          <w:p>
            <w:pPr>
              <w:spacing w:after="0"/>
            </w:pPr>
            <w:r/>
            <w:r>
              <w:rPr>
                <w:rFonts w:ascii="맑은 고딕" w:hAnsi="맑은 고딕" w:eastAsia="맑은 고딕" w:cs="맑은 고딕"/>
                <w:b w:val="0"/>
                <w:sz w:val="17"/>
              </w:rPr>
              <w:t>Jaccard(접합 기호와)</w:t>
            </w:r>
          </w:p>
        </w:tc>
        <w:tc>
          <w:tcPr>
            <w:tcW w:type="dxa" w:w="4989"/>
            <w:shd w:val="clear" w:color="auto" w:fill="F4F7FB"/>
          </w:tcPr>
          <w:p>
            <w:pPr>
              <w:spacing w:after="0"/>
            </w:pPr>
            <w:r/>
            <w:r>
              <w:rPr>
                <w:rFonts w:ascii="맑은 고딕" w:hAnsi="맑은 고딕" w:eastAsia="맑은 고딕" w:cs="맑은 고딕"/>
                <w:b w:val="0"/>
                <w:sz w:val="17"/>
              </w:rPr>
              <w:t>웨이퍼 0.306 → 0.598 → 0.159 · 장치 0.046 → 0.059 → 0.176 · 패키징 0.194 → 0.234 → 0.268</w:t>
            </w:r>
          </w:p>
        </w:tc>
        <w:tc>
          <w:tcPr>
            <w:tcW w:type="dxa" w:w="1814"/>
            <w:shd w:val="clear" w:color="auto" w:fill="F4F7FB"/>
          </w:tcPr>
          <w:p>
            <w:pPr>
              <w:spacing w:after="0"/>
            </w:pPr>
            <w:r/>
            <w:r>
              <w:rPr>
                <w:rFonts w:ascii="맑은 고딕" w:hAnsi="맑은 고딕" w:eastAsia="맑은 고딕" w:cs="맑은 고딕"/>
                <w:b w:val="0"/>
                <w:sz w:val="17"/>
              </w:rPr>
              <w:t>표 12(36쪽)</w:t>
            </w:r>
          </w:p>
        </w:tc>
      </w:tr>
      <w:tr>
        <w:tc>
          <w:tcPr>
            <w:tcW w:type="dxa" w:w="794"/>
          </w:tcPr>
          <w:p>
            <w:pPr>
              <w:spacing w:after="0"/>
            </w:pPr>
            <w:r/>
            <w:r>
              <w:rPr>
                <w:rFonts w:ascii="맑은 고딕" w:hAnsi="맑은 고딕" w:eastAsia="맑은 고딕" w:cs="맑은 고딕"/>
                <w:b/>
                <w:sz w:val="17"/>
              </w:rPr>
              <w:t>RQ3</w:t>
            </w:r>
          </w:p>
        </w:tc>
        <w:tc>
          <w:tcPr>
            <w:tcW w:type="dxa" w:w="1814"/>
          </w:tcPr>
          <w:p>
            <w:pPr>
              <w:spacing w:after="0"/>
            </w:pPr>
            <w:r/>
            <w:r>
              <w:rPr>
                <w:rFonts w:ascii="맑은 고딕" w:hAnsi="맑은 고딕" w:eastAsia="맑은 고딕" w:cs="맑은 고딕"/>
                <w:b w:val="0"/>
                <w:sz w:val="17"/>
              </w:rPr>
              <w:t>공출현 출원 수(확산 → 재편)</w:t>
            </w:r>
          </w:p>
        </w:tc>
        <w:tc>
          <w:tcPr>
            <w:tcW w:type="dxa" w:w="4989"/>
          </w:tcPr>
          <w:p>
            <w:pPr>
              <w:spacing w:after="0"/>
            </w:pPr>
            <w:r/>
            <w:r>
              <w:rPr>
                <w:rFonts w:ascii="맑은 고딕" w:hAnsi="맑은 고딕" w:eastAsia="맑은 고딕" w:cs="맑은 고딕"/>
                <w:b w:val="0"/>
                <w:sz w:val="17"/>
              </w:rPr>
              <w:t>웨이퍼 119 → 82 · 장치 11 → 89 · 패키징 43 → 139</w:t>
            </w:r>
          </w:p>
        </w:tc>
        <w:tc>
          <w:tcPr>
            <w:tcW w:type="dxa" w:w="1814"/>
          </w:tcPr>
          <w:p>
            <w:pPr>
              <w:spacing w:after="0"/>
            </w:pPr>
            <w:r/>
            <w:r>
              <w:rPr>
                <w:rFonts w:ascii="맑은 고딕" w:hAnsi="맑은 고딕" w:eastAsia="맑은 고딕" w:cs="맑은 고딕"/>
                <w:b w:val="0"/>
                <w:sz w:val="17"/>
              </w:rPr>
              <w:t>제5장 제3절(33쪽~)</w:t>
            </w:r>
          </w:p>
        </w:tc>
      </w:tr>
      <w:tr>
        <w:tc>
          <w:tcPr>
            <w:tcW w:type="dxa" w:w="794"/>
            <w:shd w:val="clear" w:color="auto" w:fill="F4F7FB"/>
          </w:tcPr>
          <w:p>
            <w:pPr>
              <w:spacing w:after="0"/>
            </w:pPr>
            <w:r/>
            <w:r>
              <w:rPr>
                <w:rFonts w:ascii="맑은 고딕" w:hAnsi="맑은 고딕" w:eastAsia="맑은 고딕" w:cs="맑은 고딕"/>
                <w:b/>
                <w:sz w:val="17"/>
              </w:rPr>
              <w:t>RQ3</w:t>
            </w:r>
          </w:p>
        </w:tc>
        <w:tc>
          <w:tcPr>
            <w:tcW w:type="dxa" w:w="1814"/>
            <w:shd w:val="clear" w:color="auto" w:fill="F4F7FB"/>
          </w:tcPr>
          <w:p>
            <w:pPr>
              <w:spacing w:after="0"/>
            </w:pPr>
            <w:r/>
            <w:r>
              <w:rPr>
                <w:rFonts w:ascii="맑은 고딕" w:hAnsi="맑은 고딕" w:eastAsia="맑은 고딕" w:cs="맑은 고딕"/>
                <w:b w:val="0"/>
                <w:sz w:val="17"/>
              </w:rPr>
              <w:t>매개 중심성 비중</w:t>
            </w:r>
          </w:p>
        </w:tc>
        <w:tc>
          <w:tcPr>
            <w:tcW w:type="dxa" w:w="4989"/>
            <w:shd w:val="clear" w:color="auto" w:fill="F4F7FB"/>
          </w:tcPr>
          <w:p>
            <w:pPr>
              <w:spacing w:after="0"/>
            </w:pPr>
            <w:r/>
            <w:r>
              <w:rPr>
                <w:rFonts w:ascii="맑은 고딕" w:hAnsi="맑은 고딕" w:eastAsia="맑은 고딕" w:cs="맑은 고딕"/>
                <w:b w:val="0"/>
                <w:sz w:val="17"/>
              </w:rPr>
              <w:t>웨이퍼 53.6 → 42.5 → 9.0 · 장치 0.0 → 1.8 → 26.1 · 패키징 0.3 → 0.6 → 7.3 · 접합 46.1 → 55.1 → 57.6 (%)</w:t>
            </w:r>
          </w:p>
        </w:tc>
        <w:tc>
          <w:tcPr>
            <w:tcW w:type="dxa" w:w="1814"/>
            <w:shd w:val="clear" w:color="auto" w:fill="F4F7FB"/>
          </w:tcPr>
          <w:p>
            <w:pPr>
              <w:spacing w:after="0"/>
            </w:pPr>
            <w:r/>
            <w:r>
              <w:rPr>
                <w:rFonts w:ascii="맑은 고딕" w:hAnsi="맑은 고딕" w:eastAsia="맑은 고딕" w:cs="맑은 고딕"/>
                <w:b w:val="0"/>
                <w:sz w:val="17"/>
              </w:rPr>
              <w:t>표 12(36쪽)</w:t>
            </w:r>
          </w:p>
        </w:tc>
      </w:tr>
      <w:tr>
        <w:tc>
          <w:tcPr>
            <w:tcW w:type="dxa" w:w="794"/>
          </w:tcPr>
          <w:p>
            <w:pPr>
              <w:spacing w:after="0"/>
            </w:pPr>
            <w:r/>
            <w:r>
              <w:rPr>
                <w:rFonts w:ascii="맑은 고딕" w:hAnsi="맑은 고딕" w:eastAsia="맑은 고딕" w:cs="맑은 고딕"/>
                <w:b/>
                <w:sz w:val="17"/>
              </w:rPr>
              <w:t>RQ3</w:t>
            </w:r>
          </w:p>
        </w:tc>
        <w:tc>
          <w:tcPr>
            <w:tcW w:type="dxa" w:w="1814"/>
          </w:tcPr>
          <w:p>
            <w:pPr>
              <w:spacing w:after="0"/>
            </w:pPr>
            <w:r/>
            <w:r>
              <w:rPr>
                <w:rFonts w:ascii="맑은 고딕" w:hAnsi="맑은 고딕" w:eastAsia="맑은 고딕" w:cs="맑은 고딕"/>
                <w:b w:val="0"/>
                <w:sz w:val="17"/>
              </w:rPr>
              <w:t>결합 공정 기호</w:t>
            </w:r>
          </w:p>
        </w:tc>
        <w:tc>
          <w:tcPr>
            <w:tcW w:type="dxa" w:w="4989"/>
          </w:tcPr>
          <w:p>
            <w:pPr>
              <w:spacing w:after="0"/>
            </w:pPr>
            <w:r/>
            <w:r>
              <w:rPr>
                <w:rFonts w:ascii="맑은 고딕" w:hAnsi="맑은 고딕" w:eastAsia="맑은 고딕" w:cs="맑은 고딕"/>
                <w:b w:val="0"/>
                <w:sz w:val="17"/>
              </w:rPr>
              <w:t>확산기 21/187(반도체 몸체끼리의 접합) · 21/76898(기판 관통 배선) → 재편기 21/6835(임시 기판 지지) · 21/568(봉지용 임시 기판)</w:t>
            </w:r>
          </w:p>
        </w:tc>
        <w:tc>
          <w:tcPr>
            <w:tcW w:type="dxa" w:w="1814"/>
          </w:tcPr>
          <w:p>
            <w:pPr>
              <w:spacing w:after="0"/>
            </w:pPr>
            <w:r/>
            <w:r>
              <w:rPr>
                <w:rFonts w:ascii="맑은 고딕" w:hAnsi="맑은 고딕" w:eastAsia="맑은 고딕" w:cs="맑은 고딕"/>
                <w:b w:val="0"/>
                <w:sz w:val="17"/>
              </w:rPr>
              <w:t>제5장 제3절(33쪽~), 표 16(42쪽)</w:t>
            </w:r>
          </w:p>
        </w:tc>
      </w:tr>
      <w:tr>
        <w:tc>
          <w:tcPr>
            <w:tcW w:type="dxa" w:w="794"/>
            <w:shd w:val="clear" w:color="auto" w:fill="F4F7FB"/>
          </w:tcPr>
          <w:p>
            <w:pPr>
              <w:spacing w:after="0"/>
            </w:pPr>
            <w:r/>
            <w:r>
              <w:rPr>
                <w:rFonts w:ascii="맑은 고딕" w:hAnsi="맑은 고딕" w:eastAsia="맑은 고딕" w:cs="맑은 고딕"/>
                <w:b/>
                <w:sz w:val="17"/>
              </w:rPr>
              <w:t>강건성</w:t>
            </w:r>
          </w:p>
        </w:tc>
        <w:tc>
          <w:tcPr>
            <w:tcW w:type="dxa" w:w="1814"/>
            <w:shd w:val="clear" w:color="auto" w:fill="F4F7FB"/>
          </w:tcPr>
          <w:p>
            <w:pPr>
              <w:spacing w:after="0"/>
            </w:pPr>
            <w:r/>
            <w:r>
              <w:rPr>
                <w:rFonts w:ascii="맑은 고딕" w:hAnsi="맑은 고딕" w:eastAsia="맑은 고딕" w:cs="맑은 고딕"/>
                <w:b w:val="0"/>
                <w:sz w:val="17"/>
              </w:rPr>
              <w:t>RQ1 범위 → 통합형</w:t>
            </w:r>
          </w:p>
        </w:tc>
        <w:tc>
          <w:tcPr>
            <w:tcW w:type="dxa" w:w="4989"/>
            <w:shd w:val="clear" w:color="auto" w:fill="F4F7FB"/>
          </w:tcPr>
          <w:p>
            <w:pPr>
              <w:spacing w:after="0"/>
            </w:pPr>
            <w:r/>
            <w:r>
              <w:rPr>
                <w:rFonts w:ascii="맑은 고딕" w:hAnsi="맑은 고딕" w:eastAsia="맑은 고딕" w:cs="맑은 고딕"/>
                <w:b w:val="0"/>
                <w:sz w:val="17"/>
              </w:rPr>
              <w:t>1.295–1.485, 모든 재추정에서 1% 유의</w:t>
            </w:r>
          </w:p>
        </w:tc>
        <w:tc>
          <w:tcPr>
            <w:tcW w:type="dxa" w:w="1814"/>
            <w:shd w:val="clear" w:color="auto" w:fill="F4F7FB"/>
          </w:tcPr>
          <w:p>
            <w:pPr>
              <w:spacing w:after="0"/>
            </w:pPr>
            <w:r/>
            <w:r>
              <w:rPr>
                <w:rFonts w:ascii="맑은 고딕" w:hAnsi="맑은 고딕" w:eastAsia="맑은 고딕" w:cs="맑은 고딕"/>
                <w:b w:val="0"/>
                <w:sz w:val="17"/>
              </w:rPr>
              <w:t>표 13(37쪽)</w:t>
            </w:r>
          </w:p>
        </w:tc>
      </w:tr>
      <w:tr>
        <w:tc>
          <w:tcPr>
            <w:tcW w:type="dxa" w:w="794"/>
          </w:tcPr>
          <w:p>
            <w:pPr>
              <w:spacing w:after="0"/>
            </w:pPr>
            <w:r/>
            <w:r>
              <w:rPr>
                <w:rFonts w:ascii="맑은 고딕" w:hAnsi="맑은 고딕" w:eastAsia="맑은 고딕" w:cs="맑은 고딕"/>
                <w:b/>
                <w:sz w:val="17"/>
              </w:rPr>
              <w:t>강건성</w:t>
            </w:r>
          </w:p>
        </w:tc>
        <w:tc>
          <w:tcPr>
            <w:tcW w:type="dxa" w:w="1814"/>
          </w:tcPr>
          <w:p>
            <w:pPr>
              <w:spacing w:after="0"/>
            </w:pPr>
            <w:r/>
            <w:r>
              <w:rPr>
                <w:rFonts w:ascii="맑은 고딕" w:hAnsi="맑은 고딕" w:eastAsia="맑은 고딕" w:cs="맑은 고딕"/>
                <w:b w:val="0"/>
                <w:sz w:val="17"/>
              </w:rPr>
              <w:t>RQ2 연도 → 공정 단독형</w:t>
            </w:r>
          </w:p>
        </w:tc>
        <w:tc>
          <w:tcPr>
            <w:tcW w:type="dxa" w:w="4989"/>
          </w:tcPr>
          <w:p>
            <w:pPr>
              <w:spacing w:after="0"/>
            </w:pPr>
            <w:r/>
            <w:r>
              <w:rPr>
                <w:rFonts w:ascii="맑은 고딕" w:hAnsi="맑은 고딕" w:eastAsia="맑은 고딕" w:cs="맑은 고딕"/>
                <w:b w:val="0"/>
                <w:sz w:val="17"/>
              </w:rPr>
              <w:t>0.820–0.935 유의, 단 hybrid bonding 표본 1.029(2014 이전 30건)</w:t>
            </w:r>
          </w:p>
        </w:tc>
        <w:tc>
          <w:tcPr>
            <w:tcW w:type="dxa" w:w="1814"/>
          </w:tcPr>
          <w:p>
            <w:pPr>
              <w:spacing w:after="0"/>
            </w:pPr>
            <w:r/>
            <w:r>
              <w:rPr>
                <w:rFonts w:ascii="맑은 고딕" w:hAnsi="맑은 고딕" w:eastAsia="맑은 고딕" w:cs="맑은 고딕"/>
                <w:b w:val="0"/>
                <w:sz w:val="17"/>
              </w:rPr>
              <w:t>표 13(37쪽)</w:t>
            </w:r>
          </w:p>
        </w:tc>
      </w:tr>
      <w:tr>
        <w:tc>
          <w:tcPr>
            <w:tcW w:type="dxa" w:w="794"/>
            <w:shd w:val="clear" w:color="auto" w:fill="F4F7FB"/>
          </w:tcPr>
          <w:p>
            <w:pPr>
              <w:spacing w:after="0"/>
            </w:pPr>
            <w:r/>
            <w:r>
              <w:rPr>
                <w:rFonts w:ascii="맑은 고딕" w:hAnsi="맑은 고딕" w:eastAsia="맑은 고딕" w:cs="맑은 고딕"/>
                <w:b/>
                <w:sz w:val="17"/>
              </w:rPr>
              <w:t>강건성</w:t>
            </w:r>
          </w:p>
        </w:tc>
        <w:tc>
          <w:tcPr>
            <w:tcW w:type="dxa" w:w="1814"/>
            <w:shd w:val="clear" w:color="auto" w:fill="F4F7FB"/>
          </w:tcPr>
          <w:p>
            <w:pPr>
              <w:spacing w:after="0"/>
            </w:pPr>
            <w:r/>
            <w:r>
              <w:rPr>
                <w:rFonts w:ascii="맑은 고딕" w:hAnsi="맑은 고딕" w:eastAsia="맑은 고딕" w:cs="맑은 고딕"/>
                <w:b w:val="0"/>
                <w:sz w:val="17"/>
              </w:rPr>
              <w:t>RQ3 2020–24 상호작용</w:t>
            </w:r>
          </w:p>
        </w:tc>
        <w:tc>
          <w:tcPr>
            <w:tcW w:type="dxa" w:w="4989"/>
            <w:shd w:val="clear" w:color="auto" w:fill="F4F7FB"/>
          </w:tcPr>
          <w:p>
            <w:pPr>
              <w:spacing w:after="0"/>
            </w:pPr>
            <w:r/>
            <w:r>
              <w:rPr>
                <w:rFonts w:ascii="맑은 고딕" w:hAnsi="맑은 고딕" w:eastAsia="맑은 고딕" w:cs="맑은 고딕"/>
                <w:b w:val="0"/>
                <w:sz w:val="17"/>
              </w:rPr>
              <w:t>0.050–0.185, 일곱 가지 추정 모두 5% 유의</w:t>
            </w:r>
          </w:p>
        </w:tc>
        <w:tc>
          <w:tcPr>
            <w:tcW w:type="dxa" w:w="1814"/>
            <w:shd w:val="clear" w:color="auto" w:fill="F4F7FB"/>
          </w:tcPr>
          <w:p>
            <w:pPr>
              <w:spacing w:after="0"/>
            </w:pPr>
            <w:r/>
            <w:r>
              <w:rPr>
                <w:rFonts w:ascii="맑은 고딕" w:hAnsi="맑은 고딕" w:eastAsia="맑은 고딕" w:cs="맑은 고딕"/>
                <w:b w:val="0"/>
                <w:sz w:val="17"/>
              </w:rPr>
              <w:t>표 14(39쪽)</w:t>
            </w:r>
          </w:p>
        </w:tc>
      </w:tr>
      <w:tr>
        <w:tc>
          <w:tcPr>
            <w:tcW w:type="dxa" w:w="794"/>
          </w:tcPr>
          <w:p>
            <w:pPr>
              <w:spacing w:after="0"/>
            </w:pPr>
            <w:r/>
            <w:r>
              <w:rPr>
                <w:rFonts w:ascii="맑은 고딕" w:hAnsi="맑은 고딕" w:eastAsia="맑은 고딕" w:cs="맑은 고딕"/>
                <w:b/>
                <w:sz w:val="17"/>
              </w:rPr>
              <w:t>기타</w:t>
            </w:r>
          </w:p>
        </w:tc>
        <w:tc>
          <w:tcPr>
            <w:tcW w:type="dxa" w:w="1814"/>
          </w:tcPr>
          <w:p>
            <w:pPr>
              <w:spacing w:after="0"/>
            </w:pPr>
            <w:r/>
            <w:r>
              <w:rPr>
                <w:rFonts w:ascii="맑은 고딕" w:hAnsi="맑은 고딕" w:eastAsia="맑은 고딕" w:cs="맑은 고딕"/>
                <w:b w:val="0"/>
                <w:sz w:val="17"/>
              </w:rPr>
              <w:t>출원당 기호 수</w:t>
            </w:r>
          </w:p>
        </w:tc>
        <w:tc>
          <w:tcPr>
            <w:tcW w:type="dxa" w:w="4989"/>
          </w:tcPr>
          <w:p>
            <w:pPr>
              <w:spacing w:after="0"/>
            </w:pPr>
            <w:r/>
            <w:r>
              <w:rPr>
                <w:rFonts w:ascii="맑은 고딕" w:hAnsi="맑은 고딕" w:eastAsia="맑은 고딕" w:cs="맑은 고딕"/>
                <w:b w:val="0"/>
                <w:sz w:val="17"/>
              </w:rPr>
              <w:t>H01L24: 3.03 → 4.73 → 3.91 · H01L21: 2.12 → 2.23 → 1.46</w:t>
            </w:r>
          </w:p>
        </w:tc>
        <w:tc>
          <w:tcPr>
            <w:tcW w:type="dxa" w:w="1814"/>
          </w:tcPr>
          <w:p>
            <w:pPr>
              <w:spacing w:after="0"/>
            </w:pPr>
            <w:r/>
            <w:r>
              <w:rPr>
                <w:rFonts w:ascii="맑은 고딕" w:hAnsi="맑은 고딕" w:eastAsia="맑은 고딕" w:cs="맑은 고딕"/>
                <w:b w:val="0"/>
                <w:sz w:val="17"/>
              </w:rPr>
              <w:t>제6장 제1절(40쪽~)</w:t>
            </w:r>
          </w:p>
        </w:tc>
      </w:tr>
    </w:tbl>
    <w:p>
      <w:pPr>
        <w:spacing w:after="40"/>
      </w:pPr>
    </w:p>
    <w:p>
      <w:pPr>
        <w:pStyle w:val="Heading1"/>
      </w:pPr>
      <w:r>
        <w:t>3. 답변 원칙</w:t>
      </w:r>
    </w:p>
    <w:p>
      <w:pPr>
        <w:pStyle w:val="ListBullet"/>
        <w:spacing w:after="40"/>
      </w:pPr>
      <w:r>
        <w:rPr>
          <w:rFonts w:ascii="맑은 고딕" w:hAnsi="맑은 고딕" w:eastAsia="맑은 고딕" w:cs="맑은 고딕"/>
          <w:b/>
          <w:color w:val="13294B"/>
          <w:sz w:val="21"/>
        </w:rPr>
        <w:t xml:space="preserve">결론부터, 짧게: </w:t>
      </w:r>
      <w:r>
        <w:rPr>
          <w:rFonts w:ascii="맑은 고딕" w:hAnsi="맑은 고딕" w:eastAsia="맑은 고딕" w:cs="맑은 고딕"/>
          <w:b w:val="0"/>
          <w:sz w:val="21"/>
        </w:rPr>
        <w:t>질문을 받으면 "답변 요지" 한 문장을 먼저 말하고, 근거 하나(수치나 표)를 붙인 뒤 멈춥니다. 더 묻고 싶으면 심사위원이 이어서 묻습니다. 30초를 넘기지 않는 것이 기본입니다.</w:t>
      </w:r>
    </w:p>
    <w:p>
      <w:pPr>
        <w:pStyle w:val="ListBullet"/>
        <w:spacing w:after="40"/>
      </w:pPr>
      <w:r>
        <w:rPr>
          <w:rFonts w:ascii="맑은 고딕" w:hAnsi="맑은 고딕" w:eastAsia="맑은 고딕" w:cs="맑은 고딕"/>
          <w:b/>
          <w:color w:val="13294B"/>
          <w:sz w:val="21"/>
        </w:rPr>
        <w:t xml:space="preserve">표와 쪽수로 답하기: </w:t>
      </w:r>
      <w:r>
        <w:rPr>
          <w:rFonts w:ascii="맑은 고딕" w:hAnsi="맑은 고딕" w:eastAsia="맑은 고딕" w:cs="맑은 고딕"/>
          <w:b w:val="0"/>
          <w:sz w:val="21"/>
        </w:rPr>
        <w:t>"표 11(34쪽)에서 보시면…"처럼 근거 위치를 말하면 신뢰가 높아집니다. 인쇄본 논문의 표 8–16과 부록 A에 미리 탭을 붙여 두십시오.</w:t>
      </w:r>
    </w:p>
    <w:p>
      <w:pPr>
        <w:pStyle w:val="ListBullet"/>
        <w:spacing w:after="40"/>
      </w:pPr>
      <w:r>
        <w:rPr>
          <w:rFonts w:ascii="맑은 고딕" w:hAnsi="맑은 고딕" w:eastAsia="맑은 고딕" w:cs="맑은 고딕"/>
          <w:b/>
          <w:color w:val="13294B"/>
          <w:sz w:val="21"/>
        </w:rPr>
        <w:t xml:space="preserve">한계는 먼저 인정: </w:t>
      </w:r>
      <w:r>
        <w:rPr>
          <w:rFonts w:ascii="맑은 고딕" w:hAnsi="맑은 고딕" w:eastAsia="맑은 고딕" w:cs="맑은 고딕"/>
          <w:b w:val="0"/>
          <w:sz w:val="21"/>
        </w:rPr>
        <w:t>측정 타당성, 표본, 인과에 관한 지적은 대부분 논문 제6장 제3절에 이미 적어 둔 한계입니다. "논문에서도 한계로 밝혔습니다"라고 인정한 뒤, 그 한계를 줄이려고 한 재추정을 덧붙입니다.</w:t>
      </w:r>
    </w:p>
    <w:p>
      <w:pPr>
        <w:pStyle w:val="ListBullet"/>
        <w:spacing w:after="40"/>
      </w:pPr>
      <w:r>
        <w:rPr>
          <w:rFonts w:ascii="맑은 고딕" w:hAnsi="맑은 고딕" w:eastAsia="맑은 고딕" w:cs="맑은 고딕"/>
          <w:b/>
          <w:color w:val="13294B"/>
          <w:sz w:val="21"/>
        </w:rPr>
        <w:t xml:space="preserve">과장하지 않기: </w:t>
      </w:r>
      <w:r>
        <w:rPr>
          <w:rFonts w:ascii="맑은 고딕" w:hAnsi="맑은 고딕" w:eastAsia="맑은 고딕" w:cs="맑은 고딕"/>
          <w:b w:val="0"/>
          <w:sz w:val="21"/>
        </w:rPr>
        <w:t>"증명했다", "가설이 지지되었다", "인과적으로 ~때문이다" 대신 "확인되었다", "기대와 부합한다", "~와 관련되어 있다", "~로 해석된다"를 씁니다. 본 연구의 기대는 통계적 가설이 아니라 해석 기준입니다.</w:t>
      </w:r>
    </w:p>
    <w:p>
      <w:pPr>
        <w:pStyle w:val="ListBullet"/>
        <w:spacing w:after="40"/>
      </w:pPr>
      <w:r>
        <w:rPr>
          <w:rFonts w:ascii="맑은 고딕" w:hAnsi="맑은 고딕" w:eastAsia="맑은 고딕" w:cs="맑은 고딕"/>
          <w:b/>
          <w:color w:val="13294B"/>
          <w:sz w:val="21"/>
        </w:rPr>
        <w:t xml:space="preserve">모르는 질문: </w:t>
      </w:r>
      <w:r>
        <w:rPr>
          <w:rFonts w:ascii="맑은 고딕" w:hAnsi="맑은 고딕" w:eastAsia="맑은 고딕" w:cs="맑은 고딕"/>
          <w:b w:val="0"/>
          <w:sz w:val="21"/>
        </w:rPr>
        <w:t>"그 부분은 이번 연구에서 다루지 않았습니다. 다만 논문의 자료로 보면 ~까지는 말씀드릴 수 있습니다"처럼 범위를 구분합니다. 추측으로 수치를 만들지 않습니다.</w:t>
      </w:r>
    </w:p>
    <w:p>
      <w:pPr>
        <w:pStyle w:val="ListBullet"/>
        <w:spacing w:after="40"/>
      </w:pPr>
      <w:r>
        <w:rPr>
          <w:rFonts w:ascii="맑은 고딕" w:hAnsi="맑은 고딕" w:eastAsia="맑은 고딕" w:cs="맑은 고딕"/>
          <w:b/>
          <w:color w:val="13294B"/>
          <w:sz w:val="21"/>
        </w:rPr>
        <w:t xml:space="preserve">수정 요청: </w:t>
      </w:r>
      <w:r>
        <w:rPr>
          <w:rFonts w:ascii="맑은 고딕" w:hAnsi="맑은 고딕" w:eastAsia="맑은 고딕" w:cs="맑은 고딕"/>
          <w:b w:val="0"/>
          <w:sz w:val="21"/>
        </w:rPr>
        <w:t>"좋은 지적입니다. 최종본에 반영하겠습니다"로 받고, 필요하면 무엇을 어떻게 고칠지 한 문장으로 말합니다. 반박이 필요하면 논문 근거를 들어 정중하게 설명합니다.</w:t>
      </w:r>
    </w:p>
    <w:p>
      <w:pPr>
        <w:pStyle w:val="ListBullet"/>
        <w:spacing w:after="40"/>
      </w:pPr>
      <w:r>
        <w:rPr>
          <w:rFonts w:ascii="맑은 고딕" w:hAnsi="맑은 고딕" w:eastAsia="맑은 고딕" w:cs="맑은 고딕"/>
          <w:b/>
          <w:color w:val="13294B"/>
          <w:sz w:val="21"/>
        </w:rPr>
        <w:t xml:space="preserve">질문 되묻기: </w:t>
      </w:r>
      <w:r>
        <w:rPr>
          <w:rFonts w:ascii="맑은 고딕" w:hAnsi="맑은 고딕" w:eastAsia="맑은 고딕" w:cs="맑은 고딕"/>
          <w:b w:val="0"/>
          <w:sz w:val="21"/>
        </w:rPr>
        <w:t>질문의 뜻이 모호하면 "~에 관한 질문으로 이해했는데 맞습니까?"라고 확인한 뒤 답합니다.</w:t>
      </w:r>
    </w:p>
    <w:p>
      <w:pPr>
        <w:pStyle w:val="Heading3"/>
      </w:pPr>
      <w:r>
        <w:t>바꿔 말해야 할 표현</w:t>
      </w:r>
    </w:p>
    <w:tbl>
      <w:tblPr>
        <w:tblStyle w:val="TableGrid"/>
        <w:tblW w:type="auto" w:w="0"/>
        <w:jc w:val="center"/>
        <w:tblLayout w:type="fixed"/>
        <w:tblLook w:firstColumn="1" w:firstRow="1" w:lastColumn="0" w:lastRow="0" w:noHBand="0" w:noVBand="1" w:val="04A0"/>
        <w:tblLayout w:type="fixed"/>
      </w:tblPr>
      <w:tblGrid>
        <w:gridCol w:w="3742"/>
        <w:gridCol w:w="5669"/>
      </w:tblGrid>
      <w:tr>
        <w:tc>
          <w:tcPr>
            <w:tcW w:type="dxa" w:w="3742"/>
            <w:shd w:val="clear" w:color="auto" w:fill="13294B"/>
          </w:tcPr>
          <w:p>
            <w:pPr>
              <w:spacing w:after="0"/>
            </w:pPr>
            <w:r/>
            <w:r>
              <w:rPr>
                <w:rFonts w:ascii="맑은 고딕" w:hAnsi="맑은 고딕" w:eastAsia="맑은 고딕" w:cs="맑은 고딕"/>
                <w:b/>
                <w:color w:val="FFFFFF"/>
                <w:sz w:val="19"/>
              </w:rPr>
              <w:t>피할 표현</w:t>
            </w:r>
          </w:p>
        </w:tc>
        <w:tc>
          <w:tcPr>
            <w:tcW w:type="dxa" w:w="5669"/>
            <w:shd w:val="clear" w:color="auto" w:fill="13294B"/>
          </w:tcPr>
          <w:p>
            <w:pPr>
              <w:spacing w:after="0"/>
            </w:pPr>
            <w:r/>
            <w:r>
              <w:rPr>
                <w:rFonts w:ascii="맑은 고딕" w:hAnsi="맑은 고딕" w:eastAsia="맑은 고딕" w:cs="맑은 고딕"/>
                <w:b/>
                <w:color w:val="FFFFFF"/>
                <w:sz w:val="19"/>
              </w:rPr>
              <w:t>이렇게 말하기</w:t>
            </w:r>
          </w:p>
        </w:tc>
      </w:tr>
      <w:tr>
        <w:tc>
          <w:tcPr>
            <w:tcW w:type="dxa" w:w="3742"/>
          </w:tcPr>
          <w:p>
            <w:pPr>
              <w:spacing w:after="0"/>
            </w:pPr>
            <w:r/>
            <w:r>
              <w:rPr>
                <w:rFonts w:ascii="맑은 고딕" w:hAnsi="맑은 고딕" w:eastAsia="맑은 고딕" w:cs="맑은 고딕"/>
                <w:b w:val="0"/>
                <w:sz w:val="19"/>
              </w:rPr>
              <w:t>통합형 45.8%가 전공정–후공정 융합이다</w:t>
            </w:r>
          </w:p>
        </w:tc>
        <w:tc>
          <w:tcPr>
            <w:tcW w:type="dxa" w:w="5669"/>
          </w:tcPr>
          <w:p>
            <w:pPr>
              <w:spacing w:after="0"/>
            </w:pPr>
            <w:r/>
            <w:r>
              <w:rPr>
                <w:rFonts w:ascii="맑은 고딕" w:hAnsi="맑은 고딕" w:eastAsia="맑은 고딕" w:cs="맑은 고딕"/>
                <w:b w:val="0"/>
                <w:sz w:val="19"/>
              </w:rPr>
              <w:t>두 클래스의 기호를 함께 가진 출원이 45.8%다 (H01L21에는 패키징 단계 공정도 포함)</w:t>
            </w:r>
          </w:p>
        </w:tc>
      </w:tr>
      <w:tr>
        <w:tc>
          <w:tcPr>
            <w:tcW w:type="dxa" w:w="3742"/>
            <w:shd w:val="clear" w:color="auto" w:fill="F4F7FB"/>
          </w:tcPr>
          <w:p>
            <w:pPr>
              <w:spacing w:after="0"/>
            </w:pPr>
            <w:r/>
            <w:r>
              <w:rPr>
                <w:rFonts w:ascii="맑은 고딕" w:hAnsi="맑은 고딕" w:eastAsia="맑은 고딕" w:cs="맑은 고딕"/>
                <w:b w:val="0"/>
                <w:sz w:val="19"/>
              </w:rPr>
              <w:t>지배적 설계 때문에 우위가 사라졌다</w:t>
            </w:r>
          </w:p>
        </w:tc>
        <w:tc>
          <w:tcPr>
            <w:tcW w:type="dxa" w:w="5669"/>
            <w:shd w:val="clear" w:color="auto" w:fill="F4F7FB"/>
          </w:tcPr>
          <w:p>
            <w:pPr>
              <w:spacing w:after="0"/>
            </w:pPr>
            <w:r/>
            <w:r>
              <w:rPr>
                <w:rFonts w:ascii="맑은 고딕" w:hAnsi="맑은 고딕" w:eastAsia="맑은 고딕" w:cs="맑은 고딕"/>
                <w:b w:val="0"/>
                <w:sz w:val="19"/>
              </w:rPr>
              <w:t>지배적 설계의 고착화라는 해석과 부합한다 (시기는 출원 시기로 근사)</w:t>
            </w:r>
          </w:p>
        </w:tc>
      </w:tr>
      <w:tr>
        <w:tc>
          <w:tcPr>
            <w:tcW w:type="dxa" w:w="3742"/>
          </w:tcPr>
          <w:p>
            <w:pPr>
              <w:spacing w:after="0"/>
            </w:pPr>
            <w:r/>
            <w:r>
              <w:rPr>
                <w:rFonts w:ascii="맑은 고딕" w:hAnsi="맑은 고딕" w:eastAsia="맑은 고딕" w:cs="맑은 고딕"/>
                <w:b w:val="0"/>
                <w:sz w:val="19"/>
              </w:rPr>
              <w:t>가설 1이 지지되었다</w:t>
            </w:r>
          </w:p>
        </w:tc>
        <w:tc>
          <w:tcPr>
            <w:tcW w:type="dxa" w:w="5669"/>
          </w:tcPr>
          <w:p>
            <w:pPr>
              <w:spacing w:after="0"/>
            </w:pPr>
            <w:r/>
            <w:r>
              <w:rPr>
                <w:rFonts w:ascii="맑은 고딕" w:hAnsi="맑은 고딕" w:eastAsia="맑은 고딕" w:cs="맑은 고딕"/>
                <w:b w:val="0"/>
                <w:sz w:val="19"/>
              </w:rPr>
              <w:t>이론적 기대와 부합하는 결과다 (기대는 해석 기준)</w:t>
            </w:r>
          </w:p>
        </w:tc>
      </w:tr>
      <w:tr>
        <w:tc>
          <w:tcPr>
            <w:tcW w:type="dxa" w:w="3742"/>
            <w:shd w:val="clear" w:color="auto" w:fill="F4F7FB"/>
          </w:tcPr>
          <w:p>
            <w:pPr>
              <w:spacing w:after="0"/>
            </w:pPr>
            <w:r/>
            <w:r>
              <w:rPr>
                <w:rFonts w:ascii="맑은 고딕" w:hAnsi="맑은 고딕" w:eastAsia="맑은 고딕" w:cs="맑은 고딕"/>
                <w:b w:val="0"/>
                <w:sz w:val="19"/>
              </w:rPr>
              <w:t>융합이 줄었다 / 약해졌다</w:t>
            </w:r>
          </w:p>
        </w:tc>
        <w:tc>
          <w:tcPr>
            <w:tcW w:type="dxa" w:w="5669"/>
            <w:shd w:val="clear" w:color="auto" w:fill="F4F7FB"/>
          </w:tcPr>
          <w:p>
            <w:pPr>
              <w:spacing w:after="0"/>
            </w:pPr>
            <w:r/>
            <w:r>
              <w:rPr>
                <w:rFonts w:ascii="맑은 고딕" w:hAnsi="맑은 고딕" w:eastAsia="맑은 고딕" w:cs="맑은 고딕"/>
                <w:b w:val="0"/>
                <w:sz w:val="19"/>
              </w:rPr>
              <w:t>융합의 내용과 중심이 바뀌었다 (핵심 → 주변)</w:t>
            </w:r>
          </w:p>
        </w:tc>
      </w:tr>
      <w:tr>
        <w:tc>
          <w:tcPr>
            <w:tcW w:type="dxa" w:w="3742"/>
          </w:tcPr>
          <w:p>
            <w:pPr>
              <w:spacing w:after="0"/>
            </w:pPr>
            <w:r/>
            <w:r>
              <w:rPr>
                <w:rFonts w:ascii="맑은 고딕" w:hAnsi="맑은 고딕" w:eastAsia="맑은 고딕" w:cs="맑은 고딕"/>
                <w:b w:val="0"/>
                <w:sz w:val="19"/>
              </w:rPr>
              <w:t>기술범위가 넓으면 통합형이 된다</w:t>
            </w:r>
          </w:p>
        </w:tc>
        <w:tc>
          <w:tcPr>
            <w:tcW w:type="dxa" w:w="5669"/>
          </w:tcPr>
          <w:p>
            <w:pPr>
              <w:spacing w:after="0"/>
            </w:pPr>
            <w:r/>
            <w:r>
              <w:rPr>
                <w:rFonts w:ascii="맑은 고딕" w:hAnsi="맑은 고딕" w:eastAsia="맑은 고딕" w:cs="맑은 고딕"/>
                <w:b w:val="0"/>
                <w:sz w:val="19"/>
              </w:rPr>
              <w:t>기술범위가 넓은 출원일수록 통합형일 가능성이 높다 (구성적 연관)</w:t>
            </w:r>
          </w:p>
        </w:tc>
      </w:tr>
      <w:tr>
        <w:tc>
          <w:tcPr>
            <w:tcW w:type="dxa" w:w="3742"/>
            <w:shd w:val="clear" w:color="auto" w:fill="F4F7FB"/>
          </w:tcPr>
          <w:p>
            <w:pPr>
              <w:spacing w:after="0"/>
            </w:pPr>
            <w:r/>
            <w:r>
              <w:rPr>
                <w:rFonts w:ascii="맑은 고딕" w:hAnsi="맑은 고딕" w:eastAsia="맑은 고딕" w:cs="맑은 고딕"/>
                <w:b w:val="0"/>
                <w:sz w:val="19"/>
              </w:rPr>
              <w:t>주변 공정은 덜 중요하다</w:t>
            </w:r>
          </w:p>
        </w:tc>
        <w:tc>
          <w:tcPr>
            <w:tcW w:type="dxa" w:w="5669"/>
            <w:shd w:val="clear" w:color="auto" w:fill="F4F7FB"/>
          </w:tcPr>
          <w:p>
            <w:pPr>
              <w:spacing w:after="0"/>
            </w:pPr>
            <w:r/>
            <w:r>
              <w:rPr>
                <w:rFonts w:ascii="맑은 고딕" w:hAnsi="맑은 고딕" w:eastAsia="맑은 고딕" w:cs="맑은 고딕"/>
                <w:b w:val="0"/>
                <w:sz w:val="19"/>
              </w:rPr>
              <w:t>핵심 접합 기호 밖에 있다는 구조적 의미다</w:t>
            </w:r>
          </w:p>
        </w:tc>
      </w:tr>
      <w:tr>
        <w:tc>
          <w:tcPr>
            <w:tcW w:type="dxa" w:w="3742"/>
          </w:tcPr>
          <w:p>
            <w:pPr>
              <w:spacing w:after="0"/>
            </w:pPr>
            <w:r/>
            <w:r>
              <w:rPr>
                <w:rFonts w:ascii="맑은 고딕" w:hAnsi="맑은 고딕" w:eastAsia="맑은 고딕" w:cs="맑은 고딕"/>
                <w:b w:val="0"/>
                <w:sz w:val="19"/>
              </w:rPr>
              <w:t>하이브리드 본딩 특허 전체</w:t>
            </w:r>
          </w:p>
        </w:tc>
        <w:tc>
          <w:tcPr>
            <w:tcW w:type="dxa" w:w="5669"/>
          </w:tcPr>
          <w:p>
            <w:pPr>
              <w:spacing w:after="0"/>
            </w:pPr>
            <w:r/>
            <w:r>
              <w:rPr>
                <w:rFonts w:ascii="맑은 고딕" w:hAnsi="맑은 고딕" w:eastAsia="맑은 고딕" w:cs="맑은 고딕"/>
                <w:b w:val="0"/>
                <w:sz w:val="19"/>
              </w:rPr>
              <w:t>검색식으로 식별한 하이브리드 본딩 관련 출원</w:t>
            </w:r>
          </w:p>
        </w:tc>
      </w:tr>
    </w:tbl>
    <w:p>
      <w:pPr>
        <w:spacing w:after="40"/>
      </w:pPr>
    </w:p>
    <w:p>
      <w:pPr>
        <w:pStyle w:val="Heading1"/>
      </w:pPr>
      <w:r>
        <w:t>4. 예상 질문과 답변</w:t>
      </w:r>
    </w:p>
    <w:p>
      <w:pPr>
        <w:spacing w:after="80" w:before="0"/>
      </w:pPr>
      <w:r>
        <w:rPr>
          <w:rFonts w:ascii="맑은 고딕" w:hAnsi="맑은 고딕" w:eastAsia="맑은 고딕" w:cs="맑은 고딕"/>
          <w:b w:val="0"/>
          <w:color w:val="5B6475"/>
          <w:sz w:val="21"/>
        </w:rPr>
        <w:t>모두 71개 질문입니다. ★★★ 23개, ★★ 34개, ★ 14개.</w:t>
      </w:r>
    </w:p>
    <w:p>
      <w:pPr>
        <w:pStyle w:val="Heading3"/>
      </w:pPr>
      <w:r>
        <w:t>먼저 준비할 ★★★ 질문</w:t>
      </w:r>
    </w:p>
    <w:tbl>
      <w:tblPr>
        <w:tblStyle w:val="TableGrid"/>
        <w:tblW w:type="auto" w:w="0"/>
        <w:jc w:val="center"/>
        <w:tblLayout w:type="fixed"/>
        <w:tblLook w:firstColumn="1" w:firstRow="1" w:lastColumn="0" w:lastRow="0" w:noHBand="0" w:noVBand="1" w:val="04A0"/>
        <w:tblLayout w:type="fixed"/>
      </w:tblPr>
      <w:tblGrid>
        <w:gridCol w:w="907"/>
        <w:gridCol w:w="8504"/>
      </w:tblGrid>
      <w:tr>
        <w:tc>
          <w:tcPr>
            <w:tcW w:type="dxa" w:w="907"/>
            <w:shd w:val="clear" w:color="auto" w:fill="13294B"/>
          </w:tcPr>
          <w:p>
            <w:pPr>
              <w:spacing w:after="0"/>
            </w:pPr>
            <w:r/>
            <w:r>
              <w:rPr>
                <w:rFonts w:ascii="맑은 고딕" w:hAnsi="맑은 고딕" w:eastAsia="맑은 고딕" w:cs="맑은 고딕"/>
                <w:b/>
                <w:color w:val="FFFFFF"/>
                <w:sz w:val="19"/>
              </w:rPr>
              <w:t>번호</w:t>
            </w:r>
          </w:p>
        </w:tc>
        <w:tc>
          <w:tcPr>
            <w:tcW w:type="dxa" w:w="8504"/>
            <w:shd w:val="clear" w:color="auto" w:fill="13294B"/>
          </w:tcPr>
          <w:p>
            <w:pPr>
              <w:spacing w:after="0"/>
            </w:pPr>
            <w:r/>
            <w:r>
              <w:rPr>
                <w:rFonts w:ascii="맑은 고딕" w:hAnsi="맑은 고딕" w:eastAsia="맑은 고딕" w:cs="맑은 고딕"/>
                <w:b/>
                <w:color w:val="FFFFFF"/>
                <w:sz w:val="19"/>
              </w:rPr>
              <w:t>질문</w:t>
            </w:r>
          </w:p>
        </w:tc>
      </w:tr>
      <w:tr>
        <w:tc>
          <w:tcPr>
            <w:tcW w:type="dxa" w:w="907"/>
          </w:tcPr>
          <w:p>
            <w:pPr>
              <w:spacing w:after="0"/>
            </w:pPr>
            <w:r/>
            <w:r>
              <w:rPr>
                <w:rFonts w:ascii="맑은 고딕" w:hAnsi="맑은 고딕" w:eastAsia="맑은 고딕" w:cs="맑은 고딕"/>
                <w:b w:val="0"/>
                <w:sz w:val="19"/>
              </w:rPr>
              <w:t>A1</w:t>
            </w:r>
          </w:p>
        </w:tc>
        <w:tc>
          <w:tcPr>
            <w:tcW w:type="dxa" w:w="8504"/>
          </w:tcPr>
          <w:p>
            <w:pPr>
              <w:spacing w:after="0"/>
            </w:pPr>
            <w:r/>
            <w:r>
              <w:rPr>
                <w:rFonts w:ascii="맑은 고딕" w:hAnsi="맑은 고딕" w:eastAsia="맑은 고딕" w:cs="맑은 고딕"/>
                <w:b w:val="0"/>
                <w:sz w:val="19"/>
              </w:rPr>
              <w:t>이 연구를 한두 문장으로 요약하고, 왜 이 주제를 택했는지 말해 보십시오.</w:t>
            </w:r>
          </w:p>
        </w:tc>
      </w:tr>
      <w:tr>
        <w:tc>
          <w:tcPr>
            <w:tcW w:type="dxa" w:w="907"/>
            <w:shd w:val="clear" w:color="auto" w:fill="F4F7FB"/>
          </w:tcPr>
          <w:p>
            <w:pPr>
              <w:spacing w:after="0"/>
            </w:pPr>
            <w:r/>
            <w:r>
              <w:rPr>
                <w:rFonts w:ascii="맑은 고딕" w:hAnsi="맑은 고딕" w:eastAsia="맑은 고딕" w:cs="맑은 고딕"/>
                <w:b w:val="0"/>
                <w:sz w:val="19"/>
              </w:rPr>
              <w:t>A2</w:t>
            </w:r>
          </w:p>
        </w:tc>
        <w:tc>
          <w:tcPr>
            <w:tcW w:type="dxa" w:w="8504"/>
            <w:shd w:val="clear" w:color="auto" w:fill="F4F7FB"/>
          </w:tcPr>
          <w:p>
            <w:pPr>
              <w:spacing w:after="0"/>
            </w:pPr>
            <w:r/>
            <w:r>
              <w:rPr>
                <w:rFonts w:ascii="맑은 고딕" w:hAnsi="맑은 고딕" w:eastAsia="맑은 고딕" w:cs="맑은 고딕"/>
                <w:b w:val="0"/>
                <w:sz w:val="19"/>
              </w:rPr>
              <w:t>이 연구의 학술적 기여는 무엇입니까?</w:t>
            </w:r>
          </w:p>
        </w:tc>
      </w:tr>
      <w:tr>
        <w:tc>
          <w:tcPr>
            <w:tcW w:type="dxa" w:w="907"/>
          </w:tcPr>
          <w:p>
            <w:pPr>
              <w:spacing w:after="0"/>
            </w:pPr>
            <w:r/>
            <w:r>
              <w:rPr>
                <w:rFonts w:ascii="맑은 고딕" w:hAnsi="맑은 고딕" w:eastAsia="맑은 고딕" w:cs="맑은 고딕"/>
                <w:b w:val="0"/>
                <w:sz w:val="19"/>
              </w:rPr>
              <w:t>B1</w:t>
            </w:r>
          </w:p>
        </w:tc>
        <w:tc>
          <w:tcPr>
            <w:tcW w:type="dxa" w:w="8504"/>
          </w:tcPr>
          <w:p>
            <w:pPr>
              <w:spacing w:after="0"/>
            </w:pPr>
            <w:r/>
            <w:r>
              <w:rPr>
                <w:rFonts w:ascii="맑은 고딕" w:hAnsi="맑은 고딕" w:eastAsia="맑은 고딕" w:cs="맑은 고딕"/>
                <w:b w:val="0"/>
                <w:sz w:val="19"/>
              </w:rPr>
              <w:t>기술융합의 정의는 무엇이고, "공정 단계 간 기술융합"은 무엇을 뜻합니까?</w:t>
            </w:r>
          </w:p>
        </w:tc>
      </w:tr>
      <w:tr>
        <w:tc>
          <w:tcPr>
            <w:tcW w:type="dxa" w:w="907"/>
            <w:shd w:val="clear" w:color="auto" w:fill="F4F7FB"/>
          </w:tcPr>
          <w:p>
            <w:pPr>
              <w:spacing w:after="0"/>
            </w:pPr>
            <w:r/>
            <w:r>
              <w:rPr>
                <w:rFonts w:ascii="맑은 고딕" w:hAnsi="맑은 고딕" w:eastAsia="맑은 고딕" w:cs="맑은 고딕"/>
                <w:b w:val="0"/>
                <w:sz w:val="19"/>
              </w:rPr>
              <w:t>B2</w:t>
            </w:r>
          </w:p>
        </w:tc>
        <w:tc>
          <w:tcPr>
            <w:tcW w:type="dxa" w:w="8504"/>
            <w:shd w:val="clear" w:color="auto" w:fill="F4F7FB"/>
          </w:tcPr>
          <w:p>
            <w:pPr>
              <w:spacing w:after="0"/>
            </w:pPr>
            <w:r/>
            <w:r>
              <w:rPr>
                <w:rFonts w:ascii="맑은 고딕" w:hAnsi="맑은 고딕" w:eastAsia="맑은 고딕" w:cs="맑은 고딕"/>
                <w:b w:val="0"/>
                <w:sz w:val="19"/>
              </w:rPr>
              <w:t>Hacklin 등의 단계 모형을 쓴 이유와, 네 단계 중 무엇을 측정했는지 말해 보십시오.</w:t>
            </w:r>
          </w:p>
        </w:tc>
      </w:tr>
      <w:tr>
        <w:tc>
          <w:tcPr>
            <w:tcW w:type="dxa" w:w="907"/>
          </w:tcPr>
          <w:p>
            <w:pPr>
              <w:spacing w:after="0"/>
            </w:pPr>
            <w:r/>
            <w:r>
              <w:rPr>
                <w:rFonts w:ascii="맑은 고딕" w:hAnsi="맑은 고딕" w:eastAsia="맑은 고딕" w:cs="맑은 고딕"/>
                <w:b w:val="0"/>
                <w:sz w:val="19"/>
              </w:rPr>
              <w:t>B7</w:t>
            </w:r>
          </w:p>
        </w:tc>
        <w:tc>
          <w:tcPr>
            <w:tcW w:type="dxa" w:w="8504"/>
          </w:tcPr>
          <w:p>
            <w:pPr>
              <w:spacing w:after="0"/>
            </w:pPr>
            <w:r/>
            <w:r>
              <w:rPr>
                <w:rFonts w:ascii="맑은 고딕" w:hAnsi="맑은 고딕" w:eastAsia="맑은 고딕" w:cs="맑은 고딕"/>
                <w:b w:val="0"/>
                <w:sz w:val="19"/>
              </w:rPr>
              <w:t>이론적 기대를 왜 통계적 가설로 세우지 않았습니까?</w:t>
            </w:r>
          </w:p>
        </w:tc>
      </w:tr>
      <w:tr>
        <w:tc>
          <w:tcPr>
            <w:tcW w:type="dxa" w:w="907"/>
            <w:shd w:val="clear" w:color="auto" w:fill="F4F7FB"/>
          </w:tcPr>
          <w:p>
            <w:pPr>
              <w:spacing w:after="0"/>
            </w:pPr>
            <w:r/>
            <w:r>
              <w:rPr>
                <w:rFonts w:ascii="맑은 고딕" w:hAnsi="맑은 고딕" w:eastAsia="맑은 고딕" w:cs="맑은 고딕"/>
                <w:b w:val="0"/>
                <w:sz w:val="19"/>
              </w:rPr>
              <w:t>C1</w:t>
            </w:r>
          </w:p>
        </w:tc>
        <w:tc>
          <w:tcPr>
            <w:tcW w:type="dxa" w:w="8504"/>
            <w:shd w:val="clear" w:color="auto" w:fill="F4F7FB"/>
          </w:tcPr>
          <w:p>
            <w:pPr>
              <w:spacing w:after="0"/>
            </w:pPr>
            <w:r/>
            <w:r>
              <w:rPr>
                <w:rFonts w:ascii="맑은 고딕" w:hAnsi="맑은 고딕" w:eastAsia="맑은 고딕" w:cs="맑은 고딕"/>
                <w:b w:val="0"/>
                <w:sz w:val="19"/>
              </w:rPr>
              <w:t>왜 PATSTAT을 썼습니까?</w:t>
            </w:r>
          </w:p>
        </w:tc>
      </w:tr>
      <w:tr>
        <w:tc>
          <w:tcPr>
            <w:tcW w:type="dxa" w:w="907"/>
          </w:tcPr>
          <w:p>
            <w:pPr>
              <w:spacing w:after="0"/>
            </w:pPr>
            <w:r/>
            <w:r>
              <w:rPr>
                <w:rFonts w:ascii="맑은 고딕" w:hAnsi="맑은 고딕" w:eastAsia="맑은 고딕" w:cs="맑은 고딕"/>
                <w:b w:val="0"/>
                <w:sz w:val="19"/>
              </w:rPr>
              <w:t>C2</w:t>
            </w:r>
          </w:p>
        </w:tc>
        <w:tc>
          <w:tcPr>
            <w:tcW w:type="dxa" w:w="8504"/>
          </w:tcPr>
          <w:p>
            <w:pPr>
              <w:spacing w:after="0"/>
            </w:pPr>
            <w:r/>
            <w:r>
              <w:rPr>
                <w:rFonts w:ascii="맑은 고딕" w:hAnsi="맑은 고딕" w:eastAsia="맑은 고딕" w:cs="맑은 고딕"/>
                <w:b w:val="0"/>
                <w:sz w:val="19"/>
              </w:rPr>
              <w:t>검색식은 어떻게 설계했고, 제목 키워드만 쓴 이유와 한계는 무엇입니까?</w:t>
            </w:r>
          </w:p>
        </w:tc>
      </w:tr>
      <w:tr>
        <w:tc>
          <w:tcPr>
            <w:tcW w:type="dxa" w:w="907"/>
            <w:shd w:val="clear" w:color="auto" w:fill="F4F7FB"/>
          </w:tcPr>
          <w:p>
            <w:pPr>
              <w:spacing w:after="0"/>
            </w:pPr>
            <w:r/>
            <w:r>
              <w:rPr>
                <w:rFonts w:ascii="맑은 고딕" w:hAnsi="맑은 고딕" w:eastAsia="맑은 고딕" w:cs="맑은 고딕"/>
                <w:b w:val="0"/>
                <w:sz w:val="19"/>
              </w:rPr>
              <w:t>C3</w:t>
            </w:r>
          </w:p>
        </w:tc>
        <w:tc>
          <w:tcPr>
            <w:tcW w:type="dxa" w:w="8504"/>
            <w:shd w:val="clear" w:color="auto" w:fill="F4F7FB"/>
          </w:tcPr>
          <w:p>
            <w:pPr>
              <w:spacing w:after="0"/>
            </w:pPr>
            <w:r/>
            <w:r>
              <w:rPr>
                <w:rFonts w:ascii="맑은 고딕" w:hAnsi="맑은 고딕" w:eastAsia="맑은 고딕" w:cs="맑은 고딕"/>
                <w:b w:val="0"/>
                <w:sz w:val="19"/>
              </w:rPr>
              <w:t>direct bonding을 검색어에 넣으면 무관한 특허가 섞이지 않습니까?</w:t>
            </w:r>
          </w:p>
        </w:tc>
      </w:tr>
      <w:tr>
        <w:tc>
          <w:tcPr>
            <w:tcW w:type="dxa" w:w="907"/>
          </w:tcPr>
          <w:p>
            <w:pPr>
              <w:spacing w:after="0"/>
            </w:pPr>
            <w:r/>
            <w:r>
              <w:rPr>
                <w:rFonts w:ascii="맑은 고딕" w:hAnsi="맑은 고딕" w:eastAsia="맑은 고딕" w:cs="맑은 고딕"/>
                <w:b w:val="0"/>
                <w:sz w:val="19"/>
              </w:rPr>
              <w:t>C5</w:t>
            </w:r>
          </w:p>
        </w:tc>
        <w:tc>
          <w:tcPr>
            <w:tcW w:type="dxa" w:w="8504"/>
          </w:tcPr>
          <w:p>
            <w:pPr>
              <w:spacing w:after="0"/>
            </w:pPr>
            <w:r/>
            <w:r>
              <w:rPr>
                <w:rFonts w:ascii="맑은 고딕" w:hAnsi="맑은 고딕" w:eastAsia="맑은 고딕" w:cs="맑은 고딕"/>
                <w:b w:val="0"/>
                <w:sz w:val="19"/>
              </w:rPr>
              <w:t>같은 발명이 여러 나라에 출원되면 중복 집계되지 않습니까?</w:t>
            </w:r>
          </w:p>
        </w:tc>
      </w:tr>
      <w:tr>
        <w:tc>
          <w:tcPr>
            <w:tcW w:type="dxa" w:w="907"/>
            <w:shd w:val="clear" w:color="auto" w:fill="F4F7FB"/>
          </w:tcPr>
          <w:p>
            <w:pPr>
              <w:spacing w:after="0"/>
            </w:pPr>
            <w:r/>
            <w:r>
              <w:rPr>
                <w:rFonts w:ascii="맑은 고딕" w:hAnsi="맑은 고딕" w:eastAsia="맑은 고딕" w:cs="맑은 고딕"/>
                <w:b w:val="0"/>
                <w:sz w:val="19"/>
              </w:rPr>
              <w:t>D1</w:t>
            </w:r>
          </w:p>
        </w:tc>
        <w:tc>
          <w:tcPr>
            <w:tcW w:type="dxa" w:w="8504"/>
            <w:shd w:val="clear" w:color="auto" w:fill="F4F7FB"/>
          </w:tcPr>
          <w:p>
            <w:pPr>
              <w:spacing w:after="0"/>
            </w:pPr>
            <w:r/>
            <w:r>
              <w:rPr>
                <w:rFonts w:ascii="맑은 고딕" w:hAnsi="맑은 고딕" w:eastAsia="맑은 고딕" w:cs="맑은 고딕"/>
                <w:b w:val="0"/>
                <w:sz w:val="19"/>
              </w:rPr>
              <w:t>H01L21–H01L24 공동분류를 "공정 단계 간 융합"으로 볼 수 있는 근거는 무엇입니까? (구성타당성)</w:t>
            </w:r>
          </w:p>
        </w:tc>
      </w:tr>
      <w:tr>
        <w:tc>
          <w:tcPr>
            <w:tcW w:type="dxa" w:w="907"/>
          </w:tcPr>
          <w:p>
            <w:pPr>
              <w:spacing w:after="0"/>
            </w:pPr>
            <w:r/>
            <w:r>
              <w:rPr>
                <w:rFonts w:ascii="맑은 고딕" w:hAnsi="맑은 고딕" w:eastAsia="맑은 고딕" w:cs="맑은 고딕"/>
                <w:b w:val="0"/>
                <w:sz w:val="19"/>
              </w:rPr>
              <w:t>D2</w:t>
            </w:r>
          </w:p>
        </w:tc>
        <w:tc>
          <w:tcPr>
            <w:tcW w:type="dxa" w:w="8504"/>
          </w:tcPr>
          <w:p>
            <w:pPr>
              <w:spacing w:after="0"/>
            </w:pPr>
            <w:r/>
            <w:r>
              <w:rPr>
                <w:rFonts w:ascii="맑은 고딕" w:hAnsi="맑은 고딕" w:eastAsia="맑은 고딕" w:cs="맑은 고딕"/>
                <w:b w:val="0"/>
                <w:sz w:val="19"/>
              </w:rPr>
              <w:t>H01L21에는 패키징 공정도 들어 있는데, 통합형을 전공정–후공정 융합이라고 할 수 있습니까?</w:t>
            </w:r>
          </w:p>
        </w:tc>
      </w:tr>
      <w:tr>
        <w:tc>
          <w:tcPr>
            <w:tcW w:type="dxa" w:w="907"/>
            <w:shd w:val="clear" w:color="auto" w:fill="F4F7FB"/>
          </w:tcPr>
          <w:p>
            <w:pPr>
              <w:spacing w:after="0"/>
            </w:pPr>
            <w:r/>
            <w:r>
              <w:rPr>
                <w:rFonts w:ascii="맑은 고딕" w:hAnsi="맑은 고딕" w:eastAsia="맑은 고딕" w:cs="맑은 고딕"/>
                <w:b w:val="0"/>
                <w:sz w:val="19"/>
              </w:rPr>
              <w:t>D3</w:t>
            </w:r>
          </w:p>
        </w:tc>
        <w:tc>
          <w:tcPr>
            <w:tcW w:type="dxa" w:w="8504"/>
            <w:shd w:val="clear" w:color="auto" w:fill="F4F7FB"/>
          </w:tcPr>
          <w:p>
            <w:pPr>
              <w:spacing w:after="0"/>
            </w:pPr>
            <w:r/>
            <w:r>
              <w:rPr>
                <w:rFonts w:ascii="맑은 고딕" w:hAnsi="맑은 고딕" w:eastAsia="맑은 고딕" w:cs="맑은 고딕"/>
                <w:b w:val="0"/>
                <w:sz w:val="19"/>
              </w:rPr>
              <w:t>기술범위(breadth)는 정확히 무엇을 측정합니까? Lerner의 특허 범위와 같습니까?</w:t>
            </w:r>
          </w:p>
        </w:tc>
      </w:tr>
      <w:tr>
        <w:tc>
          <w:tcPr>
            <w:tcW w:type="dxa" w:w="907"/>
          </w:tcPr>
          <w:p>
            <w:pPr>
              <w:spacing w:after="0"/>
            </w:pPr>
            <w:r/>
            <w:r>
              <w:rPr>
                <w:rFonts w:ascii="맑은 고딕" w:hAnsi="맑은 고딕" w:eastAsia="맑은 고딕" w:cs="맑은 고딕"/>
                <w:b w:val="0"/>
                <w:sz w:val="19"/>
              </w:rPr>
              <w:t>D4</w:t>
            </w:r>
          </w:p>
        </w:tc>
        <w:tc>
          <w:tcPr>
            <w:tcW w:type="dxa" w:w="8504"/>
          </w:tcPr>
          <w:p>
            <w:pPr>
              <w:spacing w:after="0"/>
            </w:pPr>
            <w:r/>
            <w:r>
              <w:rPr>
                <w:rFonts w:ascii="맑은 고딕" w:hAnsi="맑은 고딕" w:eastAsia="맑은 고딕" w:cs="맑은 고딕"/>
                <w:b w:val="0"/>
                <w:sz w:val="19"/>
              </w:rPr>
              <w:t>통합형은 정의상 기호가 2개 이상이니, 기술범위가 넓을수록 통합형이 되는 것은 당연한 결과 아닙니까?</w:t>
            </w:r>
          </w:p>
        </w:tc>
      </w:tr>
      <w:tr>
        <w:tc>
          <w:tcPr>
            <w:tcW w:type="dxa" w:w="907"/>
            <w:shd w:val="clear" w:color="auto" w:fill="F4F7FB"/>
          </w:tcPr>
          <w:p>
            <w:pPr>
              <w:spacing w:after="0"/>
            </w:pPr>
            <w:r/>
            <w:r>
              <w:rPr>
                <w:rFonts w:ascii="맑은 고딕" w:hAnsi="맑은 고딕" w:eastAsia="맑은 고딕" w:cs="맑은 고딕"/>
                <w:b w:val="0"/>
                <w:sz w:val="19"/>
              </w:rPr>
              <w:t>E1</w:t>
            </w:r>
          </w:p>
        </w:tc>
        <w:tc>
          <w:tcPr>
            <w:tcW w:type="dxa" w:w="8504"/>
            <w:shd w:val="clear" w:color="auto" w:fill="F4F7FB"/>
          </w:tcPr>
          <w:p>
            <w:pPr>
              <w:spacing w:after="0"/>
            </w:pPr>
            <w:r/>
            <w:r>
              <w:rPr>
                <w:rFonts w:ascii="맑은 고딕" w:hAnsi="맑은 고딕" w:eastAsia="맑은 고딕" w:cs="맑은 고딕"/>
                <w:b w:val="0"/>
                <w:sz w:val="19"/>
              </w:rPr>
              <w:t>왜 다항 로짓을 썼습니까? 순서형 로짓은 고려하지 않았습니까?</w:t>
            </w:r>
          </w:p>
        </w:tc>
      </w:tr>
      <w:tr>
        <w:tc>
          <w:tcPr>
            <w:tcW w:type="dxa" w:w="907"/>
          </w:tcPr>
          <w:p>
            <w:pPr>
              <w:spacing w:after="0"/>
            </w:pPr>
            <w:r/>
            <w:r>
              <w:rPr>
                <w:rFonts w:ascii="맑은 고딕" w:hAnsi="맑은 고딕" w:eastAsia="맑은 고딕" w:cs="맑은 고딕"/>
                <w:b w:val="0"/>
                <w:sz w:val="19"/>
              </w:rPr>
              <w:t>E2</w:t>
            </w:r>
          </w:p>
        </w:tc>
        <w:tc>
          <w:tcPr>
            <w:tcW w:type="dxa" w:w="8504"/>
          </w:tcPr>
          <w:p>
            <w:pPr>
              <w:spacing w:after="0"/>
            </w:pPr>
            <w:r/>
            <w:r>
              <w:rPr>
                <w:rFonts w:ascii="맑은 고딕" w:hAnsi="맑은 고딕" w:eastAsia="맑은 고딕" w:cs="맑은 고딕"/>
                <w:b w:val="0"/>
                <w:sz w:val="19"/>
              </w:rPr>
              <w:t>RRR 1.403과 OR 1.267은 정확히 무엇을 뜻합니까?</w:t>
            </w:r>
          </w:p>
        </w:tc>
      </w:tr>
      <w:tr>
        <w:tc>
          <w:tcPr>
            <w:tcW w:type="dxa" w:w="907"/>
            <w:shd w:val="clear" w:color="auto" w:fill="F4F7FB"/>
          </w:tcPr>
          <w:p>
            <w:pPr>
              <w:spacing w:after="0"/>
            </w:pPr>
            <w:r/>
            <w:r>
              <w:rPr>
                <w:rFonts w:ascii="맑은 고딕" w:hAnsi="맑은 고딕" w:eastAsia="맑은 고딕" w:cs="맑은 고딕"/>
                <w:b w:val="0"/>
                <w:sz w:val="19"/>
              </w:rPr>
              <w:t>E5</w:t>
            </w:r>
          </w:p>
        </w:tc>
        <w:tc>
          <w:tcPr>
            <w:tcW w:type="dxa" w:w="8504"/>
            <w:shd w:val="clear" w:color="auto" w:fill="F4F7FB"/>
          </w:tcPr>
          <w:p>
            <w:pPr>
              <w:spacing w:after="0"/>
            </w:pPr>
            <w:r/>
            <w:r>
              <w:rPr>
                <w:rFonts w:ascii="맑은 고딕" w:hAnsi="맑은 고딕" w:eastAsia="맑은 고딕" w:cs="맑은 고딕"/>
                <w:b w:val="0"/>
                <w:sz w:val="19"/>
              </w:rPr>
              <w:t>셋째 연구 질문 모형의 상호작용 항을 어떻게 해석합니까?</w:t>
            </w:r>
          </w:p>
        </w:tc>
      </w:tr>
      <w:tr>
        <w:tc>
          <w:tcPr>
            <w:tcW w:type="dxa" w:w="907"/>
          </w:tcPr>
          <w:p>
            <w:pPr>
              <w:spacing w:after="0"/>
            </w:pPr>
            <w:r/>
            <w:r>
              <w:rPr>
                <w:rFonts w:ascii="맑은 고딕" w:hAnsi="맑은 고딕" w:eastAsia="맑은 고딕" w:cs="맑은 고딕"/>
                <w:b w:val="0"/>
                <w:sz w:val="19"/>
              </w:rPr>
              <w:t>E7</w:t>
            </w:r>
          </w:p>
        </w:tc>
        <w:tc>
          <w:tcPr>
            <w:tcW w:type="dxa" w:w="8504"/>
          </w:tcPr>
          <w:p>
            <w:pPr>
              <w:spacing w:after="0"/>
            </w:pPr>
            <w:r/>
            <w:r>
              <w:rPr>
                <w:rFonts w:ascii="맑은 고딕" w:hAnsi="맑은 고딕" w:eastAsia="맑은 고딕" w:cs="맑은 고딕"/>
                <w:b w:val="0"/>
                <w:sz w:val="19"/>
              </w:rPr>
              <w:t>출원 시기를 세 구간으로 나눈 근거는 무엇입니까? 형성기·확산기·재편기라는 이름은 미리 정한 것입니까?</w:t>
            </w:r>
          </w:p>
        </w:tc>
      </w:tr>
      <w:tr>
        <w:tc>
          <w:tcPr>
            <w:tcW w:type="dxa" w:w="907"/>
            <w:shd w:val="clear" w:color="auto" w:fill="F4F7FB"/>
          </w:tcPr>
          <w:p>
            <w:pPr>
              <w:spacing w:after="0"/>
            </w:pPr>
            <w:r/>
            <w:r>
              <w:rPr>
                <w:rFonts w:ascii="맑은 고딕" w:hAnsi="맑은 고딕" w:eastAsia="맑은 고딕" w:cs="맑은 고딕"/>
                <w:b w:val="0"/>
                <w:sz w:val="19"/>
              </w:rPr>
              <w:t>F1</w:t>
            </w:r>
          </w:p>
        </w:tc>
        <w:tc>
          <w:tcPr>
            <w:tcW w:type="dxa" w:w="8504"/>
            <w:shd w:val="clear" w:color="auto" w:fill="F4F7FB"/>
          </w:tcPr>
          <w:p>
            <w:pPr>
              <w:spacing w:after="0"/>
            </w:pPr>
            <w:r/>
            <w:r>
              <w:rPr>
                <w:rFonts w:ascii="맑은 고딕" w:hAnsi="맑은 고딕" w:eastAsia="맑은 고딕" w:cs="맑은 고딕"/>
                <w:b w:val="0"/>
                <w:sz w:val="19"/>
              </w:rPr>
              <w:t>통합형 45.8%를 "예외적이지 않다"고 판단한 기준은 무엇입니까? 비교 대상이 없지 않습니까?</w:t>
            </w:r>
          </w:p>
        </w:tc>
      </w:tr>
      <w:tr>
        <w:tc>
          <w:tcPr>
            <w:tcW w:type="dxa" w:w="907"/>
          </w:tcPr>
          <w:p>
            <w:pPr>
              <w:spacing w:after="0"/>
            </w:pPr>
            <w:r/>
            <w:r>
              <w:rPr>
                <w:rFonts w:ascii="맑은 고딕" w:hAnsi="맑은 고딕" w:eastAsia="맑은 고딕" w:cs="맑은 고딕"/>
                <w:b w:val="0"/>
                <w:sz w:val="19"/>
              </w:rPr>
              <w:t>F2</w:t>
            </w:r>
          </w:p>
        </w:tc>
        <w:tc>
          <w:tcPr>
            <w:tcW w:type="dxa" w:w="8504"/>
          </w:tcPr>
          <w:p>
            <w:pPr>
              <w:spacing w:after="0"/>
            </w:pPr>
            <w:r/>
            <w:r>
              <w:rPr>
                <w:rFonts w:ascii="맑은 고딕" w:hAnsi="맑은 고딕" w:eastAsia="맑은 고딕" w:cs="맑은 고딕"/>
                <w:b w:val="0"/>
                <w:sz w:val="19"/>
              </w:rPr>
              <w:t>재편기에 통합형이 줄었는데, 그러면 융합이 약해졌다는 뜻 아닙니까?</w:t>
            </w:r>
          </w:p>
        </w:tc>
      </w:tr>
      <w:tr>
        <w:tc>
          <w:tcPr>
            <w:tcW w:type="dxa" w:w="907"/>
            <w:shd w:val="clear" w:color="auto" w:fill="F4F7FB"/>
          </w:tcPr>
          <w:p>
            <w:pPr>
              <w:spacing w:after="0"/>
            </w:pPr>
            <w:r/>
            <w:r>
              <w:rPr>
                <w:rFonts w:ascii="맑은 고딕" w:hAnsi="맑은 고딕" w:eastAsia="맑은 고딕" w:cs="맑은 고딕"/>
                <w:b w:val="0"/>
                <w:sz w:val="19"/>
              </w:rPr>
              <w:t>F3</w:t>
            </w:r>
          </w:p>
        </w:tc>
        <w:tc>
          <w:tcPr>
            <w:tcW w:type="dxa" w:w="8504"/>
            <w:shd w:val="clear" w:color="auto" w:fill="F4F7FB"/>
          </w:tcPr>
          <w:p>
            <w:pPr>
              <w:spacing w:after="0"/>
            </w:pPr>
            <w:r/>
            <w:r>
              <w:rPr>
                <w:rFonts w:ascii="맑은 고딕" w:hAnsi="맑은 고딕" w:eastAsia="맑은 고딕" w:cs="맑은 고딕"/>
                <w:b w:val="0"/>
                <w:sz w:val="19"/>
              </w:rPr>
              <w:t>형성기·확산기·재편기를 지식 융합·기술 융합·응용 융합에 대응시킨 것은 과도한 해석 아닙니까?</w:t>
            </w:r>
          </w:p>
        </w:tc>
      </w:tr>
      <w:tr>
        <w:tc>
          <w:tcPr>
            <w:tcW w:type="dxa" w:w="907"/>
          </w:tcPr>
          <w:p>
            <w:pPr>
              <w:spacing w:after="0"/>
            </w:pPr>
            <w:r/>
            <w:r>
              <w:rPr>
                <w:rFonts w:ascii="맑은 고딕" w:hAnsi="맑은 고딕" w:eastAsia="맑은 고딕" w:cs="맑은 고딕"/>
                <w:b w:val="0"/>
                <w:sz w:val="19"/>
              </w:rPr>
              <w:t>F4</w:t>
            </w:r>
          </w:p>
        </w:tc>
        <w:tc>
          <w:tcPr>
            <w:tcW w:type="dxa" w:w="8504"/>
          </w:tcPr>
          <w:p>
            <w:pPr>
              <w:spacing w:after="0"/>
            </w:pPr>
            <w:r/>
            <w:r>
              <w:rPr>
                <w:rFonts w:ascii="맑은 고딕" w:hAnsi="맑은 고딕" w:eastAsia="맑은 고딕" w:cs="맑은 고딕"/>
                <w:b w:val="0"/>
                <w:sz w:val="19"/>
              </w:rPr>
              <w:t>핵심 기술의 승산비가 11.07에서 0.66으로 떨어진 것이 지배적 설계 형성의 증거입니까?</w:t>
            </w:r>
          </w:p>
        </w:tc>
      </w:tr>
      <w:tr>
        <w:tc>
          <w:tcPr>
            <w:tcW w:type="dxa" w:w="907"/>
            <w:shd w:val="clear" w:color="auto" w:fill="F4F7FB"/>
          </w:tcPr>
          <w:p>
            <w:pPr>
              <w:spacing w:after="0"/>
            </w:pPr>
            <w:r/>
            <w:r>
              <w:rPr>
                <w:rFonts w:ascii="맑은 고딕" w:hAnsi="맑은 고딕" w:eastAsia="맑은 고딕" w:cs="맑은 고딕"/>
                <w:b w:val="0"/>
                <w:sz w:val="19"/>
              </w:rPr>
              <w:t>G1</w:t>
            </w:r>
          </w:p>
        </w:tc>
        <w:tc>
          <w:tcPr>
            <w:tcW w:type="dxa" w:w="8504"/>
            <w:shd w:val="clear" w:color="auto" w:fill="F4F7FB"/>
          </w:tcPr>
          <w:p>
            <w:pPr>
              <w:spacing w:after="0"/>
            </w:pPr>
            <w:r/>
            <w:r>
              <w:rPr>
                <w:rFonts w:ascii="맑은 고딕" w:hAnsi="맑은 고딕" w:eastAsia="맑은 고딕" w:cs="맑은 고딕"/>
                <w:b w:val="0"/>
                <w:sz w:val="19"/>
              </w:rPr>
              <w:t>이 연구의 가장 큰 한계는 무엇이라고 생각합니까?</w:t>
            </w:r>
          </w:p>
        </w:tc>
      </w:tr>
      <w:tr>
        <w:tc>
          <w:tcPr>
            <w:tcW w:type="dxa" w:w="907"/>
          </w:tcPr>
          <w:p>
            <w:pPr>
              <w:spacing w:after="0"/>
            </w:pPr>
            <w:r/>
            <w:r>
              <w:rPr>
                <w:rFonts w:ascii="맑은 고딕" w:hAnsi="맑은 고딕" w:eastAsia="맑은 고딕" w:cs="맑은 고딕"/>
                <w:b w:val="0"/>
                <w:sz w:val="19"/>
              </w:rPr>
              <w:t>H1</w:t>
            </w:r>
          </w:p>
        </w:tc>
        <w:tc>
          <w:tcPr>
            <w:tcW w:type="dxa" w:w="8504"/>
          </w:tcPr>
          <w:p>
            <w:pPr>
              <w:spacing w:after="0"/>
            </w:pPr>
            <w:r/>
            <w:r>
              <w:rPr>
                <w:rFonts w:ascii="맑은 고딕" w:hAnsi="맑은 고딕" w:eastAsia="맑은 고딕" w:cs="맑은 고딕"/>
                <w:b w:val="0"/>
                <w:sz w:val="19"/>
              </w:rPr>
              <w:t>하이브리드 본딩의 원리를 간단히 설명해 보십시오.</w:t>
            </w:r>
          </w:p>
        </w:tc>
      </w:tr>
    </w:tbl>
    <w:p>
      <w:pPr>
        <w:spacing w:after="40"/>
      </w:pPr>
    </w:p>
    <w:p>
      <w:pPr>
        <w:pStyle w:val="Heading2"/>
      </w:pPr>
      <w:r>
        <w:t>A. 연구의 동기 · 의의 · 기여</w:t>
      </w:r>
    </w:p>
    <w:p>
      <w:pPr>
        <w:pStyle w:val="Heading3"/>
      </w:pPr>
      <w:r>
        <w:rPr>
          <w:rFonts w:ascii="맑은 고딕" w:hAnsi="맑은 고딕" w:eastAsia="맑은 고딕" w:cs="맑은 고딕"/>
          <w:b/>
          <w:color w:val="C9A227"/>
          <w:sz w:val="22"/>
        </w:rPr>
        <w:t xml:space="preserve">A1  ★★★  </w:t>
      </w:r>
      <w:r>
        <w:rPr>
          <w:rFonts w:ascii="맑은 고딕" w:hAnsi="맑은 고딕" w:eastAsia="맑은 고딕" w:cs="맑은 고딕"/>
          <w:b/>
          <w:color w:val="13294B"/>
          <w:sz w:val="22"/>
        </w:rPr>
        <w:t>이 연구를 한두 문장으로 요약하고, 왜 이 주제를 택했는지 말해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하이브리드 본딩은 후공정의 접합 기술이지만 그 성패를 전공정의 제조공정 역량이 좌우하므로, 한 산업 안의 공정 단계 사이에서 일어나는 기술융합을 관찰하기에 가장 적합한 사례라고 판단했습니다.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기존 기술융합 연구는 정보통신과 가전, 식품과 제약처럼 서로 다른 산업 사이의 융합을 주로 다루었습니다. 그런데 반도체에서는 전공정과 후공정이라는 한 산업 안의 두 단계가 반세기 넘게 분업해 왔고, 미세화의 한계 이후 첨단 패키징이 등장하면서 그 경계에서 융합이 일어나고 있습니다.</w:t>
      </w:r>
    </w:p>
    <w:p>
      <w:pPr>
        <w:spacing w:after="60" w:before="0"/>
        <w:ind w:left="170"/>
      </w:pPr>
      <w:r>
        <w:rPr>
          <w:rFonts w:ascii="맑은 고딕" w:hAnsi="맑은 고딕" w:eastAsia="맑은 고딕" w:cs="맑은 고딕"/>
          <w:b w:val="0"/>
          <w:sz w:val="21"/>
        </w:rPr>
        <w:t>하이브리드 본딩은 그 대표 사례입니다. 수율을 좌우하는 CMP 평탄화, 표면 활성화, 파티클 제어, 정밀 정렬은 모두 CPC의 제조공정 클래스(H01L21)에 속하고, 접합 형태는 접합·인터커넥트 클래스(H01L24)에 속합니다. 두 영역의 경계가 분류 체계 안에서 명확하기 때문에 특허로 측정할 수 있었습니다.</w:t>
      </w:r>
    </w:p>
    <w:p>
      <w:pPr>
        <w:spacing w:after="60" w:before="0"/>
        <w:ind w:left="170"/>
      </w:pPr>
      <w:r>
        <w:rPr>
          <w:rFonts w:ascii="맑은 고딕" w:hAnsi="맑은 고딕" w:eastAsia="맑은 고딕" w:cs="맑은 고딕"/>
          <w:b w:val="0"/>
          <w:sz w:val="21"/>
        </w:rPr>
        <w:t>또한 공정 단계의 경계를 넘는 발명은 누가 무엇을 생산하고 가치를 어떻게 나누는지를 규정하는 산업 아키텍처(Jacobides et al., 2006)를 바꾸는 기술적 출발점이 될 수 있다는 점에서 기술경영학적으로 의미가 있다고 보았습니다.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4–8 · S20 4–7 · S15 3–5</w:t>
      </w:r>
    </w:p>
    <w:p>
      <w:pPr>
        <w:spacing w:after="20" w:before="0"/>
        <w:ind w:left="170"/>
      </w:pPr>
      <w:r>
        <w:rPr>
          <w:rFonts w:ascii="맑은 고딕" w:hAnsi="맑은 고딕" w:eastAsia="맑은 고딕" w:cs="맑은 고딕"/>
          <w:b/>
          <w:color w:val="13294B"/>
          <w:sz w:val="20"/>
        </w:rPr>
        <w:t xml:space="preserve">꼬리 질문: </w:t>
      </w:r>
      <w:r>
        <w:rPr>
          <w:rFonts w:ascii="맑은 고딕" w:hAnsi="맑은 고딕" w:eastAsia="맑은 고딕" w:cs="맑은 고딕"/>
          <w:b/>
          <w:sz w:val="20"/>
        </w:rPr>
        <w:t>왜 지금 이 주제가 중요한가?</w:t>
      </w:r>
    </w:p>
    <w:p>
      <w:pPr>
        <w:spacing w:after="60" w:before="0"/>
        <w:ind w:left="340"/>
      </w:pPr>
      <w:r>
        <w:rPr>
          <w:rFonts w:ascii="맑은 고딕" w:hAnsi="맑은 고딕" w:eastAsia="맑은 고딕" w:cs="맑은 고딕"/>
          <w:b/>
          <w:color w:val="13294B"/>
          <w:sz w:val="20"/>
        </w:rPr>
        <w:t xml:space="preserve">→ </w:t>
      </w:r>
      <w:r>
        <w:rPr>
          <w:rFonts w:ascii="맑은 고딕" w:hAnsi="맑은 고딕" w:eastAsia="맑은 고딕" w:cs="맑은 고딕"/>
          <w:b w:val="0"/>
          <w:sz w:val="20"/>
        </w:rPr>
        <w:t>차세대 HBM 적층에 하이브리드 본딩 도입이 추진되고, 선도 파운드리가 첨단 패키징 역량을 내재화하는 등(Lau, 2022; KnowMade, 2024) 공정 단계 간 상호의존이 깊어지고 있기 때문입니다.</w:t>
      </w:r>
    </w:p>
    <w:p>
      <w:pPr>
        <w:pStyle w:val="Heading3"/>
      </w:pPr>
      <w:r>
        <w:rPr>
          <w:rFonts w:ascii="맑은 고딕" w:hAnsi="맑은 고딕" w:eastAsia="맑은 고딕" w:cs="맑은 고딕"/>
          <w:b/>
          <w:color w:val="C9A227"/>
          <w:sz w:val="22"/>
        </w:rPr>
        <w:t xml:space="preserve">A2  ★★★  </w:t>
      </w:r>
      <w:r>
        <w:rPr>
          <w:rFonts w:ascii="맑은 고딕" w:hAnsi="맑은 고딕" w:eastAsia="맑은 고딕" w:cs="맑은 고딕"/>
          <w:b/>
          <w:color w:val="13294B"/>
          <w:sz w:val="22"/>
        </w:rPr>
        <w:t>이 연구의 학술적 기여는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세 연구 질문에 대응하는 세 가지 기여와 방법론적 기여 하나가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첫째, 기술융합 연구의 분석 범위를 산업 간 융합에서 동일 산업 내 공정 단계 간 융합으로 넓혔습니다. 두 영역의 기호를 함께 가진 출원이 45.8%(좁은 정의 37.2%)로, 공정 단계의 경계에서도 융합이 개별 발명으로 나타난다는 것을 보였습니다.</w:t>
      </w:r>
    </w:p>
    <w:p>
      <w:pPr>
        <w:spacing w:after="60" w:before="0"/>
        <w:ind w:left="170"/>
      </w:pPr>
      <w:r>
        <w:rPr>
          <w:rFonts w:ascii="맑은 고딕" w:hAnsi="맑은 고딕" w:eastAsia="맑은 고딕" w:cs="맑은 고딕"/>
          <w:b w:val="0"/>
          <w:sz w:val="21"/>
        </w:rPr>
        <w:t>둘째, 융합을 한 번 형성되면 계속 늘어나는 정태적 결합이 아니라, 형성–확산–재편의 국면에 따라 유형별 구성이 바뀌는 동태적 과정으로 분석했습니다.</w:t>
      </w:r>
    </w:p>
    <w:p>
      <w:pPr>
        <w:spacing w:after="60" w:before="0"/>
        <w:ind w:left="170"/>
      </w:pPr>
      <w:r>
        <w:rPr>
          <w:rFonts w:ascii="맑은 고딕" w:hAnsi="맑은 고딕" w:eastAsia="맑은 고딕" w:cs="맑은 고딕"/>
          <w:b w:val="0"/>
          <w:sz w:val="21"/>
        </w:rPr>
        <w:t>셋째, 융합의 구조적 중심이 핵심 기술에서 주변 공정으로 이동했다는 것을 핵심–주변 관점(Murmann &amp; Frenken, 2006)과 기술 순환 모형(Anderson &amp; Tushman, 1990)으로 실증했습니다. 특히 단계 모형의 지식 융합 → 기술 융합 → 응용 융합의 흐름이 공동분류 유형의 구성 변화와 융합 중심의 이동으로 나타날 수 있음을 제시했습니다.</w:t>
      </w:r>
    </w:p>
    <w:p>
      <w:pPr>
        <w:spacing w:after="60" w:before="0"/>
        <w:ind w:left="170"/>
      </w:pPr>
      <w:r>
        <w:rPr>
          <w:rFonts w:ascii="맑은 고딕" w:hAnsi="맑은 고딕" w:eastAsia="맑은 고딕" w:cs="맑은 고딕"/>
          <w:b w:val="0"/>
          <w:sz w:val="21"/>
        </w:rPr>
        <w:t>방법론적으로는 새로운 융합지수를 만드는 대신, 공동분류를 개별 특허의 유형으로 재구성하여 특허 수준의 이질성과 시간적 변화를 이산선택 모형으로 추정할 수 있게 했고, 이를 기술 클러스터·네트워크로 식별한 핵심 기술과 연결했습니다.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제7장(46쪽~) 마지막 단락, 제6장 제1절(40쪽~)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36 · S20 26 · S15 18</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"새로운 지수를 개발했다"고 말하지 마십시오. 논문은 "새로운 융합지수를 제안하는 대신" 기존 공동분류를 개별 특허 유형으로 재구성했다고 서술합니다.</w:t>
      </w:r>
    </w:p>
    <w:p>
      <w:pPr>
        <w:pStyle w:val="Heading3"/>
      </w:pPr>
      <w:r>
        <w:rPr>
          <w:rFonts w:ascii="맑은 고딕" w:hAnsi="맑은 고딕" w:eastAsia="맑은 고딕" w:cs="맑은 고딕"/>
          <w:b/>
          <w:color w:val="C9A227"/>
          <w:sz w:val="22"/>
        </w:rPr>
        <w:t xml:space="preserve">A3  ★★☆  </w:t>
      </w:r>
      <w:r>
        <w:rPr>
          <w:rFonts w:ascii="맑은 고딕" w:hAnsi="맑은 고딕" w:eastAsia="맑은 고딕" w:cs="맑은 고딕"/>
          <w:b/>
          <w:color w:val="13294B"/>
          <w:sz w:val="22"/>
        </w:rPr>
        <w:t>기술경영(MOT) 관점에서 이 연구가 주는 의미는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기술 변화가 기업이 보유해야 할 지식의 경계를 어떻게 다시 그리는지를 특허로 포착했다는 점입니다.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생산의 경계와 지식의 경계는 다르며(Brusoni et al., 2001; Kapoor &amp; Adner, 2012), 인터페이스가 불안정해지면 기업은 직접 생산하지 않는 단계의 지식까지 보유해야 합니다. 본 연구는 그런 변화가 조직이나 산업 구조보다 먼저 두 단계의 지식을 함께 담은 발명으로 나타나는지를 보았습니다.</w:t>
      </w:r>
    </w:p>
    <w:p>
      <w:pPr>
        <w:spacing w:after="60" w:before="0"/>
        <w:ind w:left="170"/>
      </w:pPr>
      <w:r>
        <w:rPr>
          <w:rFonts w:ascii="맑은 고딕" w:hAnsi="맑은 고딕" w:eastAsia="맑은 고딕" w:cs="맑은 고딕"/>
          <w:b w:val="0"/>
          <w:sz w:val="21"/>
        </w:rPr>
        <w:t>실무적으로는 하이브리드 본딩에서 접합 기술 역량만으로는 충분하지 않고 평탄화, 오염 제어, 표면 화학, 정렬을 아우르는 인접 공정 지식이 중요해질 수 있으며, 재편기에는 경쟁의 초점이 핵심 원리에서 다이 단위 공정과의 결합으로 옮겨 가고 있을 가능성을 보였습니다.</w:t>
      </w:r>
    </w:p>
    <w:p>
      <w:pPr>
        <w:spacing w:after="60" w:before="0"/>
        <w:ind w:left="170"/>
      </w:pPr>
      <w:r>
        <w:rPr>
          <w:rFonts w:ascii="맑은 고딕" w:hAnsi="맑은 고딕" w:eastAsia="맑은 고딕" w:cs="맑은 고딕"/>
          <w:b w:val="0"/>
          <w:sz w:val="21"/>
        </w:rPr>
        <w:t>경계를 넘는 특허의 분포가 조직 경계 변화에 앞서 나타나는 지표가 될 수 있다는 가설은 후속 연구 과제로 남겼습니다.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첫째, 제6장 제2절(43쪽~)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38 · S20 28 · S15 19</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"선행 지표임을 보였다"고 말하면 안 됩니다. 논문은 이를 후속 연구의 가설로 남겼습니다.</w:t>
      </w:r>
    </w:p>
    <w:p>
      <w:pPr>
        <w:pStyle w:val="Heading3"/>
      </w:pPr>
      <w:r>
        <w:rPr>
          <w:rFonts w:ascii="맑은 고딕" w:hAnsi="맑은 고딕" w:eastAsia="맑은 고딕" w:cs="맑은 고딕"/>
          <w:b/>
          <w:color w:val="C9A227"/>
          <w:sz w:val="22"/>
        </w:rPr>
        <w:t xml:space="preserve">A4  ★★☆  </w:t>
      </w:r>
      <w:r>
        <w:rPr>
          <w:rFonts w:ascii="맑은 고딕" w:hAnsi="맑은 고딕" w:eastAsia="맑은 고딕" w:cs="맑은 고딕"/>
          <w:b/>
          <w:color w:val="13294B"/>
          <w:sz w:val="22"/>
        </w:rPr>
        <w:t>왜 하필 하이브리드 본딩입니까? TSV나 마이크로범프 같은 다른 첨단 패키징 기술은 왜 다루지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성능이 전공정 제조공정 역량에 직접 의존한다는 특성이 가장 분명하고, 제조공정(H01L21)과 접합(H01L24)의 경계가 분류 체계에서 명확해 측정이 가능했기 때문입니다.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하이브리드 본딩은 솔더 범프 없이 구리 패드와 산화막을 직접 접합하므로, 나노미터 수준의 평탄화와 표면 처리 없이는 접합 자체가 되지 않습니다. 후공정 기술의 성패를 전공정 역량이 좌우한다는 연구 질문에 가장 잘 맞는 사례입니다.</w:t>
      </w:r>
    </w:p>
    <w:p>
      <w:pPr>
        <w:spacing w:after="60" w:before="0"/>
        <w:ind w:left="170"/>
      </w:pPr>
      <w:r>
        <w:rPr>
          <w:rFonts w:ascii="맑은 고딕" w:hAnsi="맑은 고딕" w:eastAsia="맑은 고딕" w:cs="맑은 고딕"/>
          <w:b w:val="0"/>
          <w:sz w:val="21"/>
        </w:rPr>
        <w:t>또 출원이 2010년대 후반에 급증하여 2022년경 정점에 이르렀기 때문에, 기술이 형성되고 확산되며 재편되는 시간적 변화를 관찰할 수 있었습니다.</w:t>
      </w:r>
    </w:p>
    <w:p>
      <w:pPr>
        <w:spacing w:after="60" w:before="0"/>
        <w:ind w:left="170"/>
      </w:pPr>
      <w:r>
        <w:rPr>
          <w:rFonts w:ascii="맑은 고딕" w:hAnsi="맑은 고딕" w:eastAsia="맑은 고딕" w:cs="맑은 고딕"/>
          <w:b w:val="0"/>
          <w:sz w:val="21"/>
        </w:rPr>
        <w:t>다른 패키징 기술도 같은 두 클래스 규칙과 이산선택 모형으로 분석할 수 있습니다. 논문 제6장 제3절에서 하류 단계가 상류 역량에 의존하기 시작한 다른 공정기술로 확장하는 것을 향후 과제로 제시했습니다.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 제3장(16쪽~), 제6장 제3절(44쪽~)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6–7, 18 · S20 6, 12 · S15 4</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TSV나 마이크로범프의 구체적 특허 수치나 특성은 논문 밖 내용이므로 말하지 않는 것이 안전합니다.</w:t>
      </w:r>
    </w:p>
    <w:p>
      <w:pPr>
        <w:pStyle w:val="Heading3"/>
      </w:pPr>
      <w:r>
        <w:rPr>
          <w:rFonts w:ascii="맑은 고딕" w:hAnsi="맑은 고딕" w:eastAsia="맑은 고딕" w:cs="맑은 고딕"/>
          <w:b/>
          <w:color w:val="C9A227"/>
          <w:sz w:val="22"/>
        </w:rPr>
        <w:t xml:space="preserve">A5  ★★☆  </w:t>
      </w:r>
      <w:r>
        <w:rPr>
          <w:rFonts w:ascii="맑은 고딕" w:hAnsi="맑은 고딕" w:eastAsia="맑은 고딕" w:cs="맑은 고딕"/>
          <w:b/>
          <w:color w:val="13294B"/>
          <w:sz w:val="22"/>
        </w:rPr>
        <w:t>선행연구와 비교해 연구 공백을 정확히 말해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선행연구는 산업 간 융합에 초점을 두었고, 분야 수준의 지수로 측정했으며, 융합의 정도가 늘었는지만 확인했다는 세 가지 특징을 공유합니다.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첫째, 통신과 컴퓨팅, 식품과 제약, 나노와 바이오처럼 서로 다른 산업 사이의 중첩을 다루었습니다(Gambardella &amp; Torrisi, 1998; Bröring et al., 2006; No &amp; Park, 2010).</w:t>
      </w:r>
    </w:p>
    <w:p>
      <w:pPr>
        <w:spacing w:after="60" w:before="0"/>
        <w:ind w:left="170"/>
      </w:pPr>
      <w:r>
        <w:rPr>
          <w:rFonts w:ascii="맑은 고딕" w:hAnsi="맑은 고딕" w:eastAsia="맑은 고딕" w:cs="맑은 고딕"/>
          <w:b w:val="0"/>
          <w:sz w:val="21"/>
        </w:rPr>
        <w:t>둘째, 두 분야 사이의 공동분류나 인용을 집계한 분야 수준 지표를 썼기 때문에(Curran et al., 2010; Cho &amp; Kim, 2014 등), 어떤 발명이 융합을 담는지는 설명하기 어려웠습니다.</w:t>
      </w:r>
    </w:p>
    <w:p>
      <w:pPr>
        <w:spacing w:after="60" w:before="0"/>
        <w:ind w:left="170"/>
      </w:pPr>
      <w:r>
        <w:rPr>
          <w:rFonts w:ascii="맑은 고딕" w:hAnsi="맑은 고딕" w:eastAsia="맑은 고딕" w:cs="맑은 고딕"/>
          <w:b w:val="0"/>
          <w:sz w:val="21"/>
        </w:rPr>
        <w:t>셋째, 이론은 융합을 지식–기술–응용–산업의 단계적 과정으로 보지만(Hacklin et al., 2010), 실증은 융합 정도의 증가 추세를 확인하는 데 머물렀습니다. Sick과 Bröring(2022)도 이 분야가 이론적 기반과 비교적 독립적으로 발전해 왔다고 지적했습니다.</w:t>
      </w:r>
    </w:p>
    <w:p>
      <w:pPr>
        <w:spacing w:after="60" w:before="0"/>
        <w:ind w:left="170"/>
      </w:pPr>
      <w:r>
        <w:rPr>
          <w:rFonts w:ascii="맑은 고딕" w:hAnsi="맑은 고딕" w:eastAsia="맑은 고딕" w:cs="맑은 고딕"/>
          <w:b w:val="0"/>
          <w:sz w:val="21"/>
        </w:rPr>
        <w:t>가장 가까운 선례는 가치사슬 상·하류 기업 간 특허 인용을 분석한 Karvonen과 Kässi(2012)이지만, 이 연구도 하나의 기술이 공정 단계의 경계를 넘는지를 특허 단위에서 검정하지는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 셋째 단락, 제2장 제1절(4쪽~)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8 · S20 7 · S15 5</w:t>
      </w:r>
    </w:p>
    <w:p>
      <w:pPr>
        <w:pStyle w:val="Heading3"/>
      </w:pPr>
      <w:r>
        <w:rPr>
          <w:rFonts w:ascii="맑은 고딕" w:hAnsi="맑은 고딕" w:eastAsia="맑은 고딕" w:cs="맑은 고딕"/>
          <w:b/>
          <w:color w:val="C9A227"/>
          <w:sz w:val="22"/>
        </w:rPr>
        <w:t xml:space="preserve">A6  ★★☆  </w:t>
      </w:r>
      <w:r>
        <w:rPr>
          <w:rFonts w:ascii="맑은 고딕" w:hAnsi="맑은 고딕" w:eastAsia="맑은 고딕" w:cs="맑은 고딕"/>
          <w:b/>
          <w:color w:val="13294B"/>
          <w:sz w:val="22"/>
        </w:rPr>
        <w:t>실무적·정책적 시사점을 구체적으로 말해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하이브리드 본딩 경쟁력은 접합 원리 하나에 좌우되지 않을 수 있으며, 차세대 HBM에서는 제조공정 역량과 함께 얇은 다이를 다루고 적층하는 공정 역량이 필요할 수 있다는 것입니다.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상당수 출원이 제조공정과 접합 기술을 함께 포함한다는 결과는, 표면 평탄화, 오염 제어, 표면 화학, 정렬을 아우르는 인접 공정 지식이 중요해질 수 있음을 뜻합니다. 기업이 직접 생산하는 범위보다 넓은 지식을 보유할수록 유리하다는 지식 경계 논리(Kapoor &amp; Adner, 2012)와 부합합니다.</w:t>
      </w:r>
    </w:p>
    <w:p>
      <w:pPr>
        <w:spacing w:after="60" w:before="0"/>
        <w:ind w:left="170"/>
      </w:pPr>
      <w:r>
        <w:rPr>
          <w:rFonts w:ascii="맑은 고딕" w:hAnsi="맑은 고딕" w:eastAsia="맑은 고딕" w:cs="맑은 고딕"/>
          <w:b w:val="0"/>
          <w:sz w:val="21"/>
        </w:rPr>
        <w:t>재편기에는 핵심 원리를 포함한 발명이 다른 접합 발명보다 제조공정 기호를 더 자주 갖지 않았고, 핵심 기술과 결합하는 공정은 임시 지지 기판, 봉지처럼 다이를 다루고 패키지로 완성하는 공정이 많았습니다. 경쟁의 초점이 핵심 원리의 발명에서 그 원리를 다이 단위 공정과 결합하는 응용의 발명으로 이동하고 있을 가능성을 보여 줍니다.</w:t>
      </w:r>
    </w:p>
    <w:p>
      <w:pPr>
        <w:spacing w:after="60" w:before="0"/>
        <w:ind w:left="170"/>
      </w:pPr>
      <w:r>
        <w:rPr>
          <w:rFonts w:ascii="맑은 고딕" w:hAnsi="맑은 고딕" w:eastAsia="맑은 고딕" w:cs="맑은 고딕"/>
          <w:b w:val="0"/>
          <w:sz w:val="21"/>
        </w:rPr>
        <w:t>차세대 HBM에 하이브리드 본딩을 도입하려는 한국 메모리 산업에는 평탄화, 표면 화학, 정렬 계측과 같은 제조공정 역량에 더해 얇은 다이를 다루고 적층하는 공정까지 포괄하는 역량이 요구될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제2절(43쪽~)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38 · S20 28 · S15 19</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특정 기업이 "무엇을 해야 한다"고 단정하지 말고 "~이 필요할 수 있다" 수준으로 말하십시오. 논문 밖의 시장점유율이나 양산 일정은 언급하지 않는 것이 안전합니다.</w:t>
      </w:r>
    </w:p>
    <w:p>
      <w:pPr>
        <w:pStyle w:val="Heading2"/>
      </w:pPr>
      <w:r>
        <w:t>B. 이론적 배경</w:t>
      </w:r>
    </w:p>
    <w:p>
      <w:pPr>
        <w:pStyle w:val="Heading3"/>
      </w:pPr>
      <w:r>
        <w:rPr>
          <w:rFonts w:ascii="맑은 고딕" w:hAnsi="맑은 고딕" w:eastAsia="맑은 고딕" w:cs="맑은 고딕"/>
          <w:b/>
          <w:color w:val="C9A227"/>
          <w:sz w:val="22"/>
        </w:rPr>
        <w:t xml:space="preserve">B1  ★★★  </w:t>
      </w:r>
      <w:r>
        <w:rPr>
          <w:rFonts w:ascii="맑은 고딕" w:hAnsi="맑은 고딕" w:eastAsia="맑은 고딕" w:cs="맑은 고딕"/>
          <w:b/>
          <w:color w:val="13294B"/>
          <w:sz w:val="22"/>
        </w:rPr>
        <w:t>기술융합의 정의는 무엇이고, "공정 단계 간 기술융합"은 무엇을 뜻합니까?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기술융합은 분리되어 있던 기술 분야가 결합하여 어느 한 분야도 단독으로는 갖지 못한 역량을 만드는 과정(Kodama, 1992)이며, 공정 단계 간 기술융합은 이 개념을 산업 간 경계 대신 한 산업 내부의 공정 경계에 적용한 것입니다.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Rosenberg(1963)는 총기와 재봉틀을 위해 개발된 가공 기술이 공통의 생산공정을 통해 다른 산업으로 퍼지고, 그 공정 지식을 축적한 공작기계 산업이 등장한 과정을 기술적 수렴이라 불렀습니다. 수렴의 단위가 최종 제품이 아니라 생산공정이었다는 점이 본 연구와 직접 연결됩니다.</w:t>
      </w:r>
    </w:p>
    <w:p>
      <w:pPr>
        <w:spacing w:after="60" w:before="0"/>
        <w:ind w:left="170"/>
      </w:pPr>
      <w:r>
        <w:rPr>
          <w:rFonts w:ascii="맑은 고딕" w:hAnsi="맑은 고딕" w:eastAsia="맑은 고딕" w:cs="맑은 고딕"/>
          <w:b w:val="0"/>
          <w:sz w:val="21"/>
        </w:rPr>
        <w:t>하이브리드 본딩에서는 두 공정 단계가 증착, 식각, 도금, 화학적 기계연마라는 공통의 공정과 장비를 공유하기 시작했고, 10 µm 이하의 연결 간격은 접합 기술이나 제조공정 기술 어느 한쪽만으로는 확보할 수 없습니다.</w:t>
      </w:r>
    </w:p>
    <w:p>
      <w:pPr>
        <w:spacing w:after="60" w:before="0"/>
        <w:ind w:left="170"/>
      </w:pPr>
      <w:r>
        <w:rPr>
          <w:rFonts w:ascii="맑은 고딕" w:hAnsi="맑은 고딕" w:eastAsia="맑은 고딕" w:cs="맑은 고딕"/>
          <w:b w:val="0"/>
          <w:sz w:val="21"/>
        </w:rPr>
        <w:t>조작적으로는 H01L21(제조공정)과 H01L24(접합·인터커넥트) 기호가 한 출원에 함께 부여된 것, 즉 통합형으로 측정했습니다.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제1절(4쪽~), 표 3(21쪽)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9–10 · S20 8 · S15 6</w:t>
      </w:r>
    </w:p>
    <w:p>
      <w:pPr>
        <w:pStyle w:val="Heading3"/>
      </w:pPr>
      <w:r>
        <w:rPr>
          <w:rFonts w:ascii="맑은 고딕" w:hAnsi="맑은 고딕" w:eastAsia="맑은 고딕" w:cs="맑은 고딕"/>
          <w:b/>
          <w:color w:val="C9A227"/>
          <w:sz w:val="22"/>
        </w:rPr>
        <w:t xml:space="preserve">B2  ★★★  </w:t>
      </w:r>
      <w:r>
        <w:rPr>
          <w:rFonts w:ascii="맑은 고딕" w:hAnsi="맑은 고딕" w:eastAsia="맑은 고딕" w:cs="맑은 고딕"/>
          <w:b/>
          <w:color w:val="13294B"/>
          <w:sz w:val="22"/>
        </w:rPr>
        <w:t>Hacklin 등의 단계 모형을 쓴 이유와, 네 단계 중 무엇을 측정했는지 말해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단계 모형은 융합이 지식 → 기술 → 응용 → 산업 융합으로 진행된다고 보는 대표적인 과정 이론이며, 본 연구가 특허 공동분류로 직접 측정한 것은 "기술 융합" 단계입니다.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지식 융합은 평탄화, 표면 활성화 같은 제조공정 지식이 칩 연결 문제에 적용되기 시작하는 단계, 기술 융합은 그 지식이 접합 구조와 하나의 발명 안에서 결합되는 단계, 응용 융합은 결합된 기술이 이미지센서·3D NAND·HBM·칩렛으로 구현되는 단계, 산업 융합은 파운드리의 첨단 패키징 내재화처럼 분업 구조가 재편되는 단계입니다.</w:t>
      </w:r>
    </w:p>
    <w:p>
      <w:pPr>
        <w:spacing w:after="60" w:before="0"/>
        <w:ind w:left="170"/>
      </w:pPr>
      <w:r>
        <w:rPr>
          <w:rFonts w:ascii="맑은 고딕" w:hAnsi="맑은 고딕" w:eastAsia="맑은 고딕" w:cs="맑은 고딕"/>
          <w:b w:val="0"/>
          <w:sz w:val="21"/>
        </w:rPr>
        <w:t>서로 다른 분야의 기술이 하나의 발명 안에서 결합되는 기술 융합 단계는 특허로 관찰하기에 적합합니다(Curran &amp; Leker, 2011). 응용 융합은 셋째 연구 질문에서 결합 공정이 주변 공정으로 이동하는지를 통해 간접적으로만 다루었고, 산업 융합은 분석 범위에 넣지 않았습니다.</w:t>
      </w:r>
    </w:p>
    <w:p>
      <w:pPr>
        <w:spacing w:after="60" w:before="0"/>
        <w:ind w:left="170"/>
      </w:pPr>
      <w:r>
        <w:rPr>
          <w:rFonts w:ascii="맑은 고딕" w:hAnsi="맑은 고딕" w:eastAsia="맑은 고딕" w:cs="맑은 고딕"/>
          <w:b w:val="0"/>
          <w:sz w:val="21"/>
        </w:rPr>
        <w:t>단계 모형에서 얻은 또 하나의 시사점은, 융합이 단계적으로 진행된다면 결합되는 기술의 내용도 단계에 따라 달라질 것이라는 점입니다. 그래서 시간적 변화를 결합의 내용과 중심의 변화로 관찰했습니다.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제1절(4쪽~) 셋째 단락, 제2장 제2절(6쪽~) 마지막 단락, 제2장 제5절(14쪽~)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9–10 · S20 8 · S15 6</w:t>
      </w:r>
    </w:p>
    <w:p>
      <w:pPr>
        <w:spacing w:after="20" w:before="0"/>
        <w:ind w:left="170"/>
      </w:pPr>
      <w:r>
        <w:rPr>
          <w:rFonts w:ascii="맑은 고딕" w:hAnsi="맑은 고딕" w:eastAsia="맑은 고딕" w:cs="맑은 고딕"/>
          <w:b/>
          <w:color w:val="13294B"/>
          <w:sz w:val="20"/>
        </w:rPr>
        <w:t xml:space="preserve">꼬리 질문: </w:t>
      </w:r>
      <w:r>
        <w:rPr>
          <w:rFonts w:ascii="맑은 고딕" w:hAnsi="맑은 고딕" w:eastAsia="맑은 고딕" w:cs="맑은 고딕"/>
          <w:b/>
          <w:sz w:val="20"/>
        </w:rPr>
        <w:t>모든 융합이 네 단계를 차례로 거치는가?</w:t>
      </w:r>
    </w:p>
    <w:p>
      <w:pPr>
        <w:spacing w:after="60" w:before="0"/>
        <w:ind w:left="340"/>
      </w:pPr>
      <w:r>
        <w:rPr>
          <w:rFonts w:ascii="맑은 고딕" w:hAnsi="맑은 고딕" w:eastAsia="맑은 고딕" w:cs="맑은 고딕"/>
          <w:b/>
          <w:color w:val="13294B"/>
          <w:sz w:val="20"/>
        </w:rPr>
        <w:t xml:space="preserve">→ </w:t>
      </w:r>
      <w:r>
        <w:rPr>
          <w:rFonts w:ascii="맑은 고딕" w:hAnsi="맑은 고딕" w:eastAsia="맑은 고딕" w:cs="맑은 고딕"/>
          <w:b w:val="0"/>
          <w:sz w:val="20"/>
        </w:rPr>
        <w:t>아닙니다. Curran과 Leker(2011)가 지적했듯 융합은 비선형적으로 진행되므로 모든 융합이 네 단계를 차례로 거치지는 않습니다. 본 연구는 단계의 순서를 검정한 것이 아니라 해석의 틀로 사용했습니다.</w:t>
      </w:r>
    </w:p>
    <w:p>
      <w:pPr>
        <w:pStyle w:val="Heading3"/>
      </w:pPr>
      <w:r>
        <w:rPr>
          <w:rFonts w:ascii="맑은 고딕" w:hAnsi="맑은 고딕" w:eastAsia="맑은 고딕" w:cs="맑은 고딕"/>
          <w:b/>
          <w:color w:val="C9A227"/>
          <w:sz w:val="22"/>
        </w:rPr>
        <w:t xml:space="preserve">B3  ★★☆  </w:t>
      </w:r>
      <w:r>
        <w:rPr>
          <w:rFonts w:ascii="맑은 고딕" w:hAnsi="맑은 고딕" w:eastAsia="맑은 고딕" w:cs="맑은 고딕"/>
          <w:b/>
          <w:color w:val="13294B"/>
          <w:sz w:val="22"/>
        </w:rPr>
        <w:t>단계 모형과 기술 순환 모형을 결합한 근거는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Hacklin 등(2009)도 융합 과정을 혁신 순환 모형에 기초해 설명했으며, 단계 모형은 융합의 수준이 거치는 순서를, 기술 순환 모형은 한 기술 안에서 설계가 경쟁하다 수렴하는 시간 과정을 보여 주므로 서로 보완적입니다.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기술 순환 모형(Anderson &amp; Tushman, 1990)에서 기술 변화는 기술적 불연속 → 격동기 → 지배적 설계 → 점진적 변화의 순환으로 나타나며, 혁신의 성격은 지배적 설계의 등장을 기점으로 달라집니다.</w:t>
      </w:r>
    </w:p>
    <w:p>
      <w:pPr>
        <w:spacing w:after="60" w:before="0"/>
        <w:ind w:left="170"/>
      </w:pPr>
      <w:r>
        <w:rPr>
          <w:rFonts w:ascii="맑은 고딕" w:hAnsi="맑은 고딕" w:eastAsia="맑은 고딕" w:cs="맑은 고딕"/>
          <w:b w:val="0"/>
          <w:sz w:val="21"/>
        </w:rPr>
        <w:t>두 관점을 결합하면, 기술 형성기에는 직접 접합을 가능하게 하는 공정 발명이 주를 이루고(지식 융합), 확산기에는 공정 지식과 접합 발명의 결합이 늘며(기술 융합), 지배적 설계 이후에는 결합이 응용에 필요한 주변 공정으로 이동할 것(응용 융합)으로 기대할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제1절(4쪽~) 셋째 단락, 제2장 제3절(8쪽~) 첫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12, 14–17 · S20 10–11 · S15 7</w:t>
      </w:r>
    </w:p>
    <w:p>
      <w:pPr>
        <w:pStyle w:val="Heading3"/>
      </w:pPr>
      <w:r>
        <w:rPr>
          <w:rFonts w:ascii="맑은 고딕" w:hAnsi="맑은 고딕" w:eastAsia="맑은 고딕" w:cs="맑은 고딕"/>
          <w:b/>
          <w:color w:val="C9A227"/>
          <w:sz w:val="22"/>
        </w:rPr>
        <w:t xml:space="preserve">B4  ★★☆  </w:t>
      </w:r>
      <w:r>
        <w:rPr>
          <w:rFonts w:ascii="맑은 고딕" w:hAnsi="맑은 고딕" w:eastAsia="맑은 고딕" w:cs="맑은 고딕"/>
          <w:b/>
          <w:color w:val="13294B"/>
          <w:sz w:val="22"/>
        </w:rPr>
        <w:t>지배적 설계란 무엇이고, 하이브리드 본딩의 지배적 설계는 무엇이라고 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Murmann과 Frenken(2006)은 지배적 설계를 다른 요소와 안정된 인터페이스 역할을 하는 핵심 요소의 안정된 설계로 보았고, 하이브리드 본딩의 핵심은 범프나 솔더 없이 접합 패드끼리 직접 접합하는 연결 방식이라고 보았습니다.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이 핵심 요소는 CPC에서 접합 패드 그룹에 속하는 네 기호(24/03 접합 패드 제조, 24/05 연결 전 패드 구조, 24/08 연결 후 패드 구조, 24/80 패드를 이용한 연결 방법)로 식별했습니다.</w:t>
      </w:r>
    </w:p>
    <w:p>
      <w:pPr>
        <w:spacing w:after="60" w:before="0"/>
        <w:ind w:left="170"/>
      </w:pPr>
      <w:r>
        <w:rPr>
          <w:rFonts w:ascii="맑은 고딕" w:hAnsi="맑은 고딕" w:eastAsia="맑은 고딕" w:cs="맑은 고딕"/>
          <w:b w:val="0"/>
          <w:sz w:val="21"/>
        </w:rPr>
        <w:t>핵심 요소의 설계가 안정되면, 이후의 기술 변화는 그 인터페이스를 전제로 주변 요소에서 이어집니다. 확립된 아키텍처 지식은 조직의 의사소통 경로와 문제 해결 방식에 내재되어 당연한 전제가 됩니다(Henderson &amp; Clark, 1990).</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제3절(8쪽~) 셋째·넷째 단락, 제4장 제4절(23쪽~)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12, 21 · S20 10, 15 · S15 24, 26</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지배적 설계가 언제 형성되었는지를 직접 측정하지 않았습니다. 시기는 출원 시기로 근사했다는 점을 함께 말하십시오(한계 다섯째).</w:t>
      </w:r>
    </w:p>
    <w:p>
      <w:pPr>
        <w:pStyle w:val="Heading3"/>
      </w:pPr>
      <w:r>
        <w:rPr>
          <w:rFonts w:ascii="맑은 고딕" w:hAnsi="맑은 고딕" w:eastAsia="맑은 고딕" w:cs="맑은 고딕"/>
          <w:b/>
          <w:color w:val="C9A227"/>
          <w:sz w:val="22"/>
        </w:rPr>
        <w:t xml:space="preserve">B5  ★★☆  </w:t>
      </w:r>
      <w:r>
        <w:rPr>
          <w:rFonts w:ascii="맑은 고딕" w:hAnsi="맑은 고딕" w:eastAsia="맑은 고딕" w:cs="맑은 고딕"/>
          <w:b/>
          <w:color w:val="13294B"/>
          <w:sz w:val="22"/>
        </w:rPr>
        <w:t>핵심–주변 구조를 측정과 어떻게 연결했습니까?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다른 요소와 밀접하게 연관된 요소를 핵심으로 보는 Murmann과 Frenken의 관점을, 기술 네트워크에서 다른 기호와 가장 강하게 연결된 기호를 핵심 기술로 보는 방식으로 근사했습니다.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분류 기호를 노드로, 한 출원에 함께 부여된 기호의 쌍을 연결로 보면 기술 요소 간 결합 구조를 네트워크로 나타낼 수 있습니다(Sternitzke et al., 2008). 함께 부여되는 빈도는 지식 관련성을 반영합니다(Breschi et al., 2003).</w:t>
      </w:r>
    </w:p>
    <w:p>
      <w:pPr>
        <w:spacing w:after="60" w:before="0"/>
        <w:ind w:left="170"/>
      </w:pPr>
      <w:r>
        <w:rPr>
          <w:rFonts w:ascii="맑은 고딕" w:hAnsi="맑은 고딕" w:eastAsia="맑은 고딕" w:cs="맑은 고딕"/>
          <w:b w:val="0"/>
          <w:sz w:val="21"/>
        </w:rPr>
        <w:t>또 서로 다른 기호들을 잇는 위치, 즉 매개 중심성이 큰 기호는 두 영역의 기술이 만나는 지점이므로, 그 위치의 시기별 변화를 융합 중심의 이동 지표로 썼습니다.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셋째 단락, 제4장 제5절(26쪽~) 보조 지표</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21, 32–33 · S20 15, 23 · S15 16</w:t>
      </w:r>
    </w:p>
    <w:p>
      <w:pPr>
        <w:pStyle w:val="Heading3"/>
      </w:pPr>
      <w:r>
        <w:rPr>
          <w:rFonts w:ascii="맑은 고딕" w:hAnsi="맑은 고딕" w:eastAsia="맑은 고딕" w:cs="맑은 고딕"/>
          <w:b/>
          <w:color w:val="C9A227"/>
          <w:sz w:val="22"/>
        </w:rPr>
        <w:t xml:space="preserve">B6  ★★☆  </w:t>
      </w:r>
      <w:r>
        <w:rPr>
          <w:rFonts w:ascii="맑은 고딕" w:hAnsi="맑은 고딕" w:eastAsia="맑은 고딕" w:cs="맑은 고딕"/>
          <w:b/>
          <w:color w:val="13294B"/>
          <w:sz w:val="22"/>
        </w:rPr>
        <w:t>지식 경계 논리가 첫째 연구 질문과 어떻게 연결됩니까?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생산의 경계와 지식의 경계는 일치하지 않으므로, 공정 단계 사이의 인터페이스가 불안정해지면 그 징후는 조직이나 산업 구조보다 먼저 두 단계의 지식을 함께 담은 발명으로 나타날 것이라는 논리입니다.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Kapoor와 Adner(2012)는 1974–2005년 DRAM 산업 12개 제품 세대를 분석해, 외주화한 구성요소의 지식까지 확장한 비통합 기업이 기술 전환에서 성과상의 이점을 얻었음을 보였습니다. Brusoni 등(2001)은 구성요소 기술이 서로 다른 속도로 발전해 상호의존을 예측하기 어려우면 시스템 통합 기업이 외부 조달 구성요소의 지식까지 유지해야 한다고 했습니다.</w:t>
      </w:r>
    </w:p>
    <w:p>
      <w:pPr>
        <w:spacing w:after="60" w:before="0"/>
        <w:ind w:left="170"/>
      </w:pPr>
      <w:r>
        <w:rPr>
          <w:rFonts w:ascii="맑은 고딕" w:hAnsi="맑은 고딕" w:eastAsia="맑은 고딕" w:cs="맑은 고딕"/>
          <w:b w:val="0"/>
          <w:sz w:val="21"/>
        </w:rPr>
        <w:t>따라서 첫째 연구 질문의 기대는 (1) 두 영역의 기술을 함께 포함하는 발명이 예외적이지 않은 비중으로 나타나고, (2) 그런 발명이 상호의존이 큰 지점에서 나타나며 더 다양한 세부 기술을 포함한다는 것입니다.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제2절(6쪽~)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11, 14–17 · S20 9, 11 · S15 7–8</w:t>
      </w:r>
    </w:p>
    <w:p>
      <w:pPr>
        <w:pStyle w:val="Heading3"/>
      </w:pPr>
      <w:r>
        <w:rPr>
          <w:rFonts w:ascii="맑은 고딕" w:hAnsi="맑은 고딕" w:eastAsia="맑은 고딕" w:cs="맑은 고딕"/>
          <w:b/>
          <w:color w:val="C9A227"/>
          <w:sz w:val="22"/>
        </w:rPr>
        <w:t xml:space="preserve">B7  ★★★  </w:t>
      </w:r>
      <w:r>
        <w:rPr>
          <w:rFonts w:ascii="맑은 고딕" w:hAnsi="맑은 고딕" w:eastAsia="맑은 고딕" w:cs="맑은 고딕"/>
          <w:b/>
          <w:color w:val="13294B"/>
          <w:sz w:val="22"/>
        </w:rPr>
        <w:t>이론적 기대를 왜 통계적 가설로 세우지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논문에서 밝힌 대로 이 기대들은 통계적 가설로 검정하는 대상이 아니라 결과를 해석하는 이론적 기준입니다.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핵심 개념인 지배적 설계의 형성 시점이나 인터페이스의 안정성은 관찰 자료로 직접 측정할 수 없고, 출원 시기와 공동분류라는 대리 지표로만 근사할 수 있습니다. 이런 경우 하나의 계수로 가설을 채택하거나 기각하기보다, 기대한 방향과 패턴이 여러 분석에서 일관되게 나타나는지를 보는 것이 적절하다고 판단했습니다.</w:t>
      </w:r>
    </w:p>
    <w:p>
      <w:pPr>
        <w:spacing w:after="60" w:before="0"/>
        <w:ind w:left="170"/>
      </w:pPr>
      <w:r>
        <w:rPr>
          <w:rFonts w:ascii="맑은 고딕" w:hAnsi="맑은 고딕" w:eastAsia="맑은 고딕" w:cs="맑은 고딕"/>
          <w:b w:val="0"/>
          <w:sz w:val="21"/>
        </w:rPr>
        <w:t>그래서 5% 유의수준을 쓰되 단일 p값에 의존하지 않고, 기준 모형과 대안 표본·정의, 군집 표준오차 전반에서 방향, 효과 크기, 유의성이 일관되는지를 종합적으로 판단했습니다.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제5절(14쪽~) 마지막 단락, 제4장 제5절(26쪽~) 강건성과 해석 원칙</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S15 8</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"가설이 지지되었다/기각되었다"가 아니라 "기대와 부합한다"고 말하십시오.</w:t>
      </w:r>
    </w:p>
    <w:p>
      <w:pPr>
        <w:pStyle w:val="Heading3"/>
      </w:pPr>
      <w:r>
        <w:rPr>
          <w:rFonts w:ascii="맑은 고딕" w:hAnsi="맑은 고딕" w:eastAsia="맑은 고딕" w:cs="맑은 고딕"/>
          <w:b/>
          <w:color w:val="C9A227"/>
          <w:sz w:val="22"/>
        </w:rPr>
        <w:t xml:space="preserve">B8  ★☆☆  </w:t>
      </w:r>
      <w:r>
        <w:rPr>
          <w:rFonts w:ascii="맑은 고딕" w:hAnsi="맑은 고딕" w:eastAsia="맑은 고딕" w:cs="맑은 고딕"/>
          <w:b/>
          <w:color w:val="13294B"/>
          <w:sz w:val="22"/>
        </w:rPr>
        <w:t>Rosenberg의 공작기계 사례가 왜 중요합니까?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공정 지식의 수렴이 공작기계라는 장비 산업을 매개로 확산되었다는 관찰이, 제조공정을 웨이퍼 제조공정·공정 장치·패키징 단계 공정으로 나누어 본 근거이고, 실제로 재편기에 연결 기호가 공정 장치로 바뀐 결과와 맥을 같이하기 때문입니다.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재편기에 매개 중심성이 가장 큰 제조공정 기호 다섯 개 가운데 네 개가 공정 장치 기호(21/67121, 21/67766, 21/67092, 21/6835)였고, 공정 장치 기호가 전체 매개 중심성의 26.1%를 차지했습니다.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제1절(4쪽~) 둘째 단락, 제5장 제3절(33쪽~), 제6장 제1절(40쪽~) 셋째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32–33, 36 · S20 23, 26 · S15 16, 18</w:t>
      </w:r>
    </w:p>
    <w:p>
      <w:pPr>
        <w:pStyle w:val="Heading3"/>
      </w:pPr>
      <w:r>
        <w:rPr>
          <w:rFonts w:ascii="맑은 고딕" w:hAnsi="맑은 고딕" w:eastAsia="맑은 고딕" w:cs="맑은 고딕"/>
          <w:b/>
          <w:color w:val="C9A227"/>
          <w:sz w:val="22"/>
        </w:rPr>
        <w:t xml:space="preserve">B9  ★☆☆  </w:t>
      </w:r>
      <w:r>
        <w:rPr>
          <w:rFonts w:ascii="맑은 고딕" w:hAnsi="맑은 고딕" w:eastAsia="맑은 고딕" w:cs="맑은 고딕"/>
          <w:b/>
          <w:color w:val="13294B"/>
          <w:sz w:val="22"/>
        </w:rPr>
        <w:t>Jacobides 등(2006)의 산업 아키텍처는 어디에 쓰였습니까?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첫째 연구 질문의 의미를 설명하는 데 썼습니다. 경계를 넘는 발명의 분포는 공정 단계 간 분업과 가치 배분의 틀이 재편될 수 있는 기술적 조건을 보여 준다는 것입니다.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산업 아키텍처는 누가 무엇을 수행하고 가치가 어떻게 배분되는지를 규정하는 틀이며 기술과 기업 전략에 따라 재편될 수 있습니다. 다만 산업 융합 단계, 즉 실제 분업 구조의 재편은 분석 범위에 넣지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제2절(6쪽~) 둘째 단락, 제6장 제1절(40쪽~) 첫째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11 · S20 9</w:t>
      </w:r>
    </w:p>
    <w:p>
      <w:pPr>
        <w:pStyle w:val="Heading2"/>
      </w:pPr>
      <w:r>
        <w:t>C. 자료와 표본</w:t>
      </w:r>
    </w:p>
    <w:p>
      <w:pPr>
        <w:pStyle w:val="Heading3"/>
      </w:pPr>
      <w:r>
        <w:rPr>
          <w:rFonts w:ascii="맑은 고딕" w:hAnsi="맑은 고딕" w:eastAsia="맑은 고딕" w:cs="맑은 고딕"/>
          <w:b/>
          <w:color w:val="C9A227"/>
          <w:sz w:val="22"/>
        </w:rPr>
        <w:t xml:space="preserve">C1  ★★★  </w:t>
      </w:r>
      <w:r>
        <w:rPr>
          <w:rFonts w:ascii="맑은 고딕" w:hAnsi="맑은 고딕" w:eastAsia="맑은 고딕" w:cs="맑은 고딕"/>
          <w:b/>
          <w:color w:val="13294B"/>
          <w:sz w:val="22"/>
        </w:rPr>
        <w:t>왜 PATSTAT을 썼습니까?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여러 특허청의 출원을 같은 형식으로 담고 있고 CPC 기호가 부여되어 있어, 하나의 기준으로 여러 국가의 출원을 비교하고 출원청을 통제할 수 있기 때문입니다.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분석 자료는 유럽특허청 PATSTAT Global 2025년판에서 추출했습니다. 표본에는 미국 382건, 중국 175건, PCT 113건, 유럽 83건, 대만 75건, 한국 58건, 일본 26건, 기타 16건이 들어 있습니다.</w:t>
      </w:r>
    </w:p>
    <w:p>
      <w:pPr>
        <w:spacing w:after="60" w:before="0"/>
        <w:ind w:left="170"/>
      </w:pPr>
      <w:r>
        <w:rPr>
          <w:rFonts w:ascii="맑은 고딕" w:hAnsi="맑은 고딕" w:eastAsia="맑은 고딕" w:cs="맑은 고딕"/>
          <w:b w:val="0"/>
          <w:sz w:val="21"/>
        </w:rPr>
        <w:t>분석 단위는 개별 특허출원이며, 동일한 발명이 여러 특허청에 제출된 경우에도 각 출원을 별도 관측치로 취급했습니다. 이 점은 동일 제목 기준의 민감도 분석으로 보완했습니다.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제4장 제3절(21쪽~)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19, 43 · S20 13, 38 · S15 9, 36</w:t>
      </w:r>
    </w:p>
    <w:p>
      <w:pPr>
        <w:spacing w:after="20" w:before="0"/>
        <w:ind w:left="170"/>
      </w:pPr>
      <w:r>
        <w:rPr>
          <w:rFonts w:ascii="맑은 고딕" w:hAnsi="맑은 고딕" w:eastAsia="맑은 고딕" w:cs="맑은 고딕"/>
          <w:b/>
          <w:color w:val="13294B"/>
          <w:sz w:val="20"/>
        </w:rPr>
        <w:t xml:space="preserve">꼬리 질문: </w:t>
      </w:r>
      <w:r>
        <w:rPr>
          <w:rFonts w:ascii="맑은 고딕" w:hAnsi="맑은 고딕" w:eastAsia="맑은 고딕" w:cs="맑은 고딕"/>
          <w:b/>
          <w:sz w:val="20"/>
        </w:rPr>
        <w:t>KIPRIS나 USPTO만 쓰면 안 되나?</w:t>
      </w:r>
    </w:p>
    <w:p>
      <w:pPr>
        <w:spacing w:after="60" w:before="0"/>
        <w:ind w:left="340"/>
      </w:pPr>
      <w:r>
        <w:rPr>
          <w:rFonts w:ascii="맑은 고딕" w:hAnsi="맑은 고딕" w:eastAsia="맑은 고딕" w:cs="맑은 고딕"/>
          <w:b/>
          <w:color w:val="13294B"/>
          <w:sz w:val="20"/>
        </w:rPr>
        <w:t xml:space="preserve">→ </w:t>
      </w:r>
      <w:r>
        <w:rPr>
          <w:rFonts w:ascii="맑은 고딕" w:hAnsi="맑은 고딕" w:eastAsia="맑은 고딕" w:cs="맑은 고딕"/>
          <w:b w:val="0"/>
          <w:sz w:val="20"/>
        </w:rPr>
        <w:t>한 특허청만 쓰면 그 나라의 출원 전략과 심사 관행이 결과에 섞입니다. 여러 출원청을 함께 보고 출원청을 통제하는 편이 기술 자체의 변화를 보는 데 낫다고 판단했습니다.</w:t>
      </w:r>
    </w:p>
    <w:p>
      <w:pPr>
        <w:pStyle w:val="Heading3"/>
      </w:pPr>
      <w:r>
        <w:rPr>
          <w:rFonts w:ascii="맑은 고딕" w:hAnsi="맑은 고딕" w:eastAsia="맑은 고딕" w:cs="맑은 고딕"/>
          <w:b/>
          <w:color w:val="C9A227"/>
          <w:sz w:val="22"/>
        </w:rPr>
        <w:t xml:space="preserve">C2  ★★★  </w:t>
      </w:r>
      <w:r>
        <w:rPr>
          <w:rFonts w:ascii="맑은 고딕" w:hAnsi="맑은 고딕" w:eastAsia="맑은 고딕" w:cs="맑은 고딕"/>
          <w:b/>
          <w:color w:val="13294B"/>
          <w:sz w:val="22"/>
        </w:rPr>
        <w:t>검색식은 어떻게 설계했고, 제목 키워드만 쓴 이유와 한계는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1차로 H01L21 또는 H01L24 기호를 가진 출원을 찾고, 2차로 제목에 hybrid bonding, direct bonding, Cu–Cu, copper to copper, metal-oxide bond 중 하나 이상이 들어간 출원을 골랐습니다. 기준이 명확하고 재현 가능하다는 장점이 있지만, 제목에 관련어가 없는 출원은 빠진다는 한계가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표본은 하이브리드 본딩 특허 전체가 아니라 이 검색식으로 식별한 관련 출원입니다. 표본을 넓게 잡은 것은 현대의 하이브리드 본딩과 함께 그 기술적 기반이 된 초기 직접 접합(direct bonding) 전구 기술까지 포착하기 위해서였습니다.</w:t>
      </w:r>
    </w:p>
    <w:p>
      <w:pPr>
        <w:spacing w:after="60" w:before="0"/>
        <w:ind w:left="170"/>
      </w:pPr>
      <w:r>
        <w:rPr>
          <w:rFonts w:ascii="맑은 고딕" w:hAnsi="맑은 고딕" w:eastAsia="맑은 고딕" w:cs="맑은 고딕"/>
          <w:b w:val="0"/>
          <w:sz w:val="21"/>
        </w:rPr>
        <w:t>키워드 필터만으로는 무관한 용법을 걸러낼 수 없어서, 제목으로 무관 용법 68건을 판정해 제외한 재추정을 했고(부록 B), hybrid bonding이 제목에 있는 467건 표본으로도 재추정했습니다.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표 2(19쪽), 제6장 제3절(44쪽~) 둘째, 부록 B(55쪽)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19, 43 · S20 13, 38 · S15 9, 36</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"하이브리드 본딩 특허 전체를 분석했다"는 표현은 피하십시오.</w:t>
      </w:r>
    </w:p>
    <w:p>
      <w:pPr>
        <w:pStyle w:val="Heading3"/>
      </w:pPr>
      <w:r>
        <w:rPr>
          <w:rFonts w:ascii="맑은 고딕" w:hAnsi="맑은 고딕" w:eastAsia="맑은 고딕" w:cs="맑은 고딕"/>
          <w:b/>
          <w:color w:val="C9A227"/>
          <w:sz w:val="22"/>
        </w:rPr>
        <w:t xml:space="preserve">C3  ★★★  </w:t>
      </w:r>
      <w:r>
        <w:rPr>
          <w:rFonts w:ascii="맑은 고딕" w:hAnsi="맑은 고딕" w:eastAsia="맑은 고딕" w:cs="맑은 고딕"/>
          <w:b/>
          <w:color w:val="13294B"/>
          <w:sz w:val="22"/>
        </w:rPr>
        <w:t>direct bonding을 검색어에 넣으면 무관한 특허가 섞이지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섞입니다. 그래서 제목으로 무관 용법 68건(direct bonding 63건, hybrid bonding 5건)을 판정하고, 이를 제외한 860건으로 재추정했는데 핵심 결과가 모두 유지되었습니다.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무관 용법의 대부분은 세라믹 기판에 구리를 접합하는 DBC 기판, 구리 합금, 전력 모듈처럼 direct bonding이 다른 의미로 쓰인 경우였고, 화학 결합이나 전력 모듈용 접합 시트를 뜻하는 hybrid bonding도 일부 있었습니다.</w:t>
      </w:r>
    </w:p>
    <w:p>
      <w:pPr>
        <w:spacing w:after="60" w:before="0"/>
        <w:ind w:left="170"/>
      </w:pPr>
      <w:r>
        <w:rPr>
          <w:rFonts w:ascii="맑은 고딕" w:hAnsi="맑은 고딕" w:eastAsia="맑은 고딕" w:cs="맑은 고딕"/>
          <w:b w:val="0"/>
          <w:sz w:val="21"/>
        </w:rPr>
        <w:t>무관 용법 제외 표본의 유형 분포는 통합형 47.4%, 접합 단독형 35.3%, 공정 단독형 17.2%였고, 기술범위 → 통합형 RRR 1.384***, 출원연도 → 공정 단독형 0.820***였습니다. 핵심 기술 모형에서는 결과가 가장 약해졌지만(2014년 이전 승산비 3.981), 2014년 이전 승산비와 2020–2024년 상호작용(0.185)은 5% 수준에서 유의했습니다.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제5장 제4절(36쪽~), 표 13·14(37–39쪽), 부록 B(55쪽)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34, 48–49 · S20 24, 43–44 · S15 32, 41–42</w:t>
      </w:r>
    </w:p>
    <w:p>
      <w:pPr>
        <w:pStyle w:val="Heading3"/>
      </w:pPr>
      <w:r>
        <w:rPr>
          <w:rFonts w:ascii="맑은 고딕" w:hAnsi="맑은 고딕" w:eastAsia="맑은 고딕" w:cs="맑은 고딕"/>
          <w:b/>
          <w:color w:val="C9A227"/>
          <w:sz w:val="22"/>
        </w:rPr>
        <w:t xml:space="preserve">C4  ★★☆  </w:t>
      </w:r>
      <w:r>
        <w:rPr>
          <w:rFonts w:ascii="맑은 고딕" w:hAnsi="맑은 고딕" w:eastAsia="맑은 고딕" w:cs="맑은 고딕"/>
          <w:b/>
          <w:color w:val="13294B"/>
          <w:sz w:val="22"/>
        </w:rPr>
        <w:t>1968년 출원도 하이브리드 본딩입니까? 표본 기간이 지나치게 길지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초기 출원은 현대적 의미의 하이브리드 본딩이라기보다 그 기술적 기반이 된 직접 접합 전구 기술입니다. 형성기를 관찰하려고 의도적으로 포함했고, 출원이 드물어 2014년 이전을 하나의 시기로 묶었습니다.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1968–2014년 47년간의 출원(179건)은 이후 5년간의 출원(209건)보다 적었습니다. 그래서 첫 시기를 길게 잡았고, 이 점은 표 10과 그림 6의 주에 밝혔습니다.</w:t>
      </w:r>
    </w:p>
    <w:p>
      <w:pPr>
        <w:spacing w:after="60" w:before="0"/>
        <w:ind w:left="170"/>
      </w:pPr>
      <w:r>
        <w:rPr>
          <w:rFonts w:ascii="맑은 고딕" w:hAnsi="맑은 고딕" w:eastAsia="맑은 고딕" w:cs="맑은 고딕"/>
          <w:b w:val="0"/>
          <w:sz w:val="21"/>
        </w:rPr>
        <w:t>전구 기술 포함 여부에 대한 의존성은 hybrid bonding 표본(467건)으로 점검했습니다. 이 표본에서는 2014년 이전 출원이 30건뿐이어서 시간 추세가 식별되지 않았는데, 이는 공정 단독형의 감소가 direct bonding 시기의 웨이퍼 접합 공정 출원에서 hybrid bonding 시기의 구조 출원으로 이행한 변화를 상당 부분 반영하기 때문으로 보입니다.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제5장 제2절(31쪽~), 제5장 제4절(36쪽~)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25 · S20 18 · S15 13</w:t>
      </w:r>
    </w:p>
    <w:p>
      <w:pPr>
        <w:pStyle w:val="Heading3"/>
      </w:pPr>
      <w:r>
        <w:rPr>
          <w:rFonts w:ascii="맑은 고딕" w:hAnsi="맑은 고딕" w:eastAsia="맑은 고딕" w:cs="맑은 고딕"/>
          <w:b/>
          <w:color w:val="C9A227"/>
          <w:sz w:val="22"/>
        </w:rPr>
        <w:t xml:space="preserve">C5  ★★★  </w:t>
      </w:r>
      <w:r>
        <w:rPr>
          <w:rFonts w:ascii="맑은 고딕" w:hAnsi="맑은 고딕" w:eastAsia="맑은 고딕" w:cs="맑은 고딕"/>
          <w:b/>
          <w:color w:val="13294B"/>
          <w:sz w:val="22"/>
        </w:rPr>
        <w:t>같은 발명이 여러 나라에 출원되면 중복 집계되지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맞습니다. 추출 자료에 특허 패밀리 식별자가 없어 동일 제목으로 근사했고, 제목당 가장 이른 출원 1건만 남긴 표본과 동일 제목 군집 표준오차 모두에서 핵심 결과가 유지되었습니다.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928건은 473개의 고유 제목으로 구성되고, 이 중 149개 제목이 둘 이상의 출원청에 출원되었습니다.</w:t>
      </w:r>
    </w:p>
    <w:p>
      <w:pPr>
        <w:spacing w:after="60" w:before="0"/>
        <w:ind w:left="170"/>
      </w:pPr>
      <w:r>
        <w:rPr>
          <w:rFonts w:ascii="맑은 고딕" w:hAnsi="맑은 고딕" w:eastAsia="맑은 고딕" w:cs="맑은 고딕"/>
          <w:b w:val="0"/>
          <w:sz w:val="21"/>
        </w:rPr>
        <w:t>제목당 1건 표본(473건)에서 기술범위 → 통합형 1.295***, 출원연도 → 공정 단독형 0.935***였고, 핵심 기술 모형(361건)의 2020–2024년 상호작용은 0.131***였습니다.</w:t>
      </w:r>
    </w:p>
    <w:p>
      <w:pPr>
        <w:spacing w:after="60" w:before="0"/>
        <w:ind w:left="170"/>
      </w:pPr>
      <w:r>
        <w:rPr>
          <w:rFonts w:ascii="맑은 고딕" w:hAnsi="맑은 고딕" w:eastAsia="맑은 고딕" w:cs="맑은 고딕"/>
          <w:b w:val="0"/>
          <w:sz w:val="21"/>
        </w:rPr>
        <w:t>동일 제목 군집 표준오차로 다시 계산하면 계수는 같고 표준오차만 바뀌는데, 유의성을 잃은 계수는 기술범위 → 공정 단독형(p = 0.29) 하나뿐이었습니다. 핵심 기술 모형에서는 확산기 승산비가 유의성을 잃었습니다.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제5장 제4절(36쪽~), 제6장 제3절(44쪽~) 셋째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34, 48–49 · S20 24, 43–44 · S15 32, 41–42</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동일 제목은 패밀리의 근사일 뿐이라는 점(관측치 독립성이 완전히 보장되지는 않음)을 인정하십시오.</w:t>
      </w:r>
    </w:p>
    <w:p>
      <w:pPr>
        <w:pStyle w:val="Heading3"/>
      </w:pPr>
      <w:r>
        <w:rPr>
          <w:rFonts w:ascii="맑은 고딕" w:hAnsi="맑은 고딕" w:eastAsia="맑은 고딕" w:cs="맑은 고딕"/>
          <w:b/>
          <w:color w:val="C9A227"/>
          <w:sz w:val="22"/>
        </w:rPr>
        <w:t xml:space="preserve">C6  ★★☆  </w:t>
      </w:r>
      <w:r>
        <w:rPr>
          <w:rFonts w:ascii="맑은 고딕" w:hAnsi="맑은 고딕" w:eastAsia="맑은 고딕" w:cs="맑은 고딕"/>
          <w:b/>
          <w:color w:val="13294B"/>
          <w:sz w:val="22"/>
        </w:rPr>
        <w:t>2023–2024년 출원이 줄어든 것은 기술이 쇠퇴했다는 뜻입니까?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아닙니다. 출원 후 공개까지의 시차가 영향을 미쳤을 가능성이 큽니다.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특허출원은 일반적으로 출원 후 일정 기간(통상 18개월)이 지나야 공개되므로, 최근 출원은 자료 추출 시점에 아직 공개되지 않은 것이 많습니다(일반적인 특허 제도에 관한 설명입니다).</w:t>
      </w:r>
    </w:p>
    <w:p>
      <w:pPr>
        <w:spacing w:after="60" w:before="0"/>
        <w:ind w:left="170"/>
      </w:pPr>
      <w:r>
        <w:rPr>
          <w:rFonts w:ascii="맑은 고딕" w:hAnsi="맑은 고딕" w:eastAsia="맑은 고딕" w:cs="맑은 고딕"/>
          <w:b w:val="0"/>
          <w:sz w:val="21"/>
        </w:rPr>
        <w:t>분석은 건수 자체보다 유형의 비중과 조건부 확률을 보므로 건수 감소가 결론을 직접 바꾸지는 않습니다. 다만 늦게 공개되는 출원의 구성이 다르다면 재편기 추정에 영향이 있을 수 있어 해석에 유의해야 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제3절(21쪽~), 그림 3(23쪽) 주</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19 · S20 13 · S15 9</w:t>
      </w:r>
    </w:p>
    <w:p>
      <w:pPr>
        <w:pStyle w:val="Heading3"/>
      </w:pPr>
      <w:r>
        <w:rPr>
          <w:rFonts w:ascii="맑은 고딕" w:hAnsi="맑은 고딕" w:eastAsia="맑은 고딕" w:cs="맑은 고딕"/>
          <w:b/>
          <w:color w:val="C9A227"/>
          <w:sz w:val="22"/>
        </w:rPr>
        <w:t xml:space="preserve">C7  ★★☆  </w:t>
      </w:r>
      <w:r>
        <w:rPr>
          <w:rFonts w:ascii="맑은 고딕" w:hAnsi="맑은 고딕" w:eastAsia="맑은 고딕" w:cs="맑은 고딕"/>
          <w:b/>
          <w:color w:val="13294B"/>
          <w:sz w:val="22"/>
        </w:rPr>
        <w:t>출원청별 차이는 왜 분석하지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출원청마다 출원 시기와 기술 구성이 달라 모든 모형에 통제변수로 넣었지만, 출원청 간 차이는 본 연구의 질문이 아니어서 계수를 해석하지 않았습니다.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출원청 변수는 US(기준), CN, KR, TW, JP, EP, WO(PCT), 기타의 8개 수준입니다. 형성기 분리 추정에서는 비어 있는 출원청 칸이 많아 출원청 더미를 빼고 추정했습니다.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제3절(21쪽~), 제4장 제5절(26쪽~), 제5장 제2절(31쪽~)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22 · S20 16 · S15 11</w:t>
      </w:r>
    </w:p>
    <w:p>
      <w:pPr>
        <w:pStyle w:val="Heading3"/>
      </w:pPr>
      <w:r>
        <w:rPr>
          <w:rFonts w:ascii="맑은 고딕" w:hAnsi="맑은 고딕" w:eastAsia="맑은 고딕" w:cs="맑은 고딕"/>
          <w:b/>
          <w:color w:val="C9A227"/>
          <w:sz w:val="22"/>
        </w:rPr>
        <w:t xml:space="preserve">C8  ★☆☆  </w:t>
      </w:r>
      <w:r>
        <w:rPr>
          <w:rFonts w:ascii="맑은 고딕" w:hAnsi="맑은 고딕" w:eastAsia="맑은 고딕" w:cs="맑은 고딕"/>
          <w:b/>
          <w:color w:val="13294B"/>
          <w:sz w:val="22"/>
        </w:rPr>
        <w:t>출원인(기업) 정보는 왜 쓰지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추출한 자료에 출원인 정보가 포함되지 않았습니다. 논문에서 누락변수의 한계로 밝혔고, 출원인 측면은 KnowMade(2024)의 독립적 산업 분석으로 보완했습니다.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KnowMade(2024)에 따르면 하이브리드 본딩 특허 활동을 주도하는 출원인은 TSMC, Adeia, YMTC, Intel, Samsung으로, 라이선싱 기업, 파운드리, 메모리 제조사가 함께 들어 있습니다.</w:t>
      </w:r>
    </w:p>
    <w:p>
      <w:pPr>
        <w:spacing w:after="60" w:before="0"/>
        <w:ind w:left="170"/>
      </w:pPr>
      <w:r>
        <w:rPr>
          <w:rFonts w:ascii="맑은 고딕" w:hAnsi="맑은 고딕" w:eastAsia="맑은 고딕" w:cs="맑은 고딕"/>
          <w:b w:val="0"/>
          <w:sz w:val="21"/>
        </w:rPr>
        <w:t>출원인 자료를 결합하면 기업 유형별로 국면이 어떻게 다른지, 조직 경계의 변화와 발명의 경계 넘기 중 무엇이 먼저인지를 볼 수 있어 좋은 후속 연구가 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제2절(17쪽~), 제6장 제3절(44쪽~) 넷째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18, 39 · S20 12, 29 · S15 19</w:t>
      </w:r>
    </w:p>
    <w:p>
      <w:pPr>
        <w:pStyle w:val="Heading3"/>
      </w:pPr>
      <w:r>
        <w:rPr>
          <w:rFonts w:ascii="맑은 고딕" w:hAnsi="맑은 고딕" w:eastAsia="맑은 고딕" w:cs="맑은 고딕"/>
          <w:b/>
          <w:color w:val="C9A227"/>
          <w:sz w:val="22"/>
        </w:rPr>
        <w:t xml:space="preserve">C9  ★☆☆  </w:t>
      </w:r>
      <w:r>
        <w:rPr>
          <w:rFonts w:ascii="맑은 고딕" w:hAnsi="맑은 고딕" w:eastAsia="맑은 고딕" w:cs="맑은 고딕"/>
          <w:b/>
          <w:color w:val="13294B"/>
          <w:sz w:val="22"/>
        </w:rPr>
        <w:t>등록 특허가 아니라 출원을 분석 단위로 한 이유는?</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발명 활동의 흐름 자체를 보려는 연구 질문이므로 출원 단위가 적합하다고 판단했습니다.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등록 여부는 심사 기간과 각국 심사 관행의 영향을 받아, 최근 시기일수록 등록 특허만으로는 기술 활동이 과소 반영될 수 있습니다(답변 논리이며 논문에서 따로 검증한 내용은 아닙니다).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w:t>
      </w:r>
    </w:p>
    <w:p>
      <w:pPr>
        <w:pStyle w:val="Heading2"/>
      </w:pPr>
      <w:r>
        <w:t>D. 측정과 변수</w:t>
      </w:r>
    </w:p>
    <w:p>
      <w:pPr>
        <w:pStyle w:val="Heading3"/>
      </w:pPr>
      <w:r>
        <w:rPr>
          <w:rFonts w:ascii="맑은 고딕" w:hAnsi="맑은 고딕" w:eastAsia="맑은 고딕" w:cs="맑은 고딕"/>
          <w:b/>
          <w:color w:val="C9A227"/>
          <w:sz w:val="22"/>
        </w:rPr>
        <w:t xml:space="preserve">D1  ★★★  </w:t>
      </w:r>
      <w:r>
        <w:rPr>
          <w:rFonts w:ascii="맑은 고딕" w:hAnsi="맑은 고딕" w:eastAsia="맑은 고딕" w:cs="맑은 고딕"/>
          <w:b/>
          <w:color w:val="13294B"/>
          <w:sz w:val="22"/>
        </w:rPr>
        <w:t>H01L21–H01L24 공동분류를 "공정 단계 간 융합"으로 볼 수 있는 근거는 무엇입니까? (구성타당성)</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하이브리드 본딩의 성능을 좌우하는 웨이퍼 준비, 표면 처리, 평탄화 같은 제조공정이 H01L21에 많이 들어 있고 접합·인터커넥트 기술은 H01L24에 집중되어 있어, 두 기호가 한 출원에 함께 부여된 것은 두 영역의 지식이 하나의 발명 안에서 결합된 흔적으로 볼 수 있기 때문입니다.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Fleming(2001)은 분류 기호를 발명을 구성하는 기술 요소로, 함께 부여된 기호의 조합을 요소의 재조합으로 보았습니다. 공동분류로 융합을 포착하는 것은 Curran과 Leker(2011), Kwon 등(2020)이 쓴 표준적인 방법입니다.</w:t>
      </w:r>
    </w:p>
    <w:p>
      <w:pPr>
        <w:spacing w:after="60" w:before="0"/>
        <w:ind w:left="170"/>
      </w:pPr>
      <w:r>
        <w:rPr>
          <w:rFonts w:ascii="맑은 고딕" w:hAnsi="맑은 고딕" w:eastAsia="맑은 고딕" w:cs="맑은 고딕"/>
          <w:b w:val="0"/>
          <w:sz w:val="21"/>
        </w:rPr>
        <w:t>다만 이것은 대리측정치입니다. H01L21을 전공정 그 자체로, H01L24를 후공정 그 자체로 보지 않았고, 이론적 개념(공정 단계 간 기술융합), 관찰 현상(두 기술이 한 출원에 함께 포함), 조작적 지표(공동분류)를 구분했습니다(표 3).</w:t>
      </w:r>
    </w:p>
    <w:p>
      <w:pPr>
        <w:spacing w:after="60" w:before="0"/>
        <w:ind w:left="170"/>
      </w:pPr>
      <w:r>
        <w:rPr>
          <w:rFonts w:ascii="맑은 고딕" w:hAnsi="맑은 고딕" w:eastAsia="맑은 고딕" w:cs="맑은 고딕"/>
          <w:b w:val="0"/>
          <w:sz w:val="21"/>
        </w:rPr>
        <w:t>CPC는 심사관이 기술 내용을 보고 부여하므로 청구항 문구와 늘 일치하지는 않습니다. 논문에서 "포함한다"는 표현은 해당 기호가 부여되었다는 뜻이며 법적 청구범위에 관한 진술이 아닙니다.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제4장 제2절(20쪽~), 표 3(21쪽), 제6장 제3절(44쪽~) 첫째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20 · S20 14 · S15 10</w:t>
      </w:r>
    </w:p>
    <w:p>
      <w:pPr>
        <w:pStyle w:val="Heading3"/>
      </w:pPr>
      <w:r>
        <w:rPr>
          <w:rFonts w:ascii="맑은 고딕" w:hAnsi="맑은 고딕" w:eastAsia="맑은 고딕" w:cs="맑은 고딕"/>
          <w:b/>
          <w:color w:val="C9A227"/>
          <w:sz w:val="22"/>
        </w:rPr>
        <w:t xml:space="preserve">D2  ★★★  </w:t>
      </w:r>
      <w:r>
        <w:rPr>
          <w:rFonts w:ascii="맑은 고딕" w:hAnsi="맑은 고딕" w:eastAsia="맑은 고딕" w:cs="맑은 고딕"/>
          <w:b/>
          <w:color w:val="13294B"/>
          <w:sz w:val="22"/>
        </w:rPr>
        <w:t>H01L21에는 패키징 공정도 들어 있는데, 통합형을 전공정–후공정 융합이라고 할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좋은 지적입니다. 그래서 패키징 단계 공정을 제조공정에서 뺀 좁은 정의로 재추정했고, 회귀분석의 결론은 그대로였습니다. 다만 통합형이 가장 많다는 기술통계는 정의에 따라 달라집니다.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표본의 H01L21 기호 1,636건은 웨이퍼 제조공정 905건(55.3%), 공정 장치 328건(20.0%), 패키징 단계 공정 403건(24.6%)입니다.</w:t>
      </w:r>
    </w:p>
    <w:p>
      <w:pPr>
        <w:spacing w:after="60" w:before="0"/>
        <w:ind w:left="170"/>
      </w:pPr>
      <w:r>
        <w:rPr>
          <w:rFonts w:ascii="맑은 고딕" w:hAnsi="맑은 고딕" w:eastAsia="맑은 고딕" w:cs="맑은 고딕"/>
          <w:b w:val="0"/>
          <w:sz w:val="21"/>
        </w:rPr>
        <w:t>좁은 정의(N = 908, 어느 기호도 남지 않는 20건 제외)에서는 접합 단독형 46.8%, 통합형 37.2%, 공정 단독형 16.0%로 접합 단독형이 가장 많아집니다. 그래도 출원의 3분의 1 이상이 두 영역의 기호를 함께 가졌고, 기술범위 → 통합형 1.352***, 출원연도 → 공정 단독형 0.898***, 핵심 기술 모형의 2020–2024년 상호작용 0.050***으로 유지되었습니다.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제2절(20쪽~), 제5장 제4절(36쪽~) 제조공정의 정의, 표 13·14(37–39쪽)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34, 48 · S20 24, 43 · S15 32, 41</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"45.8%가 전공정–후공정 융합"이라고 단정하지 말고 "두 클래스의 기호를 함께 가진 출원"이라고 말하십시오.</w:t>
      </w:r>
    </w:p>
    <w:p>
      <w:pPr>
        <w:pStyle w:val="Heading3"/>
      </w:pPr>
      <w:r>
        <w:rPr>
          <w:rFonts w:ascii="맑은 고딕" w:hAnsi="맑은 고딕" w:eastAsia="맑은 고딕" w:cs="맑은 고딕"/>
          <w:b/>
          <w:color w:val="C9A227"/>
          <w:sz w:val="22"/>
        </w:rPr>
        <w:t xml:space="preserve">D3  ★★★  </w:t>
      </w:r>
      <w:r>
        <w:rPr>
          <w:rFonts w:ascii="맑은 고딕" w:hAnsi="맑은 고딕" w:eastAsia="맑은 고딕" w:cs="맑은 고딕"/>
          <w:b/>
          <w:color w:val="13294B"/>
          <w:sz w:val="22"/>
        </w:rPr>
        <w:t>기술범위(breadth)는 정확히 무엇을 측정합니까? Lerner의 특허 범위와 같습니까?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출원에 부여된 H01L21·H01L24 계열의 서로 다른 서브그룹 기호 수로, Lerner(1994)의 방식을 두 클래스 안으로 한정한 것입니다. 두 클래스 안의 세부 기술 다양성을 뜻하며, 반도체 밖으로의 확장이나 법적 청구범위는 측정하지 않습니다.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평균 5.69개(표준편차 4.07, 범위 1–21)이고, 유형별로 통합형 7.89개, 접합 단독형 4.16개, 공정 단독형 3.15개입니다.</w:t>
      </w:r>
    </w:p>
    <w:p>
      <w:pPr>
        <w:spacing w:after="60" w:before="0"/>
        <w:ind w:left="170"/>
      </w:pPr>
      <w:r>
        <w:rPr>
          <w:rFonts w:ascii="맑은 고딕" w:hAnsi="맑은 고딕" w:eastAsia="맑은 고딕" w:cs="맑은 고딕"/>
          <w:b w:val="0"/>
          <w:sz w:val="21"/>
        </w:rPr>
        <w:t>인덱싱 코드(H01L2224 등)는 추출 레코드에 남아 있지 않아 기술범위 계산에 포함되지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셋째 단락, 제4장 제3절(21쪽~), 표 4(22쪽)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22, 44 · S20 16, 39 · S15 11, 37</w:t>
      </w:r>
    </w:p>
    <w:p>
      <w:pPr>
        <w:pStyle w:val="Heading3"/>
      </w:pPr>
      <w:r>
        <w:rPr>
          <w:rFonts w:ascii="맑은 고딕" w:hAnsi="맑은 고딕" w:eastAsia="맑은 고딕" w:cs="맑은 고딕"/>
          <w:b/>
          <w:color w:val="C9A227"/>
          <w:sz w:val="22"/>
        </w:rPr>
        <w:t xml:space="preserve">D4  ★★★  </w:t>
      </w:r>
      <w:r>
        <w:rPr>
          <w:rFonts w:ascii="맑은 고딕" w:hAnsi="맑은 고딕" w:eastAsia="맑은 고딕" w:cs="맑은 고딕"/>
          <w:b/>
          <w:color w:val="13294B"/>
          <w:sz w:val="22"/>
        </w:rPr>
        <w:t>통합형은 정의상 기호가 2개 이상이니, 기술범위가 넓을수록 통합형이 되는 것은 당연한 결과 아닙니까?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그 기계적 측면이 있다는 점을 논문에서도 밝혔습니다. 그래서 보유한 클래스마다 최소 1개 기호를 뺀 유형 최소치 조정 범위(breadth_adj)로 재추정했고, 통합형의 RRR은 1.403에서 1.262로 줄었지만 방향은 유지되었습니다.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즉, 유형을 성립시키는 최소한의 분류 정보를 빼고 남는 추가적인 CPC 다양성도 통합형과 관련되어 있다는 뜻입니다.</w:t>
      </w:r>
    </w:p>
    <w:p>
      <w:pPr>
        <w:spacing w:after="60" w:before="0"/>
        <w:ind w:left="170"/>
      </w:pPr>
      <w:r>
        <w:rPr>
          <w:rFonts w:ascii="맑은 고딕" w:hAnsi="맑은 고딕" w:eastAsia="맑은 고딕" w:cs="맑은 고딕"/>
          <w:b w:val="0"/>
          <w:sz w:val="21"/>
        </w:rPr>
        <w:t>다만 breadth_adj도 종속변수의 유형 정보를 이용하므로 독립적인 범위 측정치가 아니고, 탐색적 강건성 지표로만 썼습니다. 그래서 이 관계를 인과가 아닌 "구성적 연관", 즉 통합형 특허가 선택된 CPC 영역 안에서 더 다양한 세부 기술을 포함한다는 특징으로 해석했습니다.</w:t>
      </w:r>
    </w:p>
    <w:p>
      <w:pPr>
        <w:spacing w:after="60" w:before="0"/>
        <w:ind w:left="170"/>
      </w:pPr>
      <w:r>
        <w:rPr>
          <w:rFonts w:ascii="맑은 고딕" w:hAnsi="맑은 고딕" w:eastAsia="맑은 고딕" w:cs="맑은 고딕"/>
          <w:b w:val="0"/>
          <w:sz w:val="21"/>
        </w:rPr>
        <w:t>이 연관은 형성기 1.179, 확산기 1.513, 재편기 1.414로 세 국면 모두에서 유지되었습니다.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마지막 단락, 제4장 제3절(21쪽~), 제4장 제5절(26쪽~), 제5장 제4절(36쪽~) 범위의 기계적 부분</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23–24, 48 · S20 17, 43 · S15 12, 41</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"기술범위가 넓으면 통합형이 된다"는 인과적 표현을 피하십시오.</w:t>
      </w:r>
    </w:p>
    <w:p>
      <w:pPr>
        <w:pStyle w:val="Heading3"/>
      </w:pPr>
      <w:r>
        <w:rPr>
          <w:rFonts w:ascii="맑은 고딕" w:hAnsi="맑은 고딕" w:eastAsia="맑은 고딕" w:cs="맑은 고딕"/>
          <w:b/>
          <w:color w:val="C9A227"/>
          <w:sz w:val="22"/>
        </w:rPr>
        <w:t xml:space="preserve">D5  ★★☆  </w:t>
      </w:r>
      <w:r>
        <w:rPr>
          <w:rFonts w:ascii="맑은 고딕" w:hAnsi="맑은 고딕" w:eastAsia="맑은 고딕" w:cs="맑은 고딕"/>
          <w:b/>
          <w:color w:val="13294B"/>
          <w:sz w:val="22"/>
        </w:rPr>
        <w:t>핵심 기술을 "출원 200건 이상"으로 정한 기준이 자의적이지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200건 기준으로 고른 H01L24 기호 네 개가 기술 네트워크에서도 연결 강도가 가장 큰 네 기호이고, 이들이 이루는 여섯 쌍이 전체 네트워크에서 가장 강한 여섯 연결이어서, 두 방법이 같은 집합을 가리켰습니다.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연결 강도는 24/80 3,235, 24/08 3,140, 24/05 2,518, 24/03 1,778이고, 네 기호의 여섯 쌍은 186–439건입니다. 출원 수 기준 다섯째인 24/83(층 형태 커넥터를 이용한 연결)은 164건으로 기준에 미치지 못했습니다.</w:t>
      </w:r>
    </w:p>
    <w:p>
      <w:pPr>
        <w:spacing w:after="60" w:before="0"/>
        <w:ind w:left="170"/>
      </w:pPr>
      <w:r>
        <w:rPr>
          <w:rFonts w:ascii="맑은 고딕" w:hAnsi="맑은 고딕" w:eastAsia="맑은 고딕" w:cs="맑은 고딕"/>
          <w:b w:val="0"/>
          <w:sz w:val="21"/>
        </w:rPr>
        <w:t>CPC 체계에서도 네 기호는 모두 범프·층·와이어 같은 별도 커넥터 없이 접합 패드끼리 연결하는 그룹에 속합니다.</w:t>
      </w:r>
    </w:p>
    <w:p>
      <w:pPr>
        <w:spacing w:after="60" w:before="0"/>
        <w:ind w:left="170"/>
      </w:pPr>
      <w:r>
        <w:rPr>
          <w:rFonts w:ascii="맑은 고딕" w:hAnsi="맑은 고딕" w:eastAsia="맑은 고딕" w:cs="맑은 고딕"/>
          <w:b w:val="0"/>
          <w:sz w:val="21"/>
        </w:rPr>
        <w:t>핵심을 가장 강한 쌍(24/08, 24/80)으로 좁혀도 결과는 같았고(2014 이전 14.474***, 2020–2024 0.732, 상호작용 0.051***), 핵심 기호 외 접합 기호 수를 통제해도 시기별 승산비는 거의 변하지 않았습니다(8.768***, 0.684, 상호작용 0.078***).</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제4절(23쪽~), 표 5·6(24–25쪽), 제5장 제4절(36쪽~), 표 14(39쪽)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21, 45, 49 · S20 15, 40, 44 · S15 26, 38, 42</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핵심 기술의 경계가 200건 기준에 의존한다는 점은 논문에서도 한계로 밝혔습니다.</w:t>
      </w:r>
    </w:p>
    <w:p>
      <w:pPr>
        <w:pStyle w:val="Heading3"/>
      </w:pPr>
      <w:r>
        <w:rPr>
          <w:rFonts w:ascii="맑은 고딕" w:hAnsi="맑은 고딕" w:eastAsia="맑은 고딕" w:cs="맑은 고딕"/>
          <w:b/>
          <w:color w:val="C9A227"/>
          <w:sz w:val="22"/>
        </w:rPr>
        <w:t xml:space="preserve">D6  ★★☆  </w:t>
      </w:r>
      <w:r>
        <w:rPr>
          <w:rFonts w:ascii="맑은 고딕" w:hAnsi="맑은 고딕" w:eastAsia="맑은 고딕" w:cs="맑은 고딕"/>
          <w:b/>
          <w:color w:val="13294B"/>
          <w:sz w:val="22"/>
        </w:rPr>
        <w:t>인덱싱 코드(H01L2224/80895 등)가 하이브리드 본딩을 더 잘 나타내는데, 왜 핵심 기술 정의에 쓰지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추출 단계에서 두 클래스 이외의 기호와 인덱싱 코드가 회귀 자료에 보존되지 않았기 때문입니다. 클러스터·네트워크 표의 인덱싱 코드는 같은 928건의 전체 CPC를 별도로 집계한 값이고, 회귀분석에는 쓰지 않았습니다.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인덱싱 코드는 하이브리드 본딩의 정의를 보여 주는 데 썼습니다. 구리 패드(2224/05647)를 표면과 같은 높이로 형성하고(2224/80357), 금속(2224/80895)과 절연막(2224/80896)을 함께 직접 접합하여(24/08, 24/80) 범프 없이 칩을 적층하는(2224/08145, 25/0657) 조합입니다. 가장 강한 연결도 금속–금속과 절연막–절연막 직접 접합의 쌍(460건)이었습니다.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제1절(19쪽~), 제4장 제4절(23쪽~), 제6장 제3절(44쪽~) 넷째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45 · S20 40 · S15 38</w:t>
      </w:r>
    </w:p>
    <w:p>
      <w:pPr>
        <w:pStyle w:val="Heading3"/>
      </w:pPr>
      <w:r>
        <w:rPr>
          <w:rFonts w:ascii="맑은 고딕" w:hAnsi="맑은 고딕" w:eastAsia="맑은 고딕" w:cs="맑은 고딕"/>
          <w:b/>
          <w:color w:val="C9A227"/>
          <w:sz w:val="22"/>
        </w:rPr>
        <w:t xml:space="preserve">D7  ★★☆  </w:t>
      </w:r>
      <w:r>
        <w:rPr>
          <w:rFonts w:ascii="맑은 고딕" w:hAnsi="맑은 고딕" w:eastAsia="맑은 고딕" w:cs="맑은 고딕"/>
          <w:b/>
          <w:color w:val="13294B"/>
          <w:sz w:val="22"/>
        </w:rPr>
        <w:t>핵심 기술이 접합 출원의 81.3%에 들어 있으면 "핵심"이라고 부를 만큼 변별력이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전체로는 81.3%지만 시기별로 53.5% → 78.7% → 88.0%로 높아졌습니다. 이 증가 자체가 발명이 하나의 핵심 설계로 수렴했다는 신호로 해석됩니다.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형성기에는 접합 출원의 절반 정도만 핵심 기술을 포함해 비교가 충분히 가능했고, 그 시기에 핵심 기술의 통합형 우위가 가장 뚜렷했습니다.</w:t>
      </w:r>
    </w:p>
    <w:p>
      <w:pPr>
        <w:spacing w:after="60" w:before="0"/>
        <w:ind w:left="170"/>
      </w:pPr>
      <w:r>
        <w:rPr>
          <w:rFonts w:ascii="맑은 고딕" w:hAnsi="맑은 고딕" w:eastAsia="맑은 고딕" w:cs="맑은 고딕"/>
          <w:b w:val="0"/>
          <w:sz w:val="21"/>
        </w:rPr>
        <w:t>반대로 재편기에는 핵심 기술이 없는 접합 출원이 58건뿐이어서, 그 시기 승산비의 신뢰구간(0.374–1.160)이 넓다는 점은 감안해야 합니다(표 11의 수치에서 도출되는 설명입니다).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제4절(23쪽~) 마지막 단락, 제5장 제3절(33쪽~), 표 11(34쪽)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27–30 · S20 19–21, 33 · S15 14</w:t>
      </w:r>
    </w:p>
    <w:p>
      <w:pPr>
        <w:pStyle w:val="Heading3"/>
      </w:pPr>
      <w:r>
        <w:rPr>
          <w:rFonts w:ascii="맑은 고딕" w:hAnsi="맑은 고딕" w:eastAsia="맑은 고딕" w:cs="맑은 고딕"/>
          <w:b/>
          <w:color w:val="C9A227"/>
          <w:sz w:val="22"/>
        </w:rPr>
        <w:t xml:space="preserve">D8  ★☆☆  </w:t>
      </w:r>
      <w:r>
        <w:rPr>
          <w:rFonts w:ascii="맑은 고딕" w:hAnsi="맑은 고딕" w:eastAsia="맑은 고딕" w:cs="맑은 고딕"/>
          <w:b/>
          <w:color w:val="13294B"/>
          <w:sz w:val="22"/>
        </w:rPr>
        <w:t>Jaccard 계수와 매개 중심성을 쓴 이유는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Jaccard 계수는 영역별 출원 규모 차이를 보정한 결합 강도이고, 매개 중심성은 서로 다른 기호들을 잇는 연결 기호를 찾는 지표여서, 융합 중심의 이동을 개별 기호보다 넓은 수준에서 확인하려고 썼습니다.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Jaccard 계수는 두 영역의 기호를 함께 가진 출원 수를 둘 중 하나라도 가진 출원 수로 나눈 값입니다(Jaccard, 1912). 매개 중심성은 다른 기호 쌍을 잇는 최단 경로 위에 해당 기호가 놓이는 정도이며(Freeman, 1977), 연결 가중치를 고려하지 않고 계산했습니다. 가중치의 역수를 거리로 삼아 다시 계산해도 방향은 같았습니다.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보조 지표, 제5장 제3절(33쪽~)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32–33 · S20 23 · S15 16</w:t>
      </w:r>
    </w:p>
    <w:p>
      <w:pPr>
        <w:pStyle w:val="Heading2"/>
      </w:pPr>
      <w:r>
        <w:t>E. 분석 방법</w:t>
      </w:r>
    </w:p>
    <w:p>
      <w:pPr>
        <w:pStyle w:val="Heading3"/>
      </w:pPr>
      <w:r>
        <w:rPr>
          <w:rFonts w:ascii="맑은 고딕" w:hAnsi="맑은 고딕" w:eastAsia="맑은 고딕" w:cs="맑은 고딕"/>
          <w:b/>
          <w:color w:val="C9A227"/>
          <w:sz w:val="22"/>
        </w:rPr>
        <w:t xml:space="preserve">E1  ★★★  </w:t>
      </w:r>
      <w:r>
        <w:rPr>
          <w:rFonts w:ascii="맑은 고딕" w:hAnsi="맑은 고딕" w:eastAsia="맑은 고딕" w:cs="맑은 고딕"/>
          <w:b/>
          <w:color w:val="13294B"/>
          <w:sz w:val="22"/>
        </w:rPr>
        <w:t>왜 다항 로짓을 썼습니까? 순서형 로짓은 고려하지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세 유형은 크기의 순서가 아니라 서로 다른 CPC 구성 방식이므로 순서형이 아닌 다항 로짓(McFadden, 1974)을 썼습니다.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접합 단독형을 기준 범주로 두면, 접합 기호만 가진 출원에 비해 제조공정 분류가 함께 나타나는 통합형과, 접합 분류 없이 제조공정만 나타나는 공정 단독형의 상대적 발생 가능성을 각각 추정할 수 있습니다.</w:t>
      </w:r>
    </w:p>
    <w:p>
      <w:pPr>
        <w:spacing w:after="60" w:before="0"/>
        <w:ind w:left="170"/>
      </w:pPr>
      <w:r>
        <w:rPr>
          <w:rFonts w:ascii="맑은 고딕" w:hAnsi="맑은 고딕" w:eastAsia="맑은 고딕" w:cs="맑은 고딕"/>
          <w:b w:val="0"/>
          <w:sz w:val="21"/>
        </w:rPr>
        <w:t>기술범위와 통합형, 출원연도와 공정 단독형의 관계를 분석하는 주모형입니다. N = 928, 출원청 더미 7개 포함, 로그우도 −774.5, 우도비 χ²(18) = 367.4(p &lt; 0.001), McFadden 의사 R² 0.192입니다.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표 9(31쪽)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22, 46 · S20 16, 41 · S15 11, 39</w:t>
      </w:r>
    </w:p>
    <w:p>
      <w:pPr>
        <w:pStyle w:val="Heading3"/>
      </w:pPr>
      <w:r>
        <w:rPr>
          <w:rFonts w:ascii="맑은 고딕" w:hAnsi="맑은 고딕" w:eastAsia="맑은 고딕" w:cs="맑은 고딕"/>
          <w:b/>
          <w:color w:val="C9A227"/>
          <w:sz w:val="22"/>
        </w:rPr>
        <w:t xml:space="preserve">E2  ★★★  </w:t>
      </w:r>
      <w:r>
        <w:rPr>
          <w:rFonts w:ascii="맑은 고딕" w:hAnsi="맑은 고딕" w:eastAsia="맑은 고딕" w:cs="맑은 고딕"/>
          <w:b/>
          <w:color w:val="13294B"/>
          <w:sz w:val="22"/>
        </w:rPr>
        <w:t>RRR 1.403과 OR 1.267은 정확히 무엇을 뜻합니까?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RRR 1.403은 기술범위가 1 늘 때 접합 단독형 대비 통합형일 상대위험이 1.403배, 즉 40% 높아진다는 뜻이고, OR 1.267은 제조공정 기호를 가질 승산이 27% 높아진다는 뜻입니다. 둘 다 확률이 그만큼 높아진다는 뜻은 아닙니다.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그래서 확률이 실제로 얼마나 바뀌는지를 보이려고 평균 예측확률을 함께 제시했습니다. 관심 변수만 바꾸고 나머지 변수는 각 출원의 관측값에 고정한 채 표본 전체에서 평균한 값입니다.</w:t>
      </w:r>
    </w:p>
    <w:p>
      <w:pPr>
        <w:spacing w:after="60" w:before="0"/>
        <w:ind w:left="170"/>
      </w:pPr>
      <w:r>
        <w:rPr>
          <w:rFonts w:ascii="맑은 고딕" w:hAnsi="맑은 고딕" w:eastAsia="맑은 고딕" w:cs="맑은 고딕"/>
          <w:b w:val="0"/>
          <w:sz w:val="21"/>
        </w:rPr>
        <w:t>기술범위 3인 출원은 통합형 0.26, 접합 단독형 0.50, 공정 단독형 0.24이고, 8인 출원은 0.68, 0.24, 0.08입니다.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제5장 제1절(30쪽~), 그림 5(31쪽)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23–24, 46 · S20 17, 41 · S15 12, 39</w:t>
      </w:r>
    </w:p>
    <w:p>
      <w:pPr>
        <w:spacing w:after="20" w:before="0"/>
        <w:ind w:left="170"/>
      </w:pPr>
      <w:r>
        <w:rPr>
          <w:rFonts w:ascii="맑은 고딕" w:hAnsi="맑은 고딕" w:eastAsia="맑은 고딕" w:cs="맑은 고딕"/>
          <w:b/>
          <w:color w:val="13294B"/>
          <w:sz w:val="20"/>
        </w:rPr>
        <w:t xml:space="preserve">꼬리 질문: </w:t>
      </w:r>
      <w:r>
        <w:rPr>
          <w:rFonts w:ascii="맑은 고딕" w:hAnsi="맑은 고딕" w:eastAsia="맑은 고딕" w:cs="맑은 고딕"/>
          <w:b/>
          <w:sz w:val="20"/>
        </w:rPr>
        <w:t>공정 단독형 RRR 0.905는?</w:t>
      </w:r>
    </w:p>
    <w:p>
      <w:pPr>
        <w:spacing w:after="60" w:before="0"/>
        <w:ind w:left="340"/>
      </w:pPr>
      <w:r>
        <w:rPr>
          <w:rFonts w:ascii="맑은 고딕" w:hAnsi="맑은 고딕" w:eastAsia="맑은 고딕" w:cs="맑은 고딕"/>
          <w:b/>
          <w:color w:val="13294B"/>
          <w:sz w:val="20"/>
        </w:rPr>
        <w:t xml:space="preserve">→ </w:t>
      </w:r>
      <w:r>
        <w:rPr>
          <w:rFonts w:ascii="맑은 고딕" w:hAnsi="맑은 고딕" w:eastAsia="맑은 고딕" w:cs="맑은 고딕"/>
          <w:b w:val="0"/>
          <w:sz w:val="20"/>
        </w:rPr>
        <w:t>기술범위가 1 늘 때 접합 단독형 대비 공정 단독형일 상대위험이 약 10% 낮아진다는 뜻입니다(p = 0.039). 다만 동일 제목 군집 표준오차에서는 유의성을 잃었습니다(p = 0.29).</w:t>
      </w:r>
    </w:p>
    <w:p>
      <w:pPr>
        <w:pStyle w:val="Heading3"/>
      </w:pPr>
      <w:r>
        <w:rPr>
          <w:rFonts w:ascii="맑은 고딕" w:hAnsi="맑은 고딕" w:eastAsia="맑은 고딕" w:cs="맑은 고딕"/>
          <w:b/>
          <w:color w:val="C9A227"/>
          <w:sz w:val="22"/>
        </w:rPr>
        <w:t xml:space="preserve">E3  ★★☆  </w:t>
      </w:r>
      <w:r>
        <w:rPr>
          <w:rFonts w:ascii="맑은 고딕" w:hAnsi="맑은 고딕" w:eastAsia="맑은 고딕" w:cs="맑은 고딕"/>
          <w:b/>
          <w:color w:val="13294B"/>
          <w:sz w:val="22"/>
        </w:rPr>
        <w:t>다항 로짓의 IIA(무관 대안의 독립성) 가정은 점검했습니까?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정식 검정 대신 대안 제외 민감도 분석으로 점검했습니다. 공정 단독형을 제외한 763건에서 통합형 대 접합 단독형의 이항 로짓을 추정해 실질적 해석이 유지되는지 확인했고, 결과는 논문 부록 A에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이 763건 표본은 핵심 기술 모형의 표본과 같습니다.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강건성과 해석 원칙, 부록 A(54쪽)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48 · S20 43 · S15 41</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Hausman 검정 같은 정식 검정을 했다고 말하지 마십시오.</w:t>
      </w:r>
    </w:p>
    <w:p>
      <w:pPr>
        <w:pStyle w:val="Heading3"/>
      </w:pPr>
      <w:r>
        <w:rPr>
          <w:rFonts w:ascii="맑은 고딕" w:hAnsi="맑은 고딕" w:eastAsia="맑은 고딕" w:cs="맑은 고딕"/>
          <w:b/>
          <w:color w:val="C9A227"/>
          <w:sz w:val="22"/>
        </w:rPr>
        <w:t xml:space="preserve">E4  ★★☆  </w:t>
      </w:r>
      <w:r>
        <w:rPr>
          <w:rFonts w:ascii="맑은 고딕" w:hAnsi="맑은 고딕" w:eastAsia="맑은 고딕" w:cs="맑은 고딕"/>
          <w:b/>
          <w:color w:val="13294B"/>
          <w:sz w:val="22"/>
        </w:rPr>
        <w:t>이항 로짓(제조공정 분류 보유)은 다항 로짓과 중복 아닙니까? 왜 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통합형과 공정 단독형을 제조공정 분류 보유 출원으로 묶어, 어떤 특성의 출원에서 제조공정 분류가 전반적으로 나타나는지 보는 보완분석입니다. 주분석은 다항 로짓입니다.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기술범위 OR 1.267***, 출원연도 OR 0.946***로, 최근 출원일수록 제조공정 기호를 가질 승산이 낮았고 이 감소는 주로 공정 단독형의 감소에서 비롯되었습니다. AUC는 0.707로 Hosmer 등(2013)의 기준에 비추어 수용 가능한 수준의 하단입니다.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표 8(30쪽), 제5장 제2절(31쪽~)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46 · S20 41 · S15 39</w:t>
      </w:r>
    </w:p>
    <w:p>
      <w:pPr>
        <w:pStyle w:val="Heading3"/>
      </w:pPr>
      <w:r>
        <w:rPr>
          <w:rFonts w:ascii="맑은 고딕" w:hAnsi="맑은 고딕" w:eastAsia="맑은 고딕" w:cs="맑은 고딕"/>
          <w:b/>
          <w:color w:val="C9A227"/>
          <w:sz w:val="22"/>
        </w:rPr>
        <w:t xml:space="preserve">E5  ★★★  </w:t>
      </w:r>
      <w:r>
        <w:rPr>
          <w:rFonts w:ascii="맑은 고딕" w:hAnsi="맑은 고딕" w:eastAsia="맑은 고딕" w:cs="맑은 고딕"/>
          <w:b/>
          <w:color w:val="13294B"/>
          <w:sz w:val="22"/>
        </w:rPr>
        <w:t>셋째 연구 질문 모형의 상호작용 항을 어떻게 해석합니까?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시기별 핵심 기술의 승산비는 exp(β1 + θt)이고, exp(θt)는 그 시기 승산비가 2014년 이전 승산비의 몇 배인지를 나타냅니다. 2014년 이전 11.071이 2015–2019년에는 0.221배인 2.452, 2020–2024년에는 0.059배인 0.658이 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추정식은 log[P/(1 − P)] = β0 + β1·core + Σδt·periodt + Σθt·(core × periodt) + Σγk·ccodek이고, 종속변수는 통합형 여부, 표본은 H01L24 기호를 가진 763건입니다.</w:t>
      </w:r>
    </w:p>
    <w:p>
      <w:pPr>
        <w:spacing w:after="60" w:before="0"/>
        <w:ind w:left="170"/>
      </w:pPr>
      <w:r>
        <w:rPr>
          <w:rFonts w:ascii="맑은 고딕" w:hAnsi="맑은 고딕" w:eastAsia="맑은 고딕" w:cs="맑은 고딕"/>
          <w:b w:val="0"/>
          <w:sz w:val="21"/>
        </w:rPr>
        <w:t>두 상호작용의 결합 Wald χ²(2)는 26.43(p &lt; 0.001)이고, 시기별 승산비의 95% 신뢰구간은 두 계수 합의 표준오차로 구했으며 표준오차는 이분산에 강건하게 추정했습니다.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핵심 기술 모형, 표 11(34쪽)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27–30, 47 · S20 19–21, 33, 42 · S15 14, 40</w:t>
      </w:r>
    </w:p>
    <w:p>
      <w:pPr>
        <w:pStyle w:val="Heading3"/>
      </w:pPr>
      <w:r>
        <w:rPr>
          <w:rFonts w:ascii="맑은 고딕" w:hAnsi="맑은 고딕" w:eastAsia="맑은 고딕" w:cs="맑은 고딕"/>
          <w:b/>
          <w:color w:val="C9A227"/>
          <w:sz w:val="22"/>
        </w:rPr>
        <w:t xml:space="preserve">E6  ★★☆  </w:t>
      </w:r>
      <w:r>
        <w:rPr>
          <w:rFonts w:ascii="맑은 고딕" w:hAnsi="맑은 고딕" w:eastAsia="맑은 고딕" w:cs="맑은 고딕"/>
          <w:b/>
          <w:color w:val="13294B"/>
          <w:sz w:val="22"/>
        </w:rPr>
        <w:t>셋째 연구 질문 모형은 왜 접합 출원 763건만 대상으로 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핵심 기술이 접합 기호로 정의되므로 공정 단독형은 정의상 핵심 기술을 가질 수 없기 때문입니다. 그래서 접합 기호를 가진 출원 가운데 어떤 출원이 제조공정 기호까지 함께 갖는지를 분석했습니다.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763건은 통합형 425건과 접합 단독형 338건입니다.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22 · S20 16 · S15 11</w:t>
      </w:r>
    </w:p>
    <w:p>
      <w:pPr>
        <w:pStyle w:val="Heading3"/>
      </w:pPr>
      <w:r>
        <w:rPr>
          <w:rFonts w:ascii="맑은 고딕" w:hAnsi="맑은 고딕" w:eastAsia="맑은 고딕" w:cs="맑은 고딕"/>
          <w:b/>
          <w:color w:val="C9A227"/>
          <w:sz w:val="22"/>
        </w:rPr>
        <w:t xml:space="preserve">E7  ★★★  </w:t>
      </w:r>
      <w:r>
        <w:rPr>
          <w:rFonts w:ascii="맑은 고딕" w:hAnsi="맑은 고딕" w:eastAsia="맑은 고딕" w:cs="맑은 고딕"/>
          <w:b/>
          <w:color w:val="13294B"/>
          <w:sz w:val="22"/>
        </w:rPr>
        <w:t>출원 시기를 세 구간으로 나눈 근거는 무엇입니까? 형성기·확산기·재편기라는 이름은 미리 정한 것입니까?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1968–2014년은 47년간의 출원(179건)이 이후 5년간(209건)보다 적을 만큼 드물어 하나로 묶었고, 2015년 이후는 5년 단위로 나누었습니다. 세 국면의 이름은 이 시기별 분포를 관찰한 뒤 붙인 해석적 명칭입니다.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특허 자료로 기술 수명주기의 단계를 추적할 수 있음을 보인 Lee 등(2017)을 시기 구분의 방법론적 근거로 삼았습니다.</w:t>
      </w:r>
    </w:p>
    <w:p>
      <w:pPr>
        <w:spacing w:after="60" w:before="0"/>
        <w:ind w:left="170"/>
      </w:pPr>
      <w:r>
        <w:rPr>
          <w:rFonts w:ascii="맑은 고딕" w:hAnsi="맑은 고딕" w:eastAsia="맑은 고딕" w:cs="맑은 고딕"/>
          <w:b w:val="0"/>
          <w:sz w:val="21"/>
        </w:rPr>
        <w:t>시기 구분에 결과가 좌우되지 않는지는 출원연도를 선형 항으로 넣은 모형(공정 단독형 RRR 0.913***)과 기간 더미 모형(0.273***, 0.101***)이 같은 방향을 보인다는 점으로 확인했습니다.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제3절(21쪽~), 제5장 제2절(31쪽~), 제4장 제5절(26쪽~)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25 · S20 18 · S15 13</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시기 경계를 이론적으로 미리 정했다고 말하지 마십시오. 출원 집중도를 고려한 구분이며, 국면의 이름은 사후적 해석입니다.</w:t>
      </w:r>
    </w:p>
    <w:p>
      <w:pPr>
        <w:pStyle w:val="Heading3"/>
      </w:pPr>
      <w:r>
        <w:rPr>
          <w:rFonts w:ascii="맑은 고딕" w:hAnsi="맑은 고딕" w:eastAsia="맑은 고딕" w:cs="맑은 고딕"/>
          <w:b/>
          <w:color w:val="C9A227"/>
          <w:sz w:val="22"/>
        </w:rPr>
        <w:t xml:space="preserve">E8  ★★☆  </w:t>
      </w:r>
      <w:r>
        <w:rPr>
          <w:rFonts w:ascii="맑은 고딕" w:hAnsi="맑은 고딕" w:eastAsia="맑은 고딕" w:cs="맑은 고딕"/>
          <w:b/>
          <w:color w:val="13294B"/>
          <w:sz w:val="22"/>
        </w:rPr>
        <w:t>의사 R²(0.100, 0.192, 0.069)와 AUC(0.707)가 낮은데 모형을 믿을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모형의 목적은 개별 출원의 유형을 예측하는 것이 아니라 관심 변수와 유형의 조건부 연관의 방향과 크기를 추정하는 것입니다. 모든 모형의 우도비 검정은 유의했고, 핵심 계수는 대안 표본과 정의에서도 일관되었습니다.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McFadden 의사 R²는 OLS의 R²와 척도가 달라 일반적으로 낮게 나타나는 지표입니다(일반적인 통계 설명). AUC 0.707은 Hosmer 등(2013)의 기준으로 수용 가능한 수준의 하단이라고 논문에 그대로 적었습니다.</w:t>
      </w:r>
    </w:p>
    <w:p>
      <w:pPr>
        <w:spacing w:after="60" w:before="0"/>
        <w:ind w:left="170"/>
      </w:pPr>
      <w:r>
        <w:rPr>
          <w:rFonts w:ascii="맑은 고딕" w:hAnsi="맑은 고딕" w:eastAsia="맑은 고딕" w:cs="맑은 고딕"/>
          <w:b w:val="0"/>
          <w:sz w:val="21"/>
        </w:rPr>
        <w:t>누락변수(출원인, 응용처, W2W/D2W 구분 등)가 있다는 점이 설명력이 낮은 한 이유일 수 있고, 이는 한계로 밝혔습니다.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표 8·9·11(30–34쪽), 제5장 제1절(30쪽~), 제6장 제3절(44쪽~) 넷째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46 · S20 41 · S15 39</w:t>
      </w:r>
    </w:p>
    <w:p>
      <w:pPr>
        <w:pStyle w:val="Heading3"/>
      </w:pPr>
      <w:r>
        <w:rPr>
          <w:rFonts w:ascii="맑은 고딕" w:hAnsi="맑은 고딕" w:eastAsia="맑은 고딕" w:cs="맑은 고딕"/>
          <w:b/>
          <w:color w:val="C9A227"/>
          <w:sz w:val="22"/>
        </w:rPr>
        <w:t xml:space="preserve">E9  ★★☆  </w:t>
      </w:r>
      <w:r>
        <w:rPr>
          <w:rFonts w:ascii="맑은 고딕" w:hAnsi="맑은 고딕" w:eastAsia="맑은 고딕" w:cs="맑은 고딕"/>
          <w:b/>
          <w:color w:val="13294B"/>
          <w:sz w:val="22"/>
        </w:rPr>
        <w:t>왜 출원연도를 선형으로 넣었습니까? 비선형 추세는 확인했습니까?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주모형에서는 선형 연도를 썼고, 비선형성은 기간 더미 모형과 2010년 이후 표본으로 확인했습니다.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기간 더미 모형에서 통합형은 1.707(p = 0.09)로 높아졌다가 0.762(비유의)로 낮아져, 통합형에는 전 기간의 선형 추세가 없지만(RRR 0.993) 확산기에 높아졌다가 낮아지는 패턴이 있음을 보여 줍니다.</w:t>
      </w:r>
    </w:p>
    <w:p>
      <w:pPr>
        <w:spacing w:after="60" w:before="0"/>
        <w:ind w:left="170"/>
      </w:pPr>
      <w:r>
        <w:rPr>
          <w:rFonts w:ascii="맑은 고딕" w:hAnsi="맑은 고딕" w:eastAsia="맑은 고딕" w:cs="맑은 고딕"/>
          <w:b w:val="0"/>
          <w:sz w:val="21"/>
        </w:rPr>
        <w:t>2010년 이후 표본(N = 830)에서는 통합형의 연도 계수도 1보다 유의하게 작았고(RRR 0.934, p &lt; 0.05), 좁은 제조공정 정의와 무관 용법 제외 표본에서도 마찬가지였습니다(부록 A).</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제2절(31쪽~), 부록 A(54쪽)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26, 48 · S20 35, 43 · S15 31, 41</w:t>
      </w:r>
    </w:p>
    <w:p>
      <w:pPr>
        <w:pStyle w:val="Heading3"/>
      </w:pPr>
      <w:r>
        <w:rPr>
          <w:rFonts w:ascii="맑은 고딕" w:hAnsi="맑은 고딕" w:eastAsia="맑은 고딕" w:cs="맑은 고딕"/>
          <w:b/>
          <w:color w:val="C9A227"/>
          <w:sz w:val="22"/>
        </w:rPr>
        <w:t xml:space="preserve">E10  ★★☆  </w:t>
      </w:r>
      <w:r>
        <w:rPr>
          <w:rFonts w:ascii="맑은 고딕" w:hAnsi="맑은 고딕" w:eastAsia="맑은 고딕" w:cs="맑은 고딕"/>
          <w:b/>
          <w:color w:val="13294B"/>
          <w:sz w:val="22"/>
        </w:rPr>
        <w:t>출원청을 통제한 이유와 표준오차는 어떻게 처리했습니까?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출원청마다 출원 시기와 기술 구성이 달라 모든 모형에 출원청 더미를 넣었고(계수는 해석하지 않음), 셋째 연구 질문 모형은 이분산에 강건한 표준오차, 관측치 독립성은 동일 제목 군집 표준오차로 점검했습니다.</w:t>
            </w:r>
          </w:p>
        </w:tc>
      </w:tr>
    </w:tbl>
    <w:p>
      <w:pPr>
        <w:spacing w:after="0"/>
      </w:pP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제3절(21쪽~), 제4장 제5절(26쪽~)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22 · S20 16 · S15 11</w:t>
      </w:r>
    </w:p>
    <w:p>
      <w:pPr>
        <w:pStyle w:val="Heading3"/>
      </w:pPr>
      <w:r>
        <w:rPr>
          <w:rFonts w:ascii="맑은 고딕" w:hAnsi="맑은 고딕" w:eastAsia="맑은 고딕" w:cs="맑은 고딕"/>
          <w:b/>
          <w:color w:val="C9A227"/>
          <w:sz w:val="22"/>
        </w:rPr>
        <w:t xml:space="preserve">E11  ★★☆  </w:t>
      </w:r>
      <w:r>
        <w:rPr>
          <w:rFonts w:ascii="맑은 고딕" w:hAnsi="맑은 고딕" w:eastAsia="맑은 고딕" w:cs="맑은 고딕"/>
          <w:b/>
          <w:color w:val="13294B"/>
          <w:sz w:val="22"/>
        </w:rPr>
        <w:t>이 결과를 인과관계로 해석할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아닙니다. 모든 계수는 인과효과가 아니라 관찰된 변수를 통제한 조건부 연관으로 해석했습니다.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기술적 다양성과 유형은 함께 결정될 가능성이 높고 적절한 도구변수가 없으며, 출원청은 통제변수로만 넣었습니다. 핵심 기술 분석의 시기 구분도 지배적 설계의 형성 시점을 직접 측정한 것이 아니라 출원 시기로 근사한 것입니다.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마지막, 제6장 제3절(44쪽~) 다섯째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22, 39 · S20 16, 29 · S15 19</w:t>
      </w:r>
    </w:p>
    <w:p>
      <w:pPr>
        <w:pStyle w:val="Heading3"/>
      </w:pPr>
      <w:r>
        <w:rPr>
          <w:rFonts w:ascii="맑은 고딕" w:hAnsi="맑은 고딕" w:eastAsia="맑은 고딕" w:cs="맑은 고딕"/>
          <w:b/>
          <w:color w:val="C9A227"/>
          <w:sz w:val="22"/>
        </w:rPr>
        <w:t xml:space="preserve">E12  ★☆☆  </w:t>
      </w:r>
      <w:r>
        <w:rPr>
          <w:rFonts w:ascii="맑은 고딕" w:hAnsi="맑은 고딕" w:eastAsia="맑은 고딕" w:cs="맑은 고딕"/>
          <w:b/>
          <w:color w:val="13294B"/>
          <w:sz w:val="22"/>
        </w:rPr>
        <w:t>유의수준과 다중비교 문제는 어떻게 다루었습니까?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5% 유의수준을 적용하되 단일 p값에 의존하지 않고, 기준 모형과 대안 표본·정의, 군집 표준오차 전반에서 방향, 효과 크기, 유의성이 일관되는지를 종합적으로 판단했습니다.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p ≥ 0.05는 효과가 없음을 증명하는 것이 아니라 5% 수준에서 명확한 증거가 부족하다는 뜻으로 해석했고, 핵심 효과비에는 95% 신뢰구간을 함께 제시했습니다(표 15).</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제4장 제5절(26쪽~) 강건성과 해석 원칙, 표 15(39쪽)</w:t>
      </w:r>
    </w:p>
    <w:p>
      <w:pPr>
        <w:pStyle w:val="Heading2"/>
      </w:pPr>
      <w:r>
        <w:t>F. 결과의 해석</w:t>
      </w:r>
    </w:p>
    <w:p>
      <w:pPr>
        <w:pStyle w:val="Heading3"/>
      </w:pPr>
      <w:r>
        <w:rPr>
          <w:rFonts w:ascii="맑은 고딕" w:hAnsi="맑은 고딕" w:eastAsia="맑은 고딕" w:cs="맑은 고딕"/>
          <w:b/>
          <w:color w:val="C9A227"/>
          <w:sz w:val="22"/>
        </w:rPr>
        <w:t xml:space="preserve">F1  ★★★  </w:t>
      </w:r>
      <w:r>
        <w:rPr>
          <w:rFonts w:ascii="맑은 고딕" w:hAnsi="맑은 고딕" w:eastAsia="맑은 고딕" w:cs="맑은 고딕"/>
          <w:b/>
          <w:color w:val="13294B"/>
          <w:sz w:val="22"/>
        </w:rPr>
        <w:t>통합형 45.8%를 "예외적이지 않다"고 판단한 기준은 무엇입니까? 비교 대상이 없지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세 유형 가운데 가장 많고, 좁은 정의에서도 출원의 3분의 1 이상(37.2%)이 두 영역의 기호를 함께 가졌다는 점을 근거로 했습니다. 다른 기술과의 외부 비교는 하지 않았으므로 이는 향후 과제입니다.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두 영역이 분업이 유지되는 독립된 공정 단계라면 경계를 넘는 발명은 소수여야 하는데, 실제로는 가장 많은 유형 또는 3분의 1 이상이라는 점에서 예외적이지 않다고 해석했습니다.</w:t>
      </w:r>
    </w:p>
    <w:p>
      <w:pPr>
        <w:spacing w:after="60" w:before="0"/>
        <w:ind w:left="170"/>
      </w:pPr>
      <w:r>
        <w:rPr>
          <w:rFonts w:ascii="맑은 고딕" w:hAnsi="맑은 고딕" w:eastAsia="맑은 고딕" w:cs="맑은 고딕"/>
          <w:b w:val="0"/>
          <w:sz w:val="21"/>
        </w:rPr>
        <w:t>다른 공정기술(디스플레이 리소그래피, 배터리 셀-투-팩 등)에 같은 두 클래스 규칙을 적용해 비교하면 이 수준이 높은지 낮은지를 판단할 기준을 얻을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제1절(30쪽~), 제6장 제3절(44쪽~)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23–24 · S20 17 · S15 12</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"다른 기술보다 높다"고 말하지 마십시오. 비교 자료가 없습니다.</w:t>
      </w:r>
    </w:p>
    <w:p>
      <w:pPr>
        <w:pStyle w:val="Heading3"/>
      </w:pPr>
      <w:r>
        <w:rPr>
          <w:rFonts w:ascii="맑은 고딕" w:hAnsi="맑은 고딕" w:eastAsia="맑은 고딕" w:cs="맑은 고딕"/>
          <w:b/>
          <w:color w:val="C9A227"/>
          <w:sz w:val="22"/>
        </w:rPr>
        <w:t xml:space="preserve">F2  ★★★  </w:t>
      </w:r>
      <w:r>
        <w:rPr>
          <w:rFonts w:ascii="맑은 고딕" w:hAnsi="맑은 고딕" w:eastAsia="맑은 고딕" w:cs="맑은 고딕"/>
          <w:b/>
          <w:color w:val="13294B"/>
          <w:sz w:val="22"/>
        </w:rPr>
        <w:t>재편기에 통합형이 줄었는데, 그러면 융합이 약해졌다는 뜻 아닙니까?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융합의 양이 줄었다기보다 융합의 내용과 중심이 바뀌었다고 해석합니다. 핵심 기술을 포함한 발명의 제조공정 지식 포함 우위가 사라졌고, 결합하는 공정은 다이 지지·봉지 같은 주변 공정으로, 연결 기호는 공정 장치로 옮겨 갔습니다.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오히려 핵심 기술이 없는 접합 출원의 통합형 비중은 27.7% → 57.9% → 56.9%로 높아졌고, 감소는 핵심 기술을 포함한 출원(79.6% → 77.1% → 48.4%)에서 비롯되었습니다.</w:t>
      </w:r>
    </w:p>
    <w:p>
      <w:pPr>
        <w:spacing w:after="60" w:before="0"/>
        <w:ind w:left="170"/>
      </w:pPr>
      <w:r>
        <w:rPr>
          <w:rFonts w:ascii="맑은 고딕" w:hAnsi="맑은 고딕" w:eastAsia="맑은 고딕" w:cs="맑은 고딕"/>
          <w:b w:val="0"/>
          <w:sz w:val="21"/>
        </w:rPr>
        <w:t>출원당 H01L21 기호 수도 2.12, 2.23개에서 재편기 1.46개로 줄었는데, 핵심 인터페이스가 고착화되면서 제조공정 지식이 주어진 조건으로 전제된 것과 부합합니다(Henderson &amp; Clark, 1990; Brusoni et al., 2001).</w:t>
      </w:r>
    </w:p>
    <w:p>
      <w:pPr>
        <w:spacing w:after="60" w:before="0"/>
        <w:ind w:left="170"/>
      </w:pPr>
      <w:r>
        <w:rPr>
          <w:rFonts w:ascii="맑은 고딕" w:hAnsi="맑은 고딕" w:eastAsia="맑은 고딕" w:cs="맑은 고딕"/>
          <w:b w:val="0"/>
          <w:sz w:val="21"/>
        </w:rPr>
        <w:t>적용 범위가 웨이퍼 단위에서 다이 단위로 넓어지고 HBM과 칩렛이 양산 단계에 가까워지면서(Lau, 2021, 2022), 두 공정이 만나는 지점도 접합 원리에서 다이를 다루고 적층하는 공정으로 이동한 것으로 해석됩니다.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제3절(33쪽~), 제6장 제1절(40쪽~) 둘째·셋째, 표 16(42쪽)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27–30, 32–35 · S20 19–21, 23–25, 33 · S15 14, 16–17</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"융합이 줄었다/약해졌다"는 표현을 쓰지 마십시오.</w:t>
      </w:r>
    </w:p>
    <w:p>
      <w:pPr>
        <w:pStyle w:val="Heading3"/>
      </w:pPr>
      <w:r>
        <w:rPr>
          <w:rFonts w:ascii="맑은 고딕" w:hAnsi="맑은 고딕" w:eastAsia="맑은 고딕" w:cs="맑은 고딕"/>
          <w:b/>
          <w:color w:val="C9A227"/>
          <w:sz w:val="22"/>
        </w:rPr>
        <w:t xml:space="preserve">F3  ★★★  </w:t>
      </w:r>
      <w:r>
        <w:rPr>
          <w:rFonts w:ascii="맑은 고딕" w:hAnsi="맑은 고딕" w:eastAsia="맑은 고딕" w:cs="맑은 고딕"/>
          <w:b/>
          <w:color w:val="13294B"/>
          <w:sz w:val="22"/>
        </w:rPr>
        <w:t>형성기·확산기·재편기를 지식 융합·기술 융합·응용 융합에 대응시킨 것은 과도한 해석 아닙니까?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논문에서도 "대응하는 것으로 해석할 수 있다"는 수준으로 서술했습니다. 직접 측정한 것은 기술 융합 단계뿐이고, 응용 융합은 결합 공정의 내용 변화로 간접 추론했습니다.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근거는 세 가지입니다. 형성기에는 공정 단독형이 43.6%로 가장 많아 접합에 필요한 제조공정 지식이 따로 축적되는 모습이고, 확산기에는 통합형이 62.2%로 정점이어서 두 영역의 지식이 하나의 발명 안에서 결합되는 모습이며, 재편기에는 핵심 기술과 결합한 제조공정이 임시 기판을 이용한 다이 지지와 봉지 공정으로 바뀌었습니다.</w:t>
      </w:r>
    </w:p>
    <w:p>
      <w:pPr>
        <w:spacing w:after="60" w:before="0"/>
        <w:ind w:left="170"/>
      </w:pPr>
      <w:r>
        <w:rPr>
          <w:rFonts w:ascii="맑은 고딕" w:hAnsi="맑은 고딕" w:eastAsia="맑은 고딕" w:cs="맑은 고딕"/>
          <w:b w:val="0"/>
          <w:sz w:val="21"/>
        </w:rPr>
        <w:t>산업 융합 단계는 분석하지 않았으므로 말하지 않습니다.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둘째, 제2장 제5절(14쪽~)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35 · S20 25 · S15 17</w:t>
      </w:r>
    </w:p>
    <w:p>
      <w:pPr>
        <w:pStyle w:val="Heading3"/>
      </w:pPr>
      <w:r>
        <w:rPr>
          <w:rFonts w:ascii="맑은 고딕" w:hAnsi="맑은 고딕" w:eastAsia="맑은 고딕" w:cs="맑은 고딕"/>
          <w:b/>
          <w:color w:val="C9A227"/>
          <w:sz w:val="22"/>
        </w:rPr>
        <w:t xml:space="preserve">F4  ★★★  </w:t>
      </w:r>
      <w:r>
        <w:rPr>
          <w:rFonts w:ascii="맑은 고딕" w:hAnsi="맑은 고딕" w:eastAsia="맑은 고딕" w:cs="맑은 고딕"/>
          <w:b/>
          <w:color w:val="13294B"/>
          <w:sz w:val="22"/>
        </w:rPr>
        <w:t>핵심 기술의 승산비가 11.07에서 0.66으로 떨어진 것이 지배적 설계 형성의 증거입니까?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증거라기보다 지배적 설계가 자리 잡으면 인터페이스가 고착화되고 이후의 혁신이 정해진 설계 안의 점진적 개선으로 바뀐다는 기술 순환 모형과 부합하는 결과입니다.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2014년 이전 승산비가 1보다 크고, 2020–2024년 승산비가 1과 유의하게 다르지 않으며, 그 차이(상호작용)가 유의하게 1보다 작다는 결과는 일곱 가지 추정 모두에서 유지되었습니다(상호작용 0.050–0.185).</w:t>
      </w:r>
    </w:p>
    <w:p>
      <w:pPr>
        <w:spacing w:after="60" w:before="0"/>
        <w:ind w:left="170"/>
      </w:pPr>
      <w:r>
        <w:rPr>
          <w:rFonts w:ascii="맑은 고딕" w:hAnsi="맑은 고딕" w:eastAsia="맑은 고딕" w:cs="맑은 고딕"/>
          <w:b w:val="0"/>
          <w:sz w:val="21"/>
        </w:rPr>
        <w:t>다만 2015–2019년 승산비는 군집 표준오차와 무관 용법 제외 표본에서 유의성을 잃었으므로, 핵심 기술의 우위가 사라진 시점이 확산기인지 재편기인지는 확정하지 않았습니다. 또 시기는 지배적 설계 형성 시점의 직접 측정이 아니라 출원 시기로 근사한 것입니다.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제3절(33쪽~), 제5장 제4절(36쪽~), 표 14(39쪽), 제6장 제1절(40쪽~) 셋째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27–30, 34, 49 · S20 19–21, 24, 33, 44 · S15 14, 32, 42</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"지배적 설계를 증명했다"는 표현은 피하십시오.</w:t>
      </w:r>
    </w:p>
    <w:p>
      <w:pPr>
        <w:pStyle w:val="Heading3"/>
      </w:pPr>
      <w:r>
        <w:rPr>
          <w:rFonts w:ascii="맑은 고딕" w:hAnsi="맑은 고딕" w:eastAsia="맑은 고딕" w:cs="맑은 고딕"/>
          <w:b/>
          <w:color w:val="C9A227"/>
          <w:sz w:val="22"/>
        </w:rPr>
        <w:t xml:space="preserve">F5  ★★☆  </w:t>
      </w:r>
      <w:r>
        <w:rPr>
          <w:rFonts w:ascii="맑은 고딕" w:hAnsi="맑은 고딕" w:eastAsia="맑은 고딕" w:cs="맑은 고딕"/>
          <w:b/>
          <w:color w:val="13294B"/>
          <w:sz w:val="22"/>
        </w:rPr>
        <w:t>2014년 이전 승산비 11.071은 신뢰구간(4.211–29.107)이 매우 넓은데요?</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해당 시기 접합 출원이 101건(핵심 보유 54건, 없음 47건)으로 적어서 구간이 넓습니다. 하한도 4.2로 1보다 훨씬 크므로 방향은 분명하며, 해석의 무게는 크기보다 시기에 따른 감소 패턴에 두었습니다.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무관 용법을 제외하면 2014년 이전 승산비가 3.981로 작아지는데, 접합 기호를 가진 무관한 출원 51건 중 28건이 2014년 이전의 핵심 기술 없는 출원이고 그중 25건이 접합 단독형이었기 때문입니다. 그래도 이 표본에서 2014년 이전 승산비(p &lt; 0.05)와 2020–2024년 상호작용(0.185, p &lt; 0.05)은 유의했습니다.</w:t>
      </w:r>
    </w:p>
    <w:p>
      <w:pPr>
        <w:spacing w:after="60" w:before="0"/>
        <w:ind w:left="170"/>
      </w:pPr>
      <w:r>
        <w:rPr>
          <w:rFonts w:ascii="맑은 고딕" w:hAnsi="맑은 고딕" w:eastAsia="맑은 고딕" w:cs="맑은 고딕"/>
          <w:b w:val="0"/>
          <w:sz w:val="21"/>
        </w:rPr>
        <w:t>형성기의 해당 통합형 출원 43건은 소수의 동일 제목 출원에 집중되어 있어, 형성기의 대표 결합 기호는 제시하지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표 11(34쪽), 제5장 제4절(36쪽~), 표 16(42쪽) 주</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27–30, 49 · S20 19–21, 33, 44 · S15 14, 42</w:t>
      </w:r>
    </w:p>
    <w:p>
      <w:pPr>
        <w:pStyle w:val="Heading3"/>
      </w:pPr>
      <w:r>
        <w:rPr>
          <w:rFonts w:ascii="맑은 고딕" w:hAnsi="맑은 고딕" w:eastAsia="맑은 고딕" w:cs="맑은 고딕"/>
          <w:b/>
          <w:color w:val="C9A227"/>
          <w:sz w:val="22"/>
        </w:rPr>
        <w:t xml:space="preserve">F6  ★★☆  </w:t>
      </w:r>
      <w:r>
        <w:rPr>
          <w:rFonts w:ascii="맑은 고딕" w:hAnsi="맑은 고딕" w:eastAsia="맑은 고딕" w:cs="맑은 고딕"/>
          <w:b/>
          <w:color w:val="13294B"/>
          <w:sz w:val="22"/>
        </w:rPr>
        <w:t>핵심 기술이 없는 접합 출원의 통합형 비중은 오히려 늘었는데(27.7% → 56.9%), 이것은 어떻게 설명합니까?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논문은 이 부분의 원인을 따로 분석하지 않았고, 변화가 핵심 기술을 포함한 출원에서 비롯되었다는 점을 보이는 데 사용했습니다. 핵심 기술이 없는 접합 출원은 확산기 38건, 재편기 58건으로 적어 원인을 단정하기 어렵습니다.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가능한 해석으로는 범프·층·와이어 커넥터처럼 핵심 접합 기호 밖의 접합 기술에서도 제조공정과의 결합이 늘었을 수 있다는 점을 들 수 있지만, 이는 검증하지 않은 추론이라고 분명히 말하는 것이 좋습니다.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제3절(33쪽~), 표 11(34쪽)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27–30 · S20 19–21, 33 · S15 14</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검증하지 않은 해석을 결과처럼 말하지 마십시오.</w:t>
      </w:r>
    </w:p>
    <w:p>
      <w:pPr>
        <w:pStyle w:val="Heading3"/>
      </w:pPr>
      <w:r>
        <w:rPr>
          <w:rFonts w:ascii="맑은 고딕" w:hAnsi="맑은 고딕" w:eastAsia="맑은 고딕" w:cs="맑은 고딕"/>
          <w:b/>
          <w:color w:val="C9A227"/>
          <w:sz w:val="22"/>
        </w:rPr>
        <w:t xml:space="preserve">F7  ★★☆  </w:t>
      </w:r>
      <w:r>
        <w:rPr>
          <w:rFonts w:ascii="맑은 고딕" w:hAnsi="맑은 고딕" w:eastAsia="맑은 고딕" w:cs="맑은 고딕"/>
          <w:b/>
          <w:color w:val="13294B"/>
          <w:sz w:val="22"/>
        </w:rPr>
        <w:t>"주변 공정"이라는 표현은 그 공정들이 덜 중요하다는 뜻입니까?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아닙니다. 주변이란 핵심 접합 기호 밖에 있다는 구조적 의미이며, 이 공정들이 양산에서 덜 중요하다는 뜻이 아닙니다. 논문에도 그렇게 명시했습니다.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오히려 실무적 시사점은 재편기 경쟁의 초점이 이러한 다이 단위 공정과의 결합으로 옮겨 갈 수 있다는 것입니다.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셋째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32–33 · S20 23 · S15 16</w:t>
      </w:r>
    </w:p>
    <w:p>
      <w:pPr>
        <w:pStyle w:val="Heading3"/>
      </w:pPr>
      <w:r>
        <w:rPr>
          <w:rFonts w:ascii="맑은 고딕" w:hAnsi="맑은 고딕" w:eastAsia="맑은 고딕" w:cs="맑은 고딕"/>
          <w:b/>
          <w:color w:val="C9A227"/>
          <w:sz w:val="22"/>
        </w:rPr>
        <w:t xml:space="preserve">F8  ★★☆  </w:t>
      </w:r>
      <w:r>
        <w:rPr>
          <w:rFonts w:ascii="맑은 고딕" w:hAnsi="맑은 고딕" w:eastAsia="맑은 고딕" w:cs="맑은 고딕"/>
          <w:b/>
          <w:color w:val="13294B"/>
          <w:sz w:val="22"/>
        </w:rPr>
        <w:t>Jaccard 계수에서 웨이퍼 제조공정이 0.598에서 0.159로 급락한 이유는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재편기에 접합 출원이 크게 늘어난 가운데, 웨이퍼 제조공정 기호와 접합 기호를 함께 가진 출원은 119건에서 82건으로 줄었기 때문입니다. 반면 공정 장치는 11건에서 89건으로, 패키징 단계 공정은 43건에서 139건으로 늘었습니다.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Jaccard 계수는 둘 중 하나라도 가진 출원 수로 나누므로, 접합 출원이 늘었는데 웨이퍼 제조공정과의 공출현이 줄면 크게 떨어집니다. 그 결과 접합과 가장 강하게 결합한 제조공정 영역이 형성기·확산기의 웨이퍼 제조공정에서 재편기의 패키징 단계 공정으로 바뀌었습니다.</w:t>
      </w:r>
    </w:p>
    <w:p>
      <w:pPr>
        <w:spacing w:after="60" w:before="0"/>
        <w:ind w:left="170"/>
      </w:pPr>
      <w:r>
        <w:rPr>
          <w:rFonts w:ascii="맑은 고딕" w:hAnsi="맑은 고딕" w:eastAsia="맑은 고딕" w:cs="맑은 고딕"/>
          <w:b w:val="0"/>
          <w:sz w:val="21"/>
        </w:rPr>
        <w:t>매개 중심성 비중에서도 웨이퍼 제조공정은 53.6% → 42.5% → 9.0%로 줄고 공정 장치는 26.1%로 늘었습니다. 핵심 기호(24/80, 24/08, 24/05)는 세 시기 모두 허브였습니다.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제3절(33쪽~), 표 12(36쪽)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32–33 · S20 23 · S15 16</w:t>
      </w:r>
    </w:p>
    <w:p>
      <w:pPr>
        <w:pStyle w:val="Heading3"/>
      </w:pPr>
      <w:r>
        <w:rPr>
          <w:rFonts w:ascii="맑은 고딕" w:hAnsi="맑은 고딕" w:eastAsia="맑은 고딕" w:cs="맑은 고딕"/>
          <w:b/>
          <w:color w:val="C9A227"/>
          <w:sz w:val="22"/>
        </w:rPr>
        <w:t xml:space="preserve">F9  ★★☆  </w:t>
      </w:r>
      <w:r>
        <w:rPr>
          <w:rFonts w:ascii="맑은 고딕" w:hAnsi="맑은 고딕" w:eastAsia="맑은 고딕" w:cs="맑은 고딕"/>
          <w:b/>
          <w:color w:val="13294B"/>
          <w:sz w:val="22"/>
        </w:rPr>
        <w:t>hybrid bonding 표본에서 둘째 연구 질문의 시간 추세가 유의하지 않으면 결론이 흔들리지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그 표본은 2014년 이전 출원이 30건뿐이어서 형성기를 충분히 관찰할 수 없습니다. 공정 단독형의 감소는 direct bonding 시기의 웨이퍼 접합 공정 출원에서 hybrid bonding 시기의 구조 출원으로 이행한 변화를 상당 부분 반영하므로, 그 이전 시기가 빠지면 추세가 식별되지 않는 것이 자연스럽습니다.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나머지 재추정에서는 0.820–0.935로 모두 1% 수준에서 유의했고, 이 표본에서도 기술범위 → 통합형 RRR 1.485***는 유지되었습니다.</w:t>
      </w:r>
    </w:p>
    <w:p>
      <w:pPr>
        <w:spacing w:after="60" w:before="0"/>
        <w:ind w:left="170"/>
      </w:pPr>
      <w:r>
        <w:rPr>
          <w:rFonts w:ascii="맑은 고딕" w:hAnsi="맑은 고딕" w:eastAsia="맑은 고딕" w:cs="맑은 고딕"/>
          <w:b w:val="0"/>
          <w:sz w:val="21"/>
        </w:rPr>
        <w:t>즉 둘째 연구 질문의 시간 추세는 전구 기술을 포함한 넓은 표본에 의존한다는 점을 인정하고, 표 15에도 그렇게 적었습니다.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제5장 제4절(36쪽~) 검색어의 정밀도, 표 13(37쪽), 표 15(39쪽)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34, 48 · S20 24, 43 · S15 32, 41</w:t>
      </w:r>
    </w:p>
    <w:p>
      <w:pPr>
        <w:pStyle w:val="Heading3"/>
      </w:pPr>
      <w:r>
        <w:rPr>
          <w:rFonts w:ascii="맑은 고딕" w:hAnsi="맑은 고딕" w:eastAsia="맑은 고딕" w:cs="맑은 고딕"/>
          <w:b/>
          <w:color w:val="C9A227"/>
          <w:sz w:val="22"/>
        </w:rPr>
        <w:t xml:space="preserve">F10  ★☆☆  </w:t>
      </w:r>
      <w:r>
        <w:rPr>
          <w:rFonts w:ascii="맑은 고딕" w:hAnsi="맑은 고딕" w:eastAsia="맑은 고딕" w:cs="맑은 고딕"/>
          <w:b/>
          <w:color w:val="13294B"/>
          <w:sz w:val="22"/>
        </w:rPr>
        <w:t>기술범위가 넓은 특허가 가치가 더 높다고 볼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본 연구는 특허 가치를 측정하지 않았습니다. 특허 범위가 경제적 가치를 지닌다는 Lerner(1994)의 발견, 세분화된 기술 시장에서 넓은 포트폴리오가 유리하다는 Ziedonis(2004)의 설명과 궤를 같이한다는 해석까지만 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성능과 수율이 인접 공정 단계의 역량에 좌우되는 기술에서 넓은 기술적 다양성은 권리 보호 전략과 관련될 수 있다고 보았습니다(Zhao et al., 2023).</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첫째 둘째 단락</w:t>
      </w:r>
    </w:p>
    <w:p>
      <w:pPr>
        <w:pStyle w:val="Heading3"/>
      </w:pPr>
      <w:r>
        <w:rPr>
          <w:rFonts w:ascii="맑은 고딕" w:hAnsi="맑은 고딕" w:eastAsia="맑은 고딕" w:cs="맑은 고딕"/>
          <w:b/>
          <w:color w:val="C9A227"/>
          <w:sz w:val="22"/>
        </w:rPr>
        <w:t xml:space="preserve">F11  ★☆☆  </w:t>
      </w:r>
      <w:r>
        <w:rPr>
          <w:rFonts w:ascii="맑은 고딕" w:hAnsi="맑은 고딕" w:eastAsia="맑은 고딕" w:cs="맑은 고딕"/>
          <w:b/>
          <w:color w:val="13294B"/>
          <w:sz w:val="22"/>
        </w:rPr>
        <w:t>매개 중심성에서 접합 기호의 비중이 46.1%에서 57.6%로 커진 것은 무슨 뜻입니까?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접합 기호들이 네트워크 안에서 다른 기호들을 잇는 역할을 점점 더 많이 맡았다는 뜻이며, 제조공정 기호 가운데서는 그 역할이 웨이퍼 제조공정에서 공정 장치로 넘어갔다는 점이 핵심입니다.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표 12의 비중은 시기별 네트워크에서 각 영역 기호의 매개 중심성 합이 전체에서 차지하는 비중이며, 연결 가중치는 고려하지 않았습니다.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표 12(36쪽)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32–33 · S20 23 · S15 16</w:t>
      </w:r>
    </w:p>
    <w:p>
      <w:pPr>
        <w:pStyle w:val="Heading2"/>
      </w:pPr>
      <w:r>
        <w:t>G. 한계와 향후 연구</w:t>
      </w:r>
    </w:p>
    <w:p>
      <w:pPr>
        <w:pStyle w:val="Heading3"/>
      </w:pPr>
      <w:r>
        <w:rPr>
          <w:rFonts w:ascii="맑은 고딕" w:hAnsi="맑은 고딕" w:eastAsia="맑은 고딕" w:cs="맑은 고딕"/>
          <w:b/>
          <w:color w:val="C9A227"/>
          <w:sz w:val="22"/>
        </w:rPr>
        <w:t xml:space="preserve">G1  ★★★  </w:t>
      </w:r>
      <w:r>
        <w:rPr>
          <w:rFonts w:ascii="맑은 고딕" w:hAnsi="맑은 고딕" w:eastAsia="맑은 고딕" w:cs="맑은 고딕"/>
          <w:b/>
          <w:color w:val="13294B"/>
          <w:sz w:val="22"/>
        </w:rPr>
        <w:t>이 연구의 가장 큰 한계는 무엇이라고 생각합니까?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구성타당성입니다. H01L21–H01L24 공동분류는 공정 단계 간 융합의 대리측정치이고, H01L21에 패키징 단계 공정이 들어 있으며, CPC가 과거 출원까지 소급해 재분류될 수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이를 줄이려고 패키징 단계 공정을 뺀 좁은 정의로 재추정했고 회귀 결론은 유지되었지만, 통합형 비중 같은 기술통계는 정의에 따라 달라집니다.</w:t>
      </w:r>
    </w:p>
    <w:p>
      <w:pPr>
        <w:spacing w:after="60" w:before="0"/>
        <w:ind w:left="170"/>
      </w:pPr>
      <w:r>
        <w:rPr>
          <w:rFonts w:ascii="맑은 고딕" w:hAnsi="맑은 고딕" w:eastAsia="맑은 고딕" w:cs="맑은 고딕"/>
          <w:b w:val="0"/>
          <w:sz w:val="21"/>
        </w:rPr>
        <w:t>그 밖에 제목 키워드 검색의 누락, 패밀리 식별자 부재(동일 제목으로 근사), 출원인 등 누락변수, 인과 추론의 불가, CPC가 발명보다 늦게 부여된다는 측정 시점의 한계를 논문 제6장 제3절에 밝혔습니다.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제3절(44쪽~)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39 · S20 29 · S15 19</w:t>
      </w:r>
    </w:p>
    <w:p>
      <w:pPr>
        <w:pStyle w:val="Heading3"/>
      </w:pPr>
      <w:r>
        <w:rPr>
          <w:rFonts w:ascii="맑은 고딕" w:hAnsi="맑은 고딕" w:eastAsia="맑은 고딕" w:cs="맑은 고딕"/>
          <w:b/>
          <w:color w:val="C9A227"/>
          <w:sz w:val="22"/>
        </w:rPr>
        <w:t xml:space="preserve">G2  ★★☆  </w:t>
      </w:r>
      <w:r>
        <w:rPr>
          <w:rFonts w:ascii="맑은 고딕" w:hAnsi="맑은 고딕" w:eastAsia="맑은 고딕" w:cs="맑은 고딕"/>
          <w:b/>
          <w:color w:val="13294B"/>
          <w:sz w:val="22"/>
        </w:rPr>
        <w:t>CPC 재분류 때문에 시간적 변화가 분류 체계의 산물일 수 있지 않습니까?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그 가능성을 배제할 수 없다는 점을 한계로 밝혔습니다. 관찰된 시간적 변화의 일부는 기술 자체보다 분류 체계와 심사 관행의 변화를 반영했을 수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그래서 결과를 분류 체계의 변화까지 포함한 관찰 결과로 해석했고, 여러 대안 표본과 정의에서 방향이 일관되었다는 점을 판단 근거로 삼았습니다. 텍스트 기반 측정을 함께 쓰는 것은 이 한계를 줄이는 향후 과제입니다.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제3절(44쪽~) 첫째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39 · S20 29 · S15 19</w:t>
      </w:r>
    </w:p>
    <w:p>
      <w:pPr>
        <w:pStyle w:val="Heading3"/>
      </w:pPr>
      <w:r>
        <w:rPr>
          <w:rFonts w:ascii="맑은 고딕" w:hAnsi="맑은 고딕" w:eastAsia="맑은 고딕" w:cs="맑은 고딕"/>
          <w:b/>
          <w:color w:val="C9A227"/>
          <w:sz w:val="22"/>
        </w:rPr>
        <w:t xml:space="preserve">G3  ★★☆  </w:t>
      </w:r>
      <w:r>
        <w:rPr>
          <w:rFonts w:ascii="맑은 고딕" w:hAnsi="맑은 고딕" w:eastAsia="맑은 고딕" w:cs="맑은 고딕"/>
          <w:b/>
          <w:color w:val="13294B"/>
          <w:sz w:val="22"/>
        </w:rPr>
        <w:t>특허 인용 자료는 왜 쓰지 않았습니까?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연구 질문이 "하나의 발명 안에서 두 영역의 지식이 결합되는가"였기 때문에, 발명 내부의 결합을 보여 주는 공동분류가 더 직접적인 지표라고 판단했습니다.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인용은 발명과 발명, 기업과 기업 사이의 지식 흐름을 보는 데 적합하고, 가치사슬 상·하류 기업 간 인용을 분석한 Karvonen과 Kässi(2012)가 그런 예입니다. 인용 자료를 결합해 지식 흐름까지 함께 보는 것은 좋은 확장 방향입니다.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 셋째 단락, 제2장 제4절(11쪽~)</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추출 자료에 인용 정보가 있었는지 여부는 논문에 적혀 있지 않으므로 단정하지 마십시오.</w:t>
      </w:r>
    </w:p>
    <w:p>
      <w:pPr>
        <w:pStyle w:val="Heading3"/>
      </w:pPr>
      <w:r>
        <w:rPr>
          <w:rFonts w:ascii="맑은 고딕" w:hAnsi="맑은 고딕" w:eastAsia="맑은 고딕" w:cs="맑은 고딕"/>
          <w:b/>
          <w:color w:val="C9A227"/>
          <w:sz w:val="22"/>
        </w:rPr>
        <w:t xml:space="preserve">G4  ★★☆  </w:t>
      </w:r>
      <w:r>
        <w:rPr>
          <w:rFonts w:ascii="맑은 고딕" w:hAnsi="맑은 고딕" w:eastAsia="맑은 고딕" w:cs="맑은 고딕"/>
          <w:b/>
          <w:color w:val="13294B"/>
          <w:sz w:val="22"/>
        </w:rPr>
        <w:t>텍스트 마이닝을 쓰지 않은 이유는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CPC 공동분류는 재현 가능하지만 발명보다 늦게 부여된다는 한계가 있습니다. 텍스트 기반 방법은 더 이른 탐지가 가능한 대신 학습된 모형에 의존하므로, H01L21과 H01L24의 경계가 제도적으로 명확한 본 연구에서는 재현성을 우선했습니다.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분류 체계가 발명을 사후적으로 반영한다는 한계를 보완하려고 특허 텍스트를 쓰는 연구들이 있습니다(Preschitschek et al., 2013; Lei et al., 2019; Zhu &amp; Motohashi, 2022).</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제4절(11쪽~) 첫 단락, 제6장 제3절(44쪽~) 여섯째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39 · S20 29 · S15 19</w:t>
      </w:r>
    </w:p>
    <w:p>
      <w:pPr>
        <w:pStyle w:val="Heading3"/>
      </w:pPr>
      <w:r>
        <w:rPr>
          <w:rFonts w:ascii="맑은 고딕" w:hAnsi="맑은 고딕" w:eastAsia="맑은 고딕" w:cs="맑은 고딕"/>
          <w:b/>
          <w:color w:val="C9A227"/>
          <w:sz w:val="22"/>
        </w:rPr>
        <w:t xml:space="preserve">G5  ★★☆  </w:t>
      </w:r>
      <w:r>
        <w:rPr>
          <w:rFonts w:ascii="맑은 고딕" w:hAnsi="맑은 고딕" w:eastAsia="맑은 고딕" w:cs="맑은 고딕"/>
          <w:b/>
          <w:color w:val="13294B"/>
          <w:sz w:val="22"/>
        </w:rPr>
        <w:t>이 결과를 다른 산업이나 기술에 일반화할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단일 기술 사례이므로 바로 일반화할 수는 없습니다. 다만 같은 두 클래스 규칙과 이산선택 모형은 하류 단계가 상류 역량에 의존하기 시작한 다른 공정기술에 적용할 수 있고, 여러 사례를 비교해 형성–확산–재편의 전개가 일반적인지 검증하는 것이 다음 과제입니다.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논문에서 든 예는 디스플레이의 첨단 리소그래피, 배터리의 셀-투-팩 통합, 항공우주 조립의 적층제조입니다. 또 각 특허가 여러 기호의 집합이라는 점을 살려 고차 공출현을 보존하는 표현이나 일반성 지수(Petralia, 2020)를 쓰면, 하이브리드 본딩이 로직·메모리·이미지센서로 확산되는 범용기술적 성격을 직접 검정할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제3절(44쪽~)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39 · S20 29 · S15 19</w:t>
      </w:r>
    </w:p>
    <w:p>
      <w:pPr>
        <w:pStyle w:val="Heading3"/>
      </w:pPr>
      <w:r>
        <w:rPr>
          <w:rFonts w:ascii="맑은 고딕" w:hAnsi="맑은 고딕" w:eastAsia="맑은 고딕" w:cs="맑은 고딕"/>
          <w:b/>
          <w:color w:val="C9A227"/>
          <w:sz w:val="22"/>
        </w:rPr>
        <w:t xml:space="preserve">G6  ★☆☆  </w:t>
      </w:r>
      <w:r>
        <w:rPr>
          <w:rFonts w:ascii="맑은 고딕" w:hAnsi="맑은 고딕" w:eastAsia="맑은 고딕" w:cs="맑은 고딕"/>
          <w:b/>
          <w:color w:val="13294B"/>
          <w:sz w:val="22"/>
        </w:rPr>
        <w:t>출원인 정보를 결합하면 무엇을 더 알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파운드리, 메모리 제조사, 조립·테스트 전문업체, 라이선싱 기업 등 기업 유형에 따라 국면이 어떻게 다르게 나타나는지, 그리고 조직 경계의 변화와 발명의 경계 넘기 가운데 무엇이 먼저 나타나는지를 볼 수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후자는 경계를 넘는 특허의 분포가 조직 경계 변화의 선행 지표가 될 수 있다는, 논문이 후속 과제로 남긴 가설과 직접 연결됩니다.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첫째 마지막 문장, 제6장 제3절(44쪽~)</w:t>
      </w:r>
    </w:p>
    <w:p>
      <w:pPr>
        <w:pStyle w:val="Heading2"/>
      </w:pPr>
      <w:r>
        <w:t>H. 하이브리드 본딩 기술</w:t>
      </w:r>
    </w:p>
    <w:p>
      <w:pPr>
        <w:pStyle w:val="Heading3"/>
      </w:pPr>
      <w:r>
        <w:rPr>
          <w:rFonts w:ascii="맑은 고딕" w:hAnsi="맑은 고딕" w:eastAsia="맑은 고딕" w:cs="맑은 고딕"/>
          <w:b/>
          <w:color w:val="C9A227"/>
          <w:sz w:val="22"/>
        </w:rPr>
        <w:t xml:space="preserve">H1  ★★★  </w:t>
      </w:r>
      <w:r>
        <w:rPr>
          <w:rFonts w:ascii="맑은 고딕" w:hAnsi="맑은 고딕" w:eastAsia="맑은 고딕" w:cs="맑은 고딕"/>
          <w:b/>
          <w:color w:val="13294B"/>
          <w:sz w:val="22"/>
        </w:rPr>
        <w:t>하이브리드 본딩의 원리를 간단히 설명해 보십시오.</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유전체 안에 구리 패드가 형성된 두 평탄한 표면을 맞댄 뒤, 상온에서 유전체를 먼저 접합하고 저온 어닐링으로 구리 패드를 접합하여 영구적인 전기적 연결을 만드는 기술입니다.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솔더 범프를 쓰지 않기 때문에 연결 간격을 마이크로범프 플립칩으로는 구현하기 어려운 10 µm 이하로 줄일 수 있고, 연구 단계에서는 1 µm 이하에 이릅니다(Lau, 2021, 2022).</w:t>
      </w:r>
    </w:p>
    <w:p>
      <w:pPr>
        <w:spacing w:after="60" w:before="0"/>
        <w:ind w:left="170"/>
      </w:pPr>
      <w:r>
        <w:rPr>
          <w:rFonts w:ascii="맑은 고딕" w:hAnsi="맑은 고딕" w:eastAsia="맑은 고딕" w:cs="맑은 고딕"/>
          <w:b w:val="0"/>
          <w:sz w:val="21"/>
        </w:rPr>
        <w:t>발표에서는 "범프 접합이 납이라는 접착제로 두 판을 붙이는 방식이라면, 하이브리드 본딩은 거울처럼 평평하게 간 두 면을 그대로 맞붙이는 방식"이라는 비유를 썼습니다.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제1절(16쪽~), 그림 1(17쪽)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6–7 · S20 6 · S15 4</w:t>
      </w:r>
    </w:p>
    <w:p>
      <w:pPr>
        <w:pStyle w:val="Heading3"/>
      </w:pPr>
      <w:r>
        <w:rPr>
          <w:rFonts w:ascii="맑은 고딕" w:hAnsi="맑은 고딕" w:eastAsia="맑은 고딕" w:cs="맑은 고딕"/>
          <w:b/>
          <w:color w:val="C9A227"/>
          <w:sz w:val="22"/>
        </w:rPr>
        <w:t xml:space="preserve">H2  ★★☆  </w:t>
      </w:r>
      <w:r>
        <w:rPr>
          <w:rFonts w:ascii="맑은 고딕" w:hAnsi="맑은 고딕" w:eastAsia="맑은 고딕" w:cs="맑은 고딕"/>
          <w:b/>
          <w:color w:val="13294B"/>
          <w:sz w:val="22"/>
        </w:rPr>
        <w:t>W2W와 D2W는 어떻게 다르고 어디에 쓰입니까?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웨이퍼-투-웨이퍼(W2W)는 웨이퍼 전체를 접합하는 방식으로 CMOS 이미지센서와 3D NAND에서 먼저 상용화되었고, 다이-투-웨이퍼(D2W)는 개별 다이를 웨이퍼에 접합하는 방식으로 칩렛, HBM, 3D 로직 구현에 필요합니다.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하이브리드 본딩은 웨이퍼 단위 접합에서 먼저 상용화된 뒤 다이 단위 접합으로 적용 범위가 넓어졌고, 이 점이 출원 시기가 늦을수록 핵심 설계가 고착화된 단계일 가능성이 크다고 본 근거입니다(Lau, 2021, 2022).</w:t>
      </w:r>
    </w:p>
    <w:p>
      <w:pPr>
        <w:spacing w:after="60" w:before="0"/>
        <w:ind w:left="170"/>
      </w:pPr>
      <w:r>
        <w:rPr>
          <w:rFonts w:ascii="맑은 고딕" w:hAnsi="맑은 고딕" w:eastAsia="맑은 고딕" w:cs="맑은 고딕"/>
          <w:b w:val="0"/>
          <w:sz w:val="21"/>
        </w:rPr>
        <w:t>자료에는 W2W와 D2W 구분이 없어, 이 구분은 누락변수의 한계로 밝혔습니다.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제1절(16쪽~), 제2장 제3절(8쪽~) 넷째 단락, 제6장 제3절(44쪽~) 넷째</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6–7, 14–18 · S20 6, 11–12 · S15 4</w:t>
      </w:r>
    </w:p>
    <w:p>
      <w:pPr>
        <w:pStyle w:val="Heading3"/>
      </w:pPr>
      <w:r>
        <w:rPr>
          <w:rFonts w:ascii="맑은 고딕" w:hAnsi="맑은 고딕" w:eastAsia="맑은 고딕" w:cs="맑은 고딕"/>
          <w:b/>
          <w:color w:val="C9A227"/>
          <w:sz w:val="22"/>
        </w:rPr>
        <w:t xml:space="preserve">H3  ★★☆  </w:t>
      </w:r>
      <w:r>
        <w:rPr>
          <w:rFonts w:ascii="맑은 고딕" w:hAnsi="맑은 고딕" w:eastAsia="맑은 고딕" w:cs="맑은 고딕"/>
          <w:b/>
          <w:color w:val="13294B"/>
          <w:sz w:val="22"/>
        </w:rPr>
        <w:t>하이브리드 본딩에서 CMP가 왜 결정적입니까?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구리 패드와 산화막이 나노미터 이하의 거칠기로 평탄해야 두 면이 직접 맞붙기 때문입니다. W2W와 D2W 어느 형태에서든 수율을 좌우하는 단계는 CMP, 플라즈마 표면 활성화, 파티클 제어, 정밀 정렬이며 모두 CPC 제조공정 클래스(H01L21)에 속합니다.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분류 체계에서도 하이브리드 본딩의 정의에는 "표면과 같은 높이의 접합 계면(2224/80357)"이 들어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제2절(17쪽~), 제4장 제4절(23쪽~)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6–7, 18 · S20 6, 12 · S15 4</w:t>
      </w:r>
    </w:p>
    <w:p>
      <w:pPr>
        <w:pStyle w:val="Heading3"/>
      </w:pPr>
      <w:r>
        <w:rPr>
          <w:rFonts w:ascii="맑은 고딕" w:hAnsi="맑은 고딕" w:eastAsia="맑은 고딕" w:cs="맑은 고딕"/>
          <w:b/>
          <w:color w:val="C9A227"/>
          <w:sz w:val="22"/>
        </w:rPr>
        <w:t xml:space="preserve">H4  ★★☆  </w:t>
      </w:r>
      <w:r>
        <w:rPr>
          <w:rFonts w:ascii="맑은 고딕" w:hAnsi="맑은 고딕" w:eastAsia="맑은 고딕" w:cs="맑은 고딕"/>
          <w:b/>
          <w:color w:val="13294B"/>
          <w:sz w:val="22"/>
        </w:rPr>
        <w:t>그림 2(D2W 공정 흐름)에서 말하려는 것은 무엇입니까?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D2W 하이브리드 본딩에서 다이를 절단해 접합하기 전까지 층간 절연막 증착, 다마신 식각, 구리 배리어·시드 증착, 구리 도금, 화학적 기계연마가 차례로 진행되는데, 모두 전공정에서 쓰이던 공정과 장비라는 점입니다.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출처는 Applied Materials(2025)이며, 두 영역의 상호의존이 실제 공정 흐름에서도 드러난다는 근거로 제시했습니다.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제2절(17쪽~), 그림 2(18쪽)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18 · S20 12 · S15 25</w:t>
      </w:r>
    </w:p>
    <w:p>
      <w:pPr>
        <w:pStyle w:val="Heading3"/>
      </w:pPr>
      <w:r>
        <w:rPr>
          <w:rFonts w:ascii="맑은 고딕" w:hAnsi="맑은 고딕" w:eastAsia="맑은 고딕" w:cs="맑은 고딕"/>
          <w:b/>
          <w:color w:val="C9A227"/>
          <w:sz w:val="22"/>
        </w:rPr>
        <w:t xml:space="preserve">H5  ★☆☆  </w:t>
      </w:r>
      <w:r>
        <w:rPr>
          <w:rFonts w:ascii="맑은 고딕" w:hAnsi="맑은 고딕" w:eastAsia="맑은 고딕" w:cs="맑은 고딕"/>
          <w:b/>
          <w:color w:val="13294B"/>
          <w:sz w:val="22"/>
        </w:rPr>
        <w:t>하이브리드 본딩 특허를 주도하는 기업과 산업 동향은 어떻습니까?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KnowMade(2024)의 독립적 산업 분석에 따르면 TSMC, Adeia, YMTC, Intel, Samsung이 특허 활동을 주도하며, 원천기술 라이선싱 기업과 첨단 패키징을 직접 운영하는 파운드리, 메모리 제조사가 함께 들어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접합 기술이 더 이상 후공정 전문기업만의 영역이 아니라는 점, 그리고 선도 파운드리가 첨단 패키징 역량을 내재화하는 움직임(Lau, 2022; KnowMade, 2024)이 공정 단계 간 상호의존의 심화로 해석된다는 점을 말하면 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제3장(16쪽~) 제2절(17쪽~) 마지막 단락, 제1장(1쪽~) 둘째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18 · S20 12 · S15 25</w:t>
      </w:r>
    </w:p>
    <w:p>
      <w:pPr>
        <w:spacing w:after="40" w:before="0"/>
        <w:ind w:left="170"/>
      </w:pPr>
      <w:r>
        <w:rPr>
          <w:rFonts w:ascii="맑은 고딕" w:hAnsi="맑은 고딕" w:eastAsia="맑은 고딕" w:cs="맑은 고딕"/>
          <w:b/>
          <w:color w:val="9B2C1F"/>
          <w:sz w:val="20"/>
        </w:rPr>
        <w:t xml:space="preserve">주의: </w:t>
      </w:r>
      <w:r>
        <w:rPr>
          <w:rFonts w:ascii="맑은 고딕" w:hAnsi="맑은 고딕" w:eastAsia="맑은 고딕" w:cs="맑은 고딕"/>
          <w:b w:val="0"/>
          <w:color w:val="9B2C1F"/>
          <w:sz w:val="20"/>
        </w:rPr>
        <w:t>논문 밖의 시장점유율, 양산 시점, 기업별 특허 수치는 말하지 않는 것이 안전합니다.</w:t>
      </w:r>
    </w:p>
    <w:p>
      <w:pPr>
        <w:pStyle w:val="Heading3"/>
      </w:pPr>
      <w:r>
        <w:rPr>
          <w:rFonts w:ascii="맑은 고딕" w:hAnsi="맑은 고딕" w:eastAsia="맑은 고딕" w:cs="맑은 고딕"/>
          <w:b/>
          <w:color w:val="C9A227"/>
          <w:sz w:val="22"/>
        </w:rPr>
        <w:t xml:space="preserve">H6  ★☆☆  </w:t>
      </w:r>
      <w:r>
        <w:rPr>
          <w:rFonts w:ascii="맑은 고딕" w:hAnsi="맑은 고딕" w:eastAsia="맑은 고딕" w:cs="맑은 고딕"/>
          <w:b/>
          <w:color w:val="13294B"/>
          <w:sz w:val="22"/>
        </w:rPr>
        <w:t>HBM에는 이미 하이브리드 본딩이 쓰이고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논문에서는 "차세대 HBM 적층에 하이브리드 본딩을 도입하려는 한국 메모리 산업", "HBM과 칩렛이 양산 단계에 근접하면서(Lau, 2021, 2022)"라고 서술했습니다. 즉 차세대 적용을 추진하는 단계로 이해하고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구체적인 적용 세대나 일정은 논문의 분석 범위 밖이라고 답하는 것이 안전합니다.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제6장 제1절(40쪽~) 셋째, 제6장 제2절(43쪽~)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 38 · S20 4, 28 · S15 3, 19</w:t>
      </w:r>
    </w:p>
    <w:p>
      <w:pPr>
        <w:pStyle w:val="Heading2"/>
      </w:pPr>
      <w:r>
        <w:t>I. 기타 · 형식</w:t>
      </w:r>
    </w:p>
    <w:p>
      <w:pPr>
        <w:pStyle w:val="Heading3"/>
      </w:pPr>
      <w:r>
        <w:rPr>
          <w:rFonts w:ascii="맑은 고딕" w:hAnsi="맑은 고딕" w:eastAsia="맑은 고딕" w:cs="맑은 고딕"/>
          <w:b/>
          <w:color w:val="C9A227"/>
          <w:sz w:val="22"/>
        </w:rPr>
        <w:t xml:space="preserve">I1  ★★☆  </w:t>
      </w:r>
      <w:r>
        <w:rPr>
          <w:rFonts w:ascii="맑은 고딕" w:hAnsi="맑은 고딕" w:eastAsia="맑은 고딕" w:cs="맑은 고딕"/>
          <w:b/>
          <w:color w:val="13294B"/>
          <w:sz w:val="22"/>
        </w:rPr>
        <w:t>논문 제목의 "종단 분석"은 무슨 뜻입니까? 패널 분석입니까?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1968–2024년의 출원을 시기별로 추적해 시간에 따른 변화를 분석했다는 뜻입니다. 같은 특허를 반복 관측한 패널 분석은 아니고, 출원 시기별 집단을 비교한 것입니다.</w:t>
            </w:r>
          </w:p>
        </w:tc>
      </w:tr>
    </w:tbl>
    <w:p>
      <w:pPr>
        <w:spacing w:after="0"/>
      </w:pP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제1장(1쪽~), 제5장 제2절(31쪽~)</w:t>
      </w:r>
    </w:p>
    <w:p>
      <w:pPr>
        <w:pStyle w:val="Heading3"/>
      </w:pPr>
      <w:r>
        <w:rPr>
          <w:rFonts w:ascii="맑은 고딕" w:hAnsi="맑은 고딕" w:eastAsia="맑은 고딕" w:cs="맑은 고딕"/>
          <w:b/>
          <w:color w:val="C9A227"/>
          <w:sz w:val="22"/>
        </w:rPr>
        <w:t xml:space="preserve">I2  ★☆☆  </w:t>
      </w:r>
      <w:r>
        <w:rPr>
          <w:rFonts w:ascii="맑은 고딕" w:hAnsi="맑은 고딕" w:eastAsia="맑은 고딕" w:cs="맑은 고딕"/>
          <w:b/>
          <w:color w:val="13294B"/>
          <w:sz w:val="22"/>
        </w:rPr>
        <w:t>데이터와 분석은 재현할 수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검색식(표 2), 변수 정의(표 4), 핵심 기술의 식별 기준, 모든 재추정의 표본과 정의를 논문에 밝혀 두었습니다. PATSTAT은 라이선스로 제공되는 자료여서 원자료를 그대로 공개하는 데에는 제약이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검색식과 분석 절차를 따르면 같은 표본을 다시 구성할 수 있습니다.</w:t>
      </w: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표 2·4(19–22쪽), 제4장 제1절(19쪽~)–제4장 제5절(26쪽~)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S30 43–44 · S20 38–39 · S15 36–37</w:t>
      </w:r>
    </w:p>
    <w:p>
      <w:pPr>
        <w:pStyle w:val="Heading3"/>
      </w:pPr>
      <w:r>
        <w:rPr>
          <w:rFonts w:ascii="맑은 고딕" w:hAnsi="맑은 고딕" w:eastAsia="맑은 고딕" w:cs="맑은 고딕"/>
          <w:b/>
          <w:color w:val="C9A227"/>
          <w:sz w:val="22"/>
        </w:rPr>
        <w:t xml:space="preserve">I3  ★☆☆  </w:t>
      </w:r>
      <w:r>
        <w:rPr>
          <w:rFonts w:ascii="맑은 고딕" w:hAnsi="맑은 고딕" w:eastAsia="맑은 고딕" w:cs="맑은 고딕"/>
          <w:b/>
          <w:color w:val="13294B"/>
          <w:sz w:val="22"/>
        </w:rPr>
        <w:t>학술지 투고 계획이 있습니까?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학위논문을 바탕으로 국제 학술지 투고를 준비하고 있습니다.</w:t>
            </w:r>
          </w:p>
        </w:tc>
      </w:tr>
    </w:tbl>
    <w:p>
      <w:pPr>
        <w:spacing w:after="0"/>
      </w:pPr>
    </w:p>
    <w:p>
      <w:pPr>
        <w:keepNext/>
        <w:spacing w:after="20" w:before="0"/>
      </w:pPr>
      <w:r>
        <w:rPr>
          <w:rFonts w:ascii="맑은 고딕" w:hAnsi="맑은 고딕" w:eastAsia="맑은 고딕" w:cs="맑은 고딕"/>
          <w:b/>
          <w:color w:val="13294B"/>
          <w:sz w:val="20"/>
        </w:rPr>
        <w:t>상세 답변</w:t>
      </w:r>
    </w:p>
    <w:p>
      <w:pPr>
        <w:spacing w:after="60" w:before="0"/>
        <w:ind w:left="170"/>
      </w:pPr>
      <w:r>
        <w:rPr>
          <w:rFonts w:ascii="맑은 고딕" w:hAnsi="맑은 고딕" w:eastAsia="맑은 고딕" w:cs="맑은 고딕"/>
          <w:b w:val="0"/>
          <w:sz w:val="21"/>
        </w:rPr>
        <w:t>이 질문에 어디까지 답할지(학술지 이름 등)는 지도교수님과 미리 상의해 두십시오.</w:t>
      </w:r>
    </w:p>
    <w:p>
      <w:pPr>
        <w:pStyle w:val="Heading3"/>
      </w:pPr>
      <w:r>
        <w:rPr>
          <w:rFonts w:ascii="맑은 고딕" w:hAnsi="맑은 고딕" w:eastAsia="맑은 고딕" w:cs="맑은 고딕"/>
          <w:b/>
          <w:color w:val="C9A227"/>
          <w:sz w:val="22"/>
        </w:rPr>
        <w:t xml:space="preserve">I4  ★☆☆  </w:t>
      </w:r>
      <w:r>
        <w:rPr>
          <w:rFonts w:ascii="맑은 고딕" w:hAnsi="맑은 고딕" w:eastAsia="맑은 고딕" w:cs="맑은 고딕"/>
          <w:b/>
          <w:color w:val="13294B"/>
          <w:sz w:val="22"/>
        </w:rPr>
        <w:t>연구 질문이 세 개인데, 서로 어떻게 연결됩니까?</w:t>
      </w:r>
    </w:p>
    <w:tbl>
      <w:tblPr>
        <w:tblStyle w:val="TableGrid"/>
        <w:tblW w:type="auto" w:w="0"/>
        <w:jc w:val="center"/>
        <w:tblLayout w:type="fixed"/>
        <w:tblLook w:firstColumn="1" w:firstRow="1" w:lastColumn="0" w:lastRow="0" w:noHBand="0" w:noVBand="1" w:val="04A0"/>
        <w:tblLayout w:type="fixed"/>
      </w:tblPr>
      <w:tblGrid>
        <w:gridCol w:w="9411"/>
      </w:tblGrid>
      <w:tr>
        <w:tc>
          <w:tcPr>
            <w:tcW w:type="dxa" w:w="9411"/>
            <w:shd w:val="clear" w:color="auto" w:fill="FFF0C2"/>
          </w:tcPr>
          <w:p>
            <w:pPr>
              <w:spacing w:after="0"/>
            </w:pPr>
            <w:r>
              <w:rPr>
                <w:rFonts w:ascii="맑은 고딕" w:hAnsi="맑은 고딕" w:eastAsia="맑은 고딕" w:cs="맑은 고딕"/>
                <w:b/>
                <w:color w:val="13294B"/>
                <w:sz w:val="21"/>
              </w:rPr>
              <w:t xml:space="preserve">답변 요지  </w:t>
            </w:r>
            <w:r>
              <w:rPr>
                <w:rFonts w:ascii="맑은 고딕" w:hAnsi="맑은 고딕" w:eastAsia="맑은 고딕" w:cs="맑은 고딕"/>
                <w:b/>
                <w:sz w:val="21"/>
              </w:rPr>
              <w:t>앞의 결과가 뒤의 분석의 전제가 되는 관계입니다. 첫째 질문에서 기술 융합이 공정 단계 경계에서 발명 수준으로 나타나는지 확인하고, 둘째 질문에서 그 수준과 형태가 시간에 따라 어떻게 변하는지 보며, 셋째 질문에서 그 변화가 핵심 기술의 고착화와 함께 융합 중심의 이동으로 나타나는지 검토했습니다.</w:t>
            </w:r>
          </w:p>
        </w:tc>
      </w:tr>
    </w:tbl>
    <w:p>
      <w:pPr>
        <w:spacing w:after="0"/>
      </w:pPr>
    </w:p>
    <w:p>
      <w:pPr>
        <w:spacing w:after="20" w:before="0"/>
        <w:ind w:left="170"/>
      </w:pPr>
      <w:r>
        <w:rPr>
          <w:rFonts w:ascii="맑은 고딕" w:hAnsi="맑은 고딕" w:eastAsia="맑은 고딕" w:cs="맑은 고딕"/>
          <w:b/>
          <w:color w:val="5B6475"/>
          <w:sz w:val="19"/>
        </w:rPr>
        <w:t xml:space="preserve">근거: </w:t>
      </w:r>
      <w:r>
        <w:rPr>
          <w:rFonts w:ascii="맑은 고딕" w:hAnsi="맑은 고딕" w:eastAsia="맑은 고딕" w:cs="맑은 고딕"/>
          <w:b w:val="0"/>
          <w:color w:val="5B6475"/>
          <w:sz w:val="19"/>
        </w:rPr>
        <w:t>제2장 제5절(14쪽~) 마지막 단락</w:t>
      </w:r>
    </w:p>
    <w:p>
      <w:pPr>
        <w:spacing w:after="20" w:before="0"/>
        <w:ind w:left="170"/>
      </w:pPr>
      <w:r>
        <w:rPr>
          <w:rFonts w:ascii="맑은 고딕" w:hAnsi="맑은 고딕" w:eastAsia="맑은 고딕" w:cs="맑은 고딕"/>
          <w:b/>
          <w:color w:val="5B6475"/>
          <w:sz w:val="19"/>
        </w:rPr>
        <w:t xml:space="preserve">슬라이드: </w:t>
      </w:r>
      <w:r>
        <w:rPr>
          <w:rFonts w:ascii="맑은 고딕" w:hAnsi="맑은 고딕" w:eastAsia="맑은 고딕" w:cs="맑은 고딕"/>
          <w:b w:val="0"/>
          <w:color w:val="5B6475"/>
          <w:sz w:val="19"/>
        </w:rPr>
        <w:t>S15 8</w:t>
      </w:r>
    </w:p>
    <w:p>
      <w:pPr>
        <w:pStyle w:val="Heading1"/>
      </w:pPr>
      <w:r>
        <w:t>5. 용어 정리</w:t>
      </w:r>
    </w:p>
    <w:tbl>
      <w:tblPr>
        <w:tblStyle w:val="TableGrid"/>
        <w:tblW w:type="auto" w:w="0"/>
        <w:jc w:val="center"/>
        <w:tblLayout w:type="fixed"/>
        <w:tblLook w:firstColumn="1" w:firstRow="1" w:lastColumn="0" w:lastRow="0" w:noHBand="0" w:noVBand="1" w:val="04A0"/>
        <w:tblLayout w:type="fixed"/>
      </w:tblPr>
      <w:tblGrid>
        <w:gridCol w:w="2381"/>
        <w:gridCol w:w="7030"/>
      </w:tblGrid>
      <w:tr>
        <w:tc>
          <w:tcPr>
            <w:tcW w:type="dxa" w:w="2381"/>
            <w:shd w:val="clear" w:color="auto" w:fill="13294B"/>
          </w:tcPr>
          <w:p>
            <w:pPr>
              <w:spacing w:after="0"/>
            </w:pPr>
            <w:r/>
            <w:r>
              <w:rPr>
                <w:rFonts w:ascii="맑은 고딕" w:hAnsi="맑은 고딕" w:eastAsia="맑은 고딕" w:cs="맑은 고딕"/>
                <w:b/>
                <w:color w:val="FFFFFF"/>
                <w:sz w:val="18"/>
              </w:rPr>
              <w:t>용어</w:t>
            </w:r>
          </w:p>
        </w:tc>
        <w:tc>
          <w:tcPr>
            <w:tcW w:type="dxa" w:w="7030"/>
            <w:shd w:val="clear" w:color="auto" w:fill="13294B"/>
          </w:tcPr>
          <w:p>
            <w:pPr>
              <w:spacing w:after="0"/>
            </w:pPr>
            <w:r/>
            <w:r>
              <w:rPr>
                <w:rFonts w:ascii="맑은 고딕" w:hAnsi="맑은 고딕" w:eastAsia="맑은 고딕" w:cs="맑은 고딕"/>
                <w:b/>
                <w:color w:val="FFFFFF"/>
                <w:sz w:val="18"/>
              </w:rPr>
              <w:t>뜻</w:t>
            </w:r>
          </w:p>
        </w:tc>
      </w:tr>
      <w:tr>
        <w:tc>
          <w:tcPr>
            <w:tcW w:type="dxa" w:w="2381"/>
          </w:tcPr>
          <w:p>
            <w:pPr>
              <w:spacing w:after="0"/>
            </w:pPr>
            <w:r/>
            <w:r>
              <w:rPr>
                <w:rFonts w:ascii="맑은 고딕" w:hAnsi="맑은 고딕" w:eastAsia="맑은 고딕" w:cs="맑은 고딕"/>
                <w:b w:val="0"/>
                <w:sz w:val="18"/>
              </w:rPr>
              <w:t>전공정 / 후공정</w:t>
            </w:r>
          </w:p>
        </w:tc>
        <w:tc>
          <w:tcPr>
            <w:tcW w:type="dxa" w:w="7030"/>
          </w:tcPr>
          <w:p>
            <w:pPr>
              <w:spacing w:after="0"/>
            </w:pPr>
            <w:r/>
            <w:r>
              <w:rPr>
                <w:rFonts w:ascii="맑은 고딕" w:hAnsi="맑은 고딕" w:eastAsia="맑은 고딕" w:cs="맑은 고딕"/>
                <w:b w:val="0"/>
                <w:sz w:val="18"/>
              </w:rPr>
              <w:t>전공정(front end): 웨이퍼 위에 트랜지스터를 형성하는 단계, 종합반도체기업(IDM)·파운드리의 팹. 후공정(back end): 웨이퍼를 절단해 조립·패키징·테스트하는 단계, 조립·테스트 전문업체(OSAT).</w:t>
            </w:r>
          </w:p>
        </w:tc>
      </w:tr>
      <w:tr>
        <w:tc>
          <w:tcPr>
            <w:tcW w:type="dxa" w:w="2381"/>
            <w:shd w:val="clear" w:color="auto" w:fill="F4F7FB"/>
          </w:tcPr>
          <w:p>
            <w:pPr>
              <w:spacing w:after="0"/>
            </w:pPr>
            <w:r/>
            <w:r>
              <w:rPr>
                <w:rFonts w:ascii="맑은 고딕" w:hAnsi="맑은 고딕" w:eastAsia="맑은 고딕" w:cs="맑은 고딕"/>
                <w:b w:val="0"/>
                <w:sz w:val="18"/>
              </w:rPr>
              <w:t>하이브리드 본딩</w:t>
            </w:r>
          </w:p>
        </w:tc>
        <w:tc>
          <w:tcPr>
            <w:tcW w:type="dxa" w:w="7030"/>
            <w:shd w:val="clear" w:color="auto" w:fill="F4F7FB"/>
          </w:tcPr>
          <w:p>
            <w:pPr>
              <w:spacing w:after="0"/>
            </w:pPr>
            <w:r/>
            <w:r>
              <w:rPr>
                <w:rFonts w:ascii="맑은 고딕" w:hAnsi="맑은 고딕" w:eastAsia="맑은 고딕" w:cs="맑은 고딕"/>
                <w:b w:val="0"/>
                <w:sz w:val="18"/>
              </w:rPr>
              <w:t>솔더 범프 없이 구리 패드와 주변 산화막을 직접 접합하는 기술. 상온에서 유전체를 먼저 접합하고 저온 어닐링으로 구리 패드를 접합. 10 µm 이하 연결 간격.</w:t>
            </w:r>
          </w:p>
        </w:tc>
      </w:tr>
      <w:tr>
        <w:tc>
          <w:tcPr>
            <w:tcW w:type="dxa" w:w="2381"/>
          </w:tcPr>
          <w:p>
            <w:pPr>
              <w:spacing w:after="0"/>
            </w:pPr>
            <w:r/>
            <w:r>
              <w:rPr>
                <w:rFonts w:ascii="맑은 고딕" w:hAnsi="맑은 고딕" w:eastAsia="맑은 고딕" w:cs="맑은 고딕"/>
                <w:b w:val="0"/>
                <w:sz w:val="18"/>
              </w:rPr>
              <w:t>W2W / D2W / D2D</w:t>
            </w:r>
          </w:p>
        </w:tc>
        <w:tc>
          <w:tcPr>
            <w:tcW w:type="dxa" w:w="7030"/>
          </w:tcPr>
          <w:p>
            <w:pPr>
              <w:spacing w:after="0"/>
            </w:pPr>
            <w:r/>
            <w:r>
              <w:rPr>
                <w:rFonts w:ascii="맑은 고딕" w:hAnsi="맑은 고딕" w:eastAsia="맑은 고딕" w:cs="맑은 고딕"/>
                <w:b w:val="0"/>
                <w:sz w:val="18"/>
              </w:rPr>
              <w:t>웨이퍼-투-웨이퍼 / 다이-투-웨이퍼 / 다이-투-다이 접합. W2W는 CIS·3D NAND, D2W는 칩렛·HBM·3D 로직.</w:t>
            </w:r>
          </w:p>
        </w:tc>
      </w:tr>
      <w:tr>
        <w:tc>
          <w:tcPr>
            <w:tcW w:type="dxa" w:w="2381"/>
            <w:shd w:val="clear" w:color="auto" w:fill="F4F7FB"/>
          </w:tcPr>
          <w:p>
            <w:pPr>
              <w:spacing w:after="0"/>
            </w:pPr>
            <w:r/>
            <w:r>
              <w:rPr>
                <w:rFonts w:ascii="맑은 고딕" w:hAnsi="맑은 고딕" w:eastAsia="맑은 고딕" w:cs="맑은 고딕"/>
                <w:b w:val="0"/>
                <w:sz w:val="18"/>
              </w:rPr>
              <w:t>CPC H01L21</w:t>
            </w:r>
          </w:p>
        </w:tc>
        <w:tc>
          <w:tcPr>
            <w:tcW w:type="dxa" w:w="7030"/>
            <w:shd w:val="clear" w:color="auto" w:fill="F4F7FB"/>
          </w:tcPr>
          <w:p>
            <w:pPr>
              <w:spacing w:after="0"/>
            </w:pPr>
            <w:r/>
            <w:r>
              <w:rPr>
                <w:rFonts w:ascii="맑은 고딕" w:hAnsi="맑은 고딕" w:eastAsia="맑은 고딕" w:cs="맑은 고딕"/>
                <w:b w:val="0"/>
                <w:sz w:val="18"/>
              </w:rPr>
              <w:t>반도체 제조공정 기술 클래스. 웨이퍼 직접 접합, 소자 분리·배선·TSV, 기판·절연층 처리, CMP와 함께 패키징 단계 제조공정(21/48, 21/50–21/58, 21/60, 21/78)과 공정 장치(21/67–21/68)도 포함.</w:t>
            </w:r>
          </w:p>
        </w:tc>
      </w:tr>
      <w:tr>
        <w:tc>
          <w:tcPr>
            <w:tcW w:type="dxa" w:w="2381"/>
          </w:tcPr>
          <w:p>
            <w:pPr>
              <w:spacing w:after="0"/>
            </w:pPr>
            <w:r/>
            <w:r>
              <w:rPr>
                <w:rFonts w:ascii="맑은 고딕" w:hAnsi="맑은 고딕" w:eastAsia="맑은 고딕" w:cs="맑은 고딕"/>
                <w:b w:val="0"/>
                <w:sz w:val="18"/>
              </w:rPr>
              <w:t>CPC H01L24</w:t>
            </w:r>
          </w:p>
        </w:tc>
        <w:tc>
          <w:tcPr>
            <w:tcW w:type="dxa" w:w="7030"/>
          </w:tcPr>
          <w:p>
            <w:pPr>
              <w:spacing w:after="0"/>
            </w:pPr>
            <w:r/>
            <w:r>
              <w:rPr>
                <w:rFonts w:ascii="맑은 고딕" w:hAnsi="맑은 고딕" w:eastAsia="맑은 고딕" w:cs="맑은 고딕"/>
                <w:b w:val="0"/>
                <w:sz w:val="18"/>
              </w:rPr>
              <w:t>반도체·고체소자의 연결을 위한 커넥터 구조, 범프·층·와이어 연결과 관련 연결 방법·장치(접합·인터커넥트).</w:t>
            </w:r>
          </w:p>
        </w:tc>
      </w:tr>
      <w:tr>
        <w:tc>
          <w:tcPr>
            <w:tcW w:type="dxa" w:w="2381"/>
            <w:shd w:val="clear" w:color="auto" w:fill="F4F7FB"/>
          </w:tcPr>
          <w:p>
            <w:pPr>
              <w:spacing w:after="0"/>
            </w:pPr>
            <w:r/>
            <w:r>
              <w:rPr>
                <w:rFonts w:ascii="맑은 고딕" w:hAnsi="맑은 고딕" w:eastAsia="맑은 고딕" w:cs="맑은 고딕"/>
                <w:b w:val="0"/>
                <w:sz w:val="18"/>
              </w:rPr>
              <w:t>공동분류(co-classification)</w:t>
            </w:r>
          </w:p>
        </w:tc>
        <w:tc>
          <w:tcPr>
            <w:tcW w:type="dxa" w:w="7030"/>
            <w:shd w:val="clear" w:color="auto" w:fill="F4F7FB"/>
          </w:tcPr>
          <w:p>
            <w:pPr>
              <w:spacing w:after="0"/>
            </w:pPr>
            <w:r/>
            <w:r>
              <w:rPr>
                <w:rFonts w:ascii="맑은 고딕" w:hAnsi="맑은 고딕" w:eastAsia="맑은 고딕" w:cs="맑은 고딕"/>
                <w:b w:val="0"/>
                <w:sz w:val="18"/>
              </w:rPr>
              <w:t>한 특허에 서로 다른 분야의 분류 기호가 함께 부여되는 것. 본 연구에서는 H01L21과 H01L24의 동시 부여를 두 영역 지식 결합의 흔적(대리측정치)으로 사용.</w:t>
            </w:r>
          </w:p>
        </w:tc>
      </w:tr>
      <w:tr>
        <w:tc>
          <w:tcPr>
            <w:tcW w:type="dxa" w:w="2381"/>
          </w:tcPr>
          <w:p>
            <w:pPr>
              <w:spacing w:after="0"/>
            </w:pPr>
            <w:r/>
            <w:r>
              <w:rPr>
                <w:rFonts w:ascii="맑은 고딕" w:hAnsi="맑은 고딕" w:eastAsia="맑은 고딕" w:cs="맑은 고딕"/>
                <w:b w:val="0"/>
                <w:sz w:val="18"/>
              </w:rPr>
              <w:t>접합 단독형 / 통합형 / 공정 단독형</w:t>
            </w:r>
          </w:p>
        </w:tc>
        <w:tc>
          <w:tcPr>
            <w:tcW w:type="dxa" w:w="7030"/>
          </w:tcPr>
          <w:p>
            <w:pPr>
              <w:spacing w:after="0"/>
            </w:pPr>
            <w:r/>
            <w:r>
              <w:rPr>
                <w:rFonts w:ascii="맑은 고딕" w:hAnsi="맑은 고딕" w:eastAsia="맑은 고딕" w:cs="맑은 고딕"/>
                <w:b w:val="0"/>
                <w:sz w:val="18"/>
              </w:rPr>
              <w:t>H01L24만 / 둘 다 / H01L21만 보유한 출원. 공정 단계의 경계를 넘는 특허 = 통합형.</w:t>
            </w:r>
          </w:p>
        </w:tc>
      </w:tr>
      <w:tr>
        <w:tc>
          <w:tcPr>
            <w:tcW w:type="dxa" w:w="2381"/>
            <w:shd w:val="clear" w:color="auto" w:fill="F4F7FB"/>
          </w:tcPr>
          <w:p>
            <w:pPr>
              <w:spacing w:after="0"/>
            </w:pPr>
            <w:r/>
            <w:r>
              <w:rPr>
                <w:rFonts w:ascii="맑은 고딕" w:hAnsi="맑은 고딕" w:eastAsia="맑은 고딕" w:cs="맑은 고딕"/>
                <w:b w:val="0"/>
                <w:sz w:val="18"/>
              </w:rPr>
              <w:t>기술범위(breadth)</w:t>
            </w:r>
          </w:p>
        </w:tc>
        <w:tc>
          <w:tcPr>
            <w:tcW w:type="dxa" w:w="7030"/>
            <w:shd w:val="clear" w:color="auto" w:fill="F4F7FB"/>
          </w:tcPr>
          <w:p>
            <w:pPr>
              <w:spacing w:after="0"/>
            </w:pPr>
            <w:r/>
            <w:r>
              <w:rPr>
                <w:rFonts w:ascii="맑은 고딕" w:hAnsi="맑은 고딕" w:eastAsia="맑은 고딕" w:cs="맑은 고딕"/>
                <w:b w:val="0"/>
                <w:sz w:val="18"/>
              </w:rPr>
              <w:t>두 클래스 안의 서로 다른 CPC 서브그룹 수(1–21, 평균 5.69). Lerner(1994)의 특허 범위를 두 클래스 내부로 한정.</w:t>
            </w:r>
          </w:p>
        </w:tc>
      </w:tr>
      <w:tr>
        <w:tc>
          <w:tcPr>
            <w:tcW w:type="dxa" w:w="2381"/>
          </w:tcPr>
          <w:p>
            <w:pPr>
              <w:spacing w:after="0"/>
            </w:pPr>
            <w:r/>
            <w:r>
              <w:rPr>
                <w:rFonts w:ascii="맑은 고딕" w:hAnsi="맑은 고딕" w:eastAsia="맑은 고딕" w:cs="맑은 고딕"/>
                <w:b w:val="0"/>
                <w:sz w:val="18"/>
              </w:rPr>
              <w:t>유형 최소치 조정 범위(breadth_adj)</w:t>
            </w:r>
          </w:p>
        </w:tc>
        <w:tc>
          <w:tcPr>
            <w:tcW w:type="dxa" w:w="7030"/>
          </w:tcPr>
          <w:p>
            <w:pPr>
              <w:spacing w:after="0"/>
            </w:pPr>
            <w:r/>
            <w:r>
              <w:rPr>
                <w:rFonts w:ascii="맑은 고딕" w:hAnsi="맑은 고딕" w:eastAsia="맑은 고딕" w:cs="맑은 고딕"/>
                <w:b w:val="0"/>
                <w:sz w:val="18"/>
              </w:rPr>
              <w:t>보유 클래스마다 최소 1개 기호를 뺀 값(단독형 breadth − 1, 통합형 breadth − 2). 기계적 최소치 차이를 완화하는 탐색적 지표.</w:t>
            </w:r>
          </w:p>
        </w:tc>
      </w:tr>
      <w:tr>
        <w:tc>
          <w:tcPr>
            <w:tcW w:type="dxa" w:w="2381"/>
            <w:shd w:val="clear" w:color="auto" w:fill="F4F7FB"/>
          </w:tcPr>
          <w:p>
            <w:pPr>
              <w:spacing w:after="0"/>
            </w:pPr>
            <w:r/>
            <w:r>
              <w:rPr>
                <w:rFonts w:ascii="맑은 고딕" w:hAnsi="맑은 고딕" w:eastAsia="맑은 고딕" w:cs="맑은 고딕"/>
                <w:b w:val="0"/>
                <w:sz w:val="18"/>
              </w:rPr>
              <w:t>핵심 기술(core)</w:t>
            </w:r>
          </w:p>
        </w:tc>
        <w:tc>
          <w:tcPr>
            <w:tcW w:type="dxa" w:w="7030"/>
            <w:shd w:val="clear" w:color="auto" w:fill="F4F7FB"/>
          </w:tcPr>
          <w:p>
            <w:pPr>
              <w:spacing w:after="0"/>
            </w:pPr>
            <w:r/>
            <w:r>
              <w:rPr>
                <w:rFonts w:ascii="맑은 고딕" w:hAnsi="맑은 고딕" w:eastAsia="맑은 고딕" w:cs="맑은 고딕"/>
                <w:b w:val="0"/>
                <w:sz w:val="18"/>
              </w:rPr>
              <w:t>출원 200건 이상에 부여된 H01L24 기호 24/03·24/05·24/08·24/80(접합 패드 그룹) 중 하나 이상 보유.</w:t>
            </w:r>
          </w:p>
        </w:tc>
      </w:tr>
      <w:tr>
        <w:tc>
          <w:tcPr>
            <w:tcW w:type="dxa" w:w="2381"/>
          </w:tcPr>
          <w:p>
            <w:pPr>
              <w:spacing w:after="0"/>
            </w:pPr>
            <w:r/>
            <w:r>
              <w:rPr>
                <w:rFonts w:ascii="맑은 고딕" w:hAnsi="맑은 고딕" w:eastAsia="맑은 고딕" w:cs="맑은 고딕"/>
                <w:b w:val="0"/>
                <w:sz w:val="18"/>
              </w:rPr>
              <w:t>기술 클러스터 / 기술 네트워크</w:t>
            </w:r>
          </w:p>
        </w:tc>
        <w:tc>
          <w:tcPr>
            <w:tcW w:type="dxa" w:w="7030"/>
          </w:tcPr>
          <w:p>
            <w:pPr>
              <w:spacing w:after="0"/>
            </w:pPr>
            <w:r/>
            <w:r>
              <w:rPr>
                <w:rFonts w:ascii="맑은 고딕" w:hAnsi="맑은 고딕" w:eastAsia="맑은 고딕" w:cs="맑은 고딕"/>
                <w:b w:val="0"/>
                <w:sz w:val="18"/>
              </w:rPr>
              <w:t>클러스터: 다수 출원이 공통으로 가진 기호(필수 요소). 네트워크: 함께 부여된 기호 쌍을 연결로 본 결합 구조(Sternitzke et al., 2008).</w:t>
            </w:r>
          </w:p>
        </w:tc>
      </w:tr>
      <w:tr>
        <w:tc>
          <w:tcPr>
            <w:tcW w:type="dxa" w:w="2381"/>
            <w:shd w:val="clear" w:color="auto" w:fill="F4F7FB"/>
          </w:tcPr>
          <w:p>
            <w:pPr>
              <w:spacing w:after="0"/>
            </w:pPr>
            <w:r/>
            <w:r>
              <w:rPr>
                <w:rFonts w:ascii="맑은 고딕" w:hAnsi="맑은 고딕" w:eastAsia="맑은 고딕" w:cs="맑은 고딕"/>
                <w:b w:val="0"/>
                <w:sz w:val="18"/>
              </w:rPr>
              <w:t>연결 강도 / 매개 중심성</w:t>
            </w:r>
          </w:p>
        </w:tc>
        <w:tc>
          <w:tcPr>
            <w:tcW w:type="dxa" w:w="7030"/>
            <w:shd w:val="clear" w:color="auto" w:fill="F4F7FB"/>
          </w:tcPr>
          <w:p>
            <w:pPr>
              <w:spacing w:after="0"/>
            </w:pPr>
            <w:r/>
            <w:r>
              <w:rPr>
                <w:rFonts w:ascii="맑은 고딕" w:hAnsi="맑은 고딕" w:eastAsia="맑은 고딕" w:cs="맑은 고딕"/>
                <w:b w:val="0"/>
                <w:sz w:val="18"/>
              </w:rPr>
              <w:t>연결 강도: 함께 부여된 출원 수의 합(허브). 매개 중심성: 다른 기호 쌍의 최단 경로 위에 놓이는 정도(연결 기호, Freeman 1977).</w:t>
            </w:r>
          </w:p>
        </w:tc>
      </w:tr>
      <w:tr>
        <w:tc>
          <w:tcPr>
            <w:tcW w:type="dxa" w:w="2381"/>
          </w:tcPr>
          <w:p>
            <w:pPr>
              <w:spacing w:after="0"/>
            </w:pPr>
            <w:r/>
            <w:r>
              <w:rPr>
                <w:rFonts w:ascii="맑은 고딕" w:hAnsi="맑은 고딕" w:eastAsia="맑은 고딕" w:cs="맑은 고딕"/>
                <w:b w:val="0"/>
                <w:sz w:val="18"/>
              </w:rPr>
              <w:t>Jaccard 계수</w:t>
            </w:r>
          </w:p>
        </w:tc>
        <w:tc>
          <w:tcPr>
            <w:tcW w:type="dxa" w:w="7030"/>
          </w:tcPr>
          <w:p>
            <w:pPr>
              <w:spacing w:after="0"/>
            </w:pPr>
            <w:r/>
            <w:r>
              <w:rPr>
                <w:rFonts w:ascii="맑은 고딕" w:hAnsi="맑은 고딕" w:eastAsia="맑은 고딕" w:cs="맑은 고딕"/>
                <w:b w:val="0"/>
                <w:sz w:val="18"/>
              </w:rPr>
              <w:t>두 영역 기호를 함께 가진 출원 수 ÷ 하나라도 가진 출원 수. 영역 규모 차이를 보정한 결합 강도.</w:t>
            </w:r>
          </w:p>
        </w:tc>
      </w:tr>
      <w:tr>
        <w:tc>
          <w:tcPr>
            <w:tcW w:type="dxa" w:w="2381"/>
            <w:shd w:val="clear" w:color="auto" w:fill="F4F7FB"/>
          </w:tcPr>
          <w:p>
            <w:pPr>
              <w:spacing w:after="0"/>
            </w:pPr>
            <w:r/>
            <w:r>
              <w:rPr>
                <w:rFonts w:ascii="맑은 고딕" w:hAnsi="맑은 고딕" w:eastAsia="맑은 고딕" w:cs="맑은 고딕"/>
                <w:b w:val="0"/>
                <w:sz w:val="18"/>
              </w:rPr>
              <w:t>다항 로짓 / RRR</w:t>
            </w:r>
          </w:p>
        </w:tc>
        <w:tc>
          <w:tcPr>
            <w:tcW w:type="dxa" w:w="7030"/>
            <w:shd w:val="clear" w:color="auto" w:fill="F4F7FB"/>
          </w:tcPr>
          <w:p>
            <w:pPr>
              <w:spacing w:after="0"/>
            </w:pPr>
            <w:r/>
            <w:r>
              <w:rPr>
                <w:rFonts w:ascii="맑은 고딕" w:hAnsi="맑은 고딕" w:eastAsia="맑은 고딕" w:cs="맑은 고딕"/>
                <w:b w:val="0"/>
                <w:sz w:val="18"/>
              </w:rPr>
              <w:t>순서 없는 3범주 종속변수 모형(McFadden, 1974). RRR: 설명변수 1단위 증가 시 기준 범주(접합 단독형) 대비 해당 유형의 상대위험 배율.</w:t>
            </w:r>
          </w:p>
        </w:tc>
      </w:tr>
      <w:tr>
        <w:tc>
          <w:tcPr>
            <w:tcW w:type="dxa" w:w="2381"/>
          </w:tcPr>
          <w:p>
            <w:pPr>
              <w:spacing w:after="0"/>
            </w:pPr>
            <w:r/>
            <w:r>
              <w:rPr>
                <w:rFonts w:ascii="맑은 고딕" w:hAnsi="맑은 고딕" w:eastAsia="맑은 고딕" w:cs="맑은 고딕"/>
                <w:b w:val="0"/>
                <w:sz w:val="18"/>
              </w:rPr>
              <w:t>이항 로짓 / OR</w:t>
            </w:r>
          </w:p>
        </w:tc>
        <w:tc>
          <w:tcPr>
            <w:tcW w:type="dxa" w:w="7030"/>
          </w:tcPr>
          <w:p>
            <w:pPr>
              <w:spacing w:after="0"/>
            </w:pPr>
            <w:r/>
            <w:r>
              <w:rPr>
                <w:rFonts w:ascii="맑은 고딕" w:hAnsi="맑은 고딕" w:eastAsia="맑은 고딕" w:cs="맑은 고딕"/>
                <w:b w:val="0"/>
                <w:sz w:val="18"/>
              </w:rPr>
              <w:t>0/1 종속변수 모형. OR(승산비): 승산의 배율이며 확률의 배율이 아님.</w:t>
            </w:r>
          </w:p>
        </w:tc>
      </w:tr>
      <w:tr>
        <w:tc>
          <w:tcPr>
            <w:tcW w:type="dxa" w:w="2381"/>
            <w:shd w:val="clear" w:color="auto" w:fill="F4F7FB"/>
          </w:tcPr>
          <w:p>
            <w:pPr>
              <w:spacing w:after="0"/>
            </w:pPr>
            <w:r/>
            <w:r>
              <w:rPr>
                <w:rFonts w:ascii="맑은 고딕" w:hAnsi="맑은 고딕" w:eastAsia="맑은 고딕" w:cs="맑은 고딕"/>
                <w:b w:val="0"/>
                <w:sz w:val="18"/>
              </w:rPr>
              <w:t>평균 예측확률</w:t>
            </w:r>
          </w:p>
        </w:tc>
        <w:tc>
          <w:tcPr>
            <w:tcW w:type="dxa" w:w="7030"/>
            <w:shd w:val="clear" w:color="auto" w:fill="F4F7FB"/>
          </w:tcPr>
          <w:p>
            <w:pPr>
              <w:spacing w:after="0"/>
            </w:pPr>
            <w:r/>
            <w:r>
              <w:rPr>
                <w:rFonts w:ascii="맑은 고딕" w:hAnsi="맑은 고딕" w:eastAsia="맑은 고딕" w:cs="맑은 고딕"/>
                <w:b w:val="0"/>
                <w:sz w:val="18"/>
              </w:rPr>
              <w:t>관심 변수만 바꾸고 나머지는 각 출원의 관측값에 고정한 뒤 표본 전체로 평균한 확률.</w:t>
            </w:r>
          </w:p>
        </w:tc>
      </w:tr>
      <w:tr>
        <w:tc>
          <w:tcPr>
            <w:tcW w:type="dxa" w:w="2381"/>
          </w:tcPr>
          <w:p>
            <w:pPr>
              <w:spacing w:after="0"/>
            </w:pPr>
            <w:r/>
            <w:r>
              <w:rPr>
                <w:rFonts w:ascii="맑은 고딕" w:hAnsi="맑은 고딕" w:eastAsia="맑은 고딕" w:cs="맑은 고딕"/>
                <w:b w:val="0"/>
                <w:sz w:val="18"/>
              </w:rPr>
              <w:t>상호작용(core × period)</w:t>
            </w:r>
          </w:p>
        </w:tc>
        <w:tc>
          <w:tcPr>
            <w:tcW w:type="dxa" w:w="7030"/>
          </w:tcPr>
          <w:p>
            <w:pPr>
              <w:spacing w:after="0"/>
            </w:pPr>
            <w:r/>
            <w:r>
              <w:rPr>
                <w:rFonts w:ascii="맑은 고딕" w:hAnsi="맑은 고딕" w:eastAsia="맑은 고딕" w:cs="맑은 고딕"/>
                <w:b w:val="0"/>
                <w:sz w:val="18"/>
              </w:rPr>
              <w:t>핵심 기술의 효과가 시기에 따라 달라지는 정도. exp(θt) = 그 시기 승산비 ÷ 2014년 이전 승산비.</w:t>
            </w:r>
          </w:p>
        </w:tc>
      </w:tr>
      <w:tr>
        <w:tc>
          <w:tcPr>
            <w:tcW w:type="dxa" w:w="2381"/>
            <w:shd w:val="clear" w:color="auto" w:fill="F4F7FB"/>
          </w:tcPr>
          <w:p>
            <w:pPr>
              <w:spacing w:after="0"/>
            </w:pPr>
            <w:r/>
            <w:r>
              <w:rPr>
                <w:rFonts w:ascii="맑은 고딕" w:hAnsi="맑은 고딕" w:eastAsia="맑은 고딕" w:cs="맑은 고딕"/>
                <w:b w:val="0"/>
                <w:sz w:val="18"/>
              </w:rPr>
              <w:t>IIA / 대안 제외 민감도</w:t>
            </w:r>
          </w:p>
        </w:tc>
        <w:tc>
          <w:tcPr>
            <w:tcW w:type="dxa" w:w="7030"/>
            <w:shd w:val="clear" w:color="auto" w:fill="F4F7FB"/>
          </w:tcPr>
          <w:p>
            <w:pPr>
              <w:spacing w:after="0"/>
            </w:pPr>
            <w:r/>
            <w:r>
              <w:rPr>
                <w:rFonts w:ascii="맑은 고딕" w:hAnsi="맑은 고딕" w:eastAsia="맑은 고딕" w:cs="맑은 고딕"/>
                <w:b w:val="0"/>
                <w:sz w:val="18"/>
              </w:rPr>
              <w:t>다항 로짓의 무관 대안 독립성 가정. 본 연구는 정식 검정 대신 공정 단독형을 뺀 표본의 이항 로짓으로 점검.</w:t>
            </w:r>
          </w:p>
        </w:tc>
      </w:tr>
      <w:tr>
        <w:tc>
          <w:tcPr>
            <w:tcW w:type="dxa" w:w="2381"/>
          </w:tcPr>
          <w:p>
            <w:pPr>
              <w:spacing w:after="0"/>
            </w:pPr>
            <w:r/>
            <w:r>
              <w:rPr>
                <w:rFonts w:ascii="맑은 고딕" w:hAnsi="맑은 고딕" w:eastAsia="맑은 고딕" w:cs="맑은 고딕"/>
                <w:b w:val="0"/>
                <w:sz w:val="18"/>
              </w:rPr>
              <w:t>군집강건 표준오차</w:t>
            </w:r>
          </w:p>
        </w:tc>
        <w:tc>
          <w:tcPr>
            <w:tcW w:type="dxa" w:w="7030"/>
          </w:tcPr>
          <w:p>
            <w:pPr>
              <w:spacing w:after="0"/>
            </w:pPr>
            <w:r/>
            <w:r>
              <w:rPr>
                <w:rFonts w:ascii="맑은 고딕" w:hAnsi="맑은 고딕" w:eastAsia="맑은 고딕" w:cs="맑은 고딕"/>
                <w:b w:val="0"/>
                <w:sz w:val="18"/>
              </w:rPr>
              <w:t>같은 제목의 출원을 한 군집으로 묶어 관측치 비독립성을 반영한 표준오차. 계수는 같고 표준오차만 바뀜.</w:t>
            </w:r>
          </w:p>
        </w:tc>
      </w:tr>
      <w:tr>
        <w:tc>
          <w:tcPr>
            <w:tcW w:type="dxa" w:w="2381"/>
            <w:shd w:val="clear" w:color="auto" w:fill="F4F7FB"/>
          </w:tcPr>
          <w:p>
            <w:pPr>
              <w:spacing w:after="0"/>
            </w:pPr>
            <w:r/>
            <w:r>
              <w:rPr>
                <w:rFonts w:ascii="맑은 고딕" w:hAnsi="맑은 고딕" w:eastAsia="맑은 고딕" w:cs="맑은 고딕"/>
                <w:b w:val="0"/>
                <w:sz w:val="18"/>
              </w:rPr>
              <w:t>기술적 수렴 / 기술융합</w:t>
            </w:r>
          </w:p>
        </w:tc>
        <w:tc>
          <w:tcPr>
            <w:tcW w:type="dxa" w:w="7030"/>
            <w:shd w:val="clear" w:color="auto" w:fill="F4F7FB"/>
          </w:tcPr>
          <w:p>
            <w:pPr>
              <w:spacing w:after="0"/>
            </w:pPr>
            <w:r/>
            <w:r>
              <w:rPr>
                <w:rFonts w:ascii="맑은 고딕" w:hAnsi="맑은 고딕" w:eastAsia="맑은 고딕" w:cs="맑은 고딕"/>
                <w:b w:val="0"/>
                <w:sz w:val="18"/>
              </w:rPr>
              <w:t>Rosenberg(1963): 공통 생산공정을 통한 기술 확산. Kodama(1992): 분리된 기술의 결합으로 새 역량 창출.</w:t>
            </w:r>
          </w:p>
        </w:tc>
      </w:tr>
      <w:tr>
        <w:tc>
          <w:tcPr>
            <w:tcW w:type="dxa" w:w="2381"/>
          </w:tcPr>
          <w:p>
            <w:pPr>
              <w:spacing w:after="0"/>
            </w:pPr>
            <w:r/>
            <w:r>
              <w:rPr>
                <w:rFonts w:ascii="맑은 고딕" w:hAnsi="맑은 고딕" w:eastAsia="맑은 고딕" w:cs="맑은 고딕"/>
                <w:b w:val="0"/>
                <w:sz w:val="18"/>
              </w:rPr>
              <w:t>단계 모형</w:t>
            </w:r>
          </w:p>
        </w:tc>
        <w:tc>
          <w:tcPr>
            <w:tcW w:type="dxa" w:w="7030"/>
          </w:tcPr>
          <w:p>
            <w:pPr>
              <w:spacing w:after="0"/>
            </w:pPr>
            <w:r/>
            <w:r>
              <w:rPr>
                <w:rFonts w:ascii="맑은 고딕" w:hAnsi="맑은 고딕" w:eastAsia="맑은 고딕" w:cs="맑은 고딕"/>
                <w:b w:val="0"/>
                <w:sz w:val="18"/>
              </w:rPr>
              <w:t>Hacklin et al.(2009, 2010): 지식 → 기술 → 응용 → 산업 융합, 공진화적 순환.</w:t>
            </w:r>
          </w:p>
        </w:tc>
      </w:tr>
      <w:tr>
        <w:tc>
          <w:tcPr>
            <w:tcW w:type="dxa" w:w="2381"/>
            <w:shd w:val="clear" w:color="auto" w:fill="F4F7FB"/>
          </w:tcPr>
          <w:p>
            <w:pPr>
              <w:spacing w:after="0"/>
            </w:pPr>
            <w:r/>
            <w:r>
              <w:rPr>
                <w:rFonts w:ascii="맑은 고딕" w:hAnsi="맑은 고딕" w:eastAsia="맑은 고딕" w:cs="맑은 고딕"/>
                <w:b w:val="0"/>
                <w:sz w:val="18"/>
              </w:rPr>
              <w:t>기술 순환 모형 / 지배적 설계</w:t>
            </w:r>
          </w:p>
        </w:tc>
        <w:tc>
          <w:tcPr>
            <w:tcW w:type="dxa" w:w="7030"/>
            <w:shd w:val="clear" w:color="auto" w:fill="F4F7FB"/>
          </w:tcPr>
          <w:p>
            <w:pPr>
              <w:spacing w:after="0"/>
            </w:pPr>
            <w:r/>
            <w:r>
              <w:rPr>
                <w:rFonts w:ascii="맑은 고딕" w:hAnsi="맑은 고딕" w:eastAsia="맑은 고딕" w:cs="맑은 고딕"/>
                <w:b w:val="0"/>
                <w:sz w:val="18"/>
              </w:rPr>
              <w:t>Anderson &amp; Tushman(1990): 기술적 불연속 → 격동기 → 지배적 설계 → 점진적 변화. 지배적 설계 = 핵심 요소의 안정된 설계(Murmann &amp; Frenken, 2006).</w:t>
            </w:r>
          </w:p>
        </w:tc>
      </w:tr>
      <w:tr>
        <w:tc>
          <w:tcPr>
            <w:tcW w:type="dxa" w:w="2381"/>
          </w:tcPr>
          <w:p>
            <w:pPr>
              <w:spacing w:after="0"/>
            </w:pPr>
            <w:r/>
            <w:r>
              <w:rPr>
                <w:rFonts w:ascii="맑은 고딕" w:hAnsi="맑은 고딕" w:eastAsia="맑은 고딕" w:cs="맑은 고딕"/>
                <w:b w:val="0"/>
                <w:sz w:val="18"/>
              </w:rPr>
              <w:t>아키텍처 지식</w:t>
            </w:r>
          </w:p>
        </w:tc>
        <w:tc>
          <w:tcPr>
            <w:tcW w:type="dxa" w:w="7030"/>
          </w:tcPr>
          <w:p>
            <w:pPr>
              <w:spacing w:after="0"/>
            </w:pPr>
            <w:r/>
            <w:r>
              <w:rPr>
                <w:rFonts w:ascii="맑은 고딕" w:hAnsi="맑은 고딕" w:eastAsia="맑은 고딕" w:cs="맑은 고딕"/>
                <w:b w:val="0"/>
                <w:sz w:val="18"/>
              </w:rPr>
              <w:t>Henderson &amp; Clark(1990): 구성요소를 연결하는 지식. 지배적 설계 확립 후 조직에 내재되어 당연한 전제가 됨.</w:t>
            </w:r>
          </w:p>
        </w:tc>
      </w:tr>
      <w:tr>
        <w:tc>
          <w:tcPr>
            <w:tcW w:type="dxa" w:w="2381"/>
            <w:shd w:val="clear" w:color="auto" w:fill="F4F7FB"/>
          </w:tcPr>
          <w:p>
            <w:pPr>
              <w:spacing w:after="0"/>
            </w:pPr>
            <w:r/>
            <w:r>
              <w:rPr>
                <w:rFonts w:ascii="맑은 고딕" w:hAnsi="맑은 고딕" w:eastAsia="맑은 고딕" w:cs="맑은 고딕"/>
                <w:b w:val="0"/>
                <w:sz w:val="18"/>
              </w:rPr>
              <w:t>지식 경계</w:t>
            </w:r>
          </w:p>
        </w:tc>
        <w:tc>
          <w:tcPr>
            <w:tcW w:type="dxa" w:w="7030"/>
            <w:shd w:val="clear" w:color="auto" w:fill="F4F7FB"/>
          </w:tcPr>
          <w:p>
            <w:pPr>
              <w:spacing w:after="0"/>
            </w:pPr>
            <w:r/>
            <w:r>
              <w:rPr>
                <w:rFonts w:ascii="맑은 고딕" w:hAnsi="맑은 고딕" w:eastAsia="맑은 고딕" w:cs="맑은 고딕"/>
                <w:b w:val="0"/>
                <w:sz w:val="18"/>
              </w:rPr>
              <w:t>Brusoni et al.(2001), Kapoor &amp; Adner(2012): 기업이 보유해야 할 지식의 범위는 직접 생산하는 범위보다 넓을 수 있음.</w:t>
            </w:r>
          </w:p>
        </w:tc>
      </w:tr>
      <w:tr>
        <w:tc>
          <w:tcPr>
            <w:tcW w:type="dxa" w:w="2381"/>
          </w:tcPr>
          <w:p>
            <w:pPr>
              <w:spacing w:after="0"/>
            </w:pPr>
            <w:r/>
            <w:r>
              <w:rPr>
                <w:rFonts w:ascii="맑은 고딕" w:hAnsi="맑은 고딕" w:eastAsia="맑은 고딕" w:cs="맑은 고딕"/>
                <w:b w:val="0"/>
                <w:sz w:val="18"/>
              </w:rPr>
              <w:t>산업 아키텍처</w:t>
            </w:r>
          </w:p>
        </w:tc>
        <w:tc>
          <w:tcPr>
            <w:tcW w:type="dxa" w:w="7030"/>
          </w:tcPr>
          <w:p>
            <w:pPr>
              <w:spacing w:after="0"/>
            </w:pPr>
            <w:r/>
            <w:r>
              <w:rPr>
                <w:rFonts w:ascii="맑은 고딕" w:hAnsi="맑은 고딕" w:eastAsia="맑은 고딕" w:cs="맑은 고딕"/>
                <w:b w:val="0"/>
                <w:sz w:val="18"/>
              </w:rPr>
              <w:t>Jacobides et al.(2006): 누가 무엇을 수행하고 가치가 어떻게 배분되는지를 규정하는 틀.</w:t>
            </w:r>
          </w:p>
        </w:tc>
      </w:tr>
      <w:tr>
        <w:tc>
          <w:tcPr>
            <w:tcW w:type="dxa" w:w="2381"/>
            <w:shd w:val="clear" w:color="auto" w:fill="F4F7FB"/>
          </w:tcPr>
          <w:p>
            <w:pPr>
              <w:spacing w:after="0"/>
            </w:pPr>
            <w:r/>
            <w:r>
              <w:rPr>
                <w:rFonts w:ascii="맑은 고딕" w:hAnsi="맑은 고딕" w:eastAsia="맑은 고딕" w:cs="맑은 고딕"/>
                <w:b w:val="0"/>
                <w:sz w:val="18"/>
              </w:rPr>
              <w:t>형성기 / 확산기 / 재편기</w:t>
            </w:r>
          </w:p>
        </w:tc>
        <w:tc>
          <w:tcPr>
            <w:tcW w:type="dxa" w:w="7030"/>
            <w:shd w:val="clear" w:color="auto" w:fill="F4F7FB"/>
          </w:tcPr>
          <w:p>
            <w:pPr>
              <w:spacing w:after="0"/>
            </w:pPr>
            <w:r/>
            <w:r>
              <w:rPr>
                <w:rFonts w:ascii="맑은 고딕" w:hAnsi="맑은 고딕" w:eastAsia="맑은 고딕" w:cs="맑은 고딕"/>
                <w:b w:val="0"/>
                <w:sz w:val="18"/>
              </w:rPr>
              <w:t>–2014(공정 단독형 우세) / 2015–2019(통합형 62.2% 정점) / 2020–2024(통합형 감소, 접합 단독형 45.4%).</w:t>
            </w:r>
          </w:p>
        </w:tc>
      </w:tr>
    </w:tbl>
    <w:p>
      <w:pPr>
        <w:spacing w:after="40"/>
      </w:pPr>
    </w:p>
    <w:p>
      <w:pPr>
        <w:pStyle w:val="Heading1"/>
      </w:pPr>
      <w:r>
        <w:t>6. 핵심 문헌 한 줄 요약</w:t>
      </w:r>
    </w:p>
    <w:p>
      <w:pPr>
        <w:spacing w:after="80" w:before="0"/>
      </w:pPr>
      <w:r>
        <w:rPr>
          <w:rFonts w:ascii="맑은 고딕" w:hAnsi="맑은 고딕" w:eastAsia="맑은 고딕" w:cs="맑은 고딕"/>
          <w:b w:val="0"/>
          <w:color w:val="5B6475"/>
          <w:sz w:val="21"/>
        </w:rPr>
        <w:t>심사위원이 특정 문헌을 짚어 물을 때를 대비한 요약입니다. 논문에서 그 문헌을 어떻게 썼는지를 중심으로 정리했습니다.</w:t>
      </w:r>
    </w:p>
    <w:tbl>
      <w:tblPr>
        <w:tblStyle w:val="TableGrid"/>
        <w:tblW w:type="auto" w:w="0"/>
        <w:jc w:val="center"/>
        <w:tblLayout w:type="fixed"/>
        <w:tblLook w:firstColumn="1" w:firstRow="1" w:lastColumn="0" w:lastRow="0" w:noHBand="0" w:noVBand="1" w:val="04A0"/>
        <w:tblLayout w:type="fixed"/>
      </w:tblPr>
      <w:tblGrid>
        <w:gridCol w:w="2608"/>
        <w:gridCol w:w="6803"/>
      </w:tblGrid>
      <w:tr>
        <w:tc>
          <w:tcPr>
            <w:tcW w:type="dxa" w:w="2608"/>
            <w:shd w:val="clear" w:color="auto" w:fill="13294B"/>
          </w:tcPr>
          <w:p>
            <w:pPr>
              <w:spacing w:after="0"/>
            </w:pPr>
            <w:r/>
            <w:r>
              <w:rPr>
                <w:rFonts w:ascii="맑은 고딕" w:hAnsi="맑은 고딕" w:eastAsia="맑은 고딕" w:cs="맑은 고딕"/>
                <w:b/>
                <w:color w:val="FFFFFF"/>
                <w:sz w:val="18"/>
              </w:rPr>
              <w:t>문헌</w:t>
            </w:r>
          </w:p>
        </w:tc>
        <w:tc>
          <w:tcPr>
            <w:tcW w:type="dxa" w:w="6803"/>
            <w:shd w:val="clear" w:color="auto" w:fill="13294B"/>
          </w:tcPr>
          <w:p>
            <w:pPr>
              <w:spacing w:after="0"/>
            </w:pPr>
            <w:r/>
            <w:r>
              <w:rPr>
                <w:rFonts w:ascii="맑은 고딕" w:hAnsi="맑은 고딕" w:eastAsia="맑은 고딕" w:cs="맑은 고딕"/>
                <w:b/>
                <w:color w:val="FFFFFF"/>
                <w:sz w:val="18"/>
              </w:rPr>
              <w:t>논문에서의 역할</w:t>
            </w:r>
          </w:p>
        </w:tc>
      </w:tr>
      <w:tr>
        <w:tc>
          <w:tcPr>
            <w:tcW w:type="dxa" w:w="2608"/>
          </w:tcPr>
          <w:p>
            <w:pPr>
              <w:spacing w:after="0"/>
            </w:pPr>
            <w:r/>
            <w:r>
              <w:rPr>
                <w:rFonts w:ascii="맑은 고딕" w:hAnsi="맑은 고딕" w:eastAsia="맑은 고딕" w:cs="맑은 고딕"/>
                <w:b w:val="0"/>
                <w:sz w:val="18"/>
              </w:rPr>
              <w:t>Rosenberg (1963)</w:t>
            </w:r>
          </w:p>
        </w:tc>
        <w:tc>
          <w:tcPr>
            <w:tcW w:type="dxa" w:w="6803"/>
          </w:tcPr>
          <w:p>
            <w:pPr>
              <w:spacing w:after="0"/>
            </w:pPr>
            <w:r/>
            <w:r>
              <w:rPr>
                <w:rFonts w:ascii="맑은 고딕" w:hAnsi="맑은 고딕" w:eastAsia="맑은 고딕" w:cs="맑은 고딕"/>
                <w:b w:val="0"/>
                <w:sz w:val="18"/>
              </w:rPr>
              <w:t>19세기 공작기계 산업의 출현. 총기·재봉틀의 가공 기술이 공통 생산공정을 통해 확산 = 기술적 수렴. 수렴의 단위는 생산공정.</w:t>
            </w:r>
          </w:p>
        </w:tc>
      </w:tr>
      <w:tr>
        <w:tc>
          <w:tcPr>
            <w:tcW w:type="dxa" w:w="2608"/>
            <w:shd w:val="clear" w:color="auto" w:fill="F4F7FB"/>
          </w:tcPr>
          <w:p>
            <w:pPr>
              <w:spacing w:after="0"/>
            </w:pPr>
            <w:r/>
            <w:r>
              <w:rPr>
                <w:rFonts w:ascii="맑은 고딕" w:hAnsi="맑은 고딕" w:eastAsia="맑은 고딕" w:cs="맑은 고딕"/>
                <w:b w:val="0"/>
                <w:sz w:val="18"/>
              </w:rPr>
              <w:t>Kodama (1992)</w:t>
            </w:r>
          </w:p>
        </w:tc>
        <w:tc>
          <w:tcPr>
            <w:tcW w:type="dxa" w:w="6803"/>
            <w:shd w:val="clear" w:color="auto" w:fill="F4F7FB"/>
          </w:tcPr>
          <w:p>
            <w:pPr>
              <w:spacing w:after="0"/>
            </w:pPr>
            <w:r/>
            <w:r>
              <w:rPr>
                <w:rFonts w:ascii="맑은 고딕" w:hAnsi="맑은 고딕" w:eastAsia="맑은 고딕" w:cs="맑은 고딕"/>
                <w:b w:val="0"/>
                <w:sz w:val="18"/>
              </w:rPr>
              <w:t>기술융합: 분리된 기술 분야의 결합으로 어느 한 분야도 갖지 못한 역량 창출. 돌파형 혁신과 구별(메카트로닉스, 광전자공학).</w:t>
            </w:r>
          </w:p>
        </w:tc>
      </w:tr>
      <w:tr>
        <w:tc>
          <w:tcPr>
            <w:tcW w:type="dxa" w:w="2608"/>
          </w:tcPr>
          <w:p>
            <w:pPr>
              <w:spacing w:after="0"/>
            </w:pPr>
            <w:r/>
            <w:r>
              <w:rPr>
                <w:rFonts w:ascii="맑은 고딕" w:hAnsi="맑은 고딕" w:eastAsia="맑은 고딕" w:cs="맑은 고딕"/>
                <w:b w:val="0"/>
                <w:sz w:val="18"/>
              </w:rPr>
              <w:t>Hacklin et al. (2009, 2010)</w:t>
            </w:r>
          </w:p>
        </w:tc>
        <w:tc>
          <w:tcPr>
            <w:tcW w:type="dxa" w:w="6803"/>
          </w:tcPr>
          <w:p>
            <w:pPr>
              <w:spacing w:after="0"/>
            </w:pPr>
            <w:r/>
            <w:r>
              <w:rPr>
                <w:rFonts w:ascii="맑은 고딕" w:hAnsi="맑은 고딕" w:eastAsia="맑은 고딕" w:cs="맑은 고딕"/>
                <w:b w:val="0"/>
                <w:sz w:val="18"/>
              </w:rPr>
              <w:t>정보통신 26개 기업 사례에서 도출한 단계 모형(지식 → 기술 → 응용 → 산업 융합), 혁신 순환 모형에 기초한 공진화적 순환.</w:t>
            </w:r>
          </w:p>
        </w:tc>
      </w:tr>
      <w:tr>
        <w:tc>
          <w:tcPr>
            <w:tcW w:type="dxa" w:w="2608"/>
            <w:shd w:val="clear" w:color="auto" w:fill="F4F7FB"/>
          </w:tcPr>
          <w:p>
            <w:pPr>
              <w:spacing w:after="0"/>
            </w:pPr>
            <w:r/>
            <w:r>
              <w:rPr>
                <w:rFonts w:ascii="맑은 고딕" w:hAnsi="맑은 고딕" w:eastAsia="맑은 고딕" w:cs="맑은 고딕"/>
                <w:b w:val="0"/>
                <w:sz w:val="18"/>
              </w:rPr>
              <w:t>Curran &amp; Leker (2011)</w:t>
            </w:r>
          </w:p>
        </w:tc>
        <w:tc>
          <w:tcPr>
            <w:tcW w:type="dxa" w:w="6803"/>
            <w:shd w:val="clear" w:color="auto" w:fill="F4F7FB"/>
          </w:tcPr>
          <w:p>
            <w:pPr>
              <w:spacing w:after="0"/>
            </w:pPr>
            <w:r/>
            <w:r>
              <w:rPr>
                <w:rFonts w:ascii="맑은 고딕" w:hAnsi="맑은 고딕" w:eastAsia="맑은 고딕" w:cs="맑은 고딕"/>
                <w:b w:val="0"/>
                <w:sz w:val="18"/>
              </w:rPr>
              <w:t>특허 지표로 융합 단계를 관찰하는 방법. 융합은 비선형적으로 진행.</w:t>
            </w:r>
          </w:p>
        </w:tc>
      </w:tr>
      <w:tr>
        <w:tc>
          <w:tcPr>
            <w:tcW w:type="dxa" w:w="2608"/>
          </w:tcPr>
          <w:p>
            <w:pPr>
              <w:spacing w:after="0"/>
            </w:pPr>
            <w:r/>
            <w:r>
              <w:rPr>
                <w:rFonts w:ascii="맑은 고딕" w:hAnsi="맑은 고딕" w:eastAsia="맑은 고딕" w:cs="맑은 고딕"/>
                <w:b w:val="0"/>
                <w:sz w:val="18"/>
              </w:rPr>
              <w:t>Anderson &amp; Tushman (1990)</w:t>
            </w:r>
          </w:p>
        </w:tc>
        <w:tc>
          <w:tcPr>
            <w:tcW w:type="dxa" w:w="6803"/>
          </w:tcPr>
          <w:p>
            <w:pPr>
              <w:spacing w:after="0"/>
            </w:pPr>
            <w:r/>
            <w:r>
              <w:rPr>
                <w:rFonts w:ascii="맑은 고딕" w:hAnsi="맑은 고딕" w:eastAsia="맑은 고딕" w:cs="맑은 고딕"/>
                <w:b w:val="0"/>
                <w:sz w:val="18"/>
              </w:rPr>
              <w:t>기술 순환 모형: 기술적 불연속, 격동기, 지배적 설계, 점진적 변화.</w:t>
            </w:r>
          </w:p>
        </w:tc>
      </w:tr>
      <w:tr>
        <w:tc>
          <w:tcPr>
            <w:tcW w:type="dxa" w:w="2608"/>
            <w:shd w:val="clear" w:color="auto" w:fill="F4F7FB"/>
          </w:tcPr>
          <w:p>
            <w:pPr>
              <w:spacing w:after="0"/>
            </w:pPr>
            <w:r/>
            <w:r>
              <w:rPr>
                <w:rFonts w:ascii="맑은 고딕" w:hAnsi="맑은 고딕" w:eastAsia="맑은 고딕" w:cs="맑은 고딕"/>
                <w:b w:val="0"/>
                <w:sz w:val="18"/>
              </w:rPr>
              <w:t>Murmann &amp; Frenken (2006)</w:t>
            </w:r>
          </w:p>
        </w:tc>
        <w:tc>
          <w:tcPr>
            <w:tcW w:type="dxa" w:w="6803"/>
            <w:shd w:val="clear" w:color="auto" w:fill="F4F7FB"/>
          </w:tcPr>
          <w:p>
            <w:pPr>
              <w:spacing w:after="0"/>
            </w:pPr>
            <w:r/>
            <w:r>
              <w:rPr>
                <w:rFonts w:ascii="맑은 고딕" w:hAnsi="맑은 고딕" w:eastAsia="맑은 고딕" w:cs="맑은 고딕"/>
                <w:b w:val="0"/>
                <w:sz w:val="18"/>
              </w:rPr>
              <w:t>제품 = 하위 시스템의 기술 순환이 중첩된 위계. 지배적 설계 = 다른 요소와 안정된 인터페이스 역할을 하는 핵심 요소의 안정된 설계.</w:t>
            </w:r>
          </w:p>
        </w:tc>
      </w:tr>
      <w:tr>
        <w:tc>
          <w:tcPr>
            <w:tcW w:type="dxa" w:w="2608"/>
          </w:tcPr>
          <w:p>
            <w:pPr>
              <w:spacing w:after="0"/>
            </w:pPr>
            <w:r/>
            <w:r>
              <w:rPr>
                <w:rFonts w:ascii="맑은 고딕" w:hAnsi="맑은 고딕" w:eastAsia="맑은 고딕" w:cs="맑은 고딕"/>
                <w:b w:val="0"/>
                <w:sz w:val="18"/>
              </w:rPr>
              <w:t>Henderson &amp; Clark (1990)</w:t>
            </w:r>
          </w:p>
        </w:tc>
        <w:tc>
          <w:tcPr>
            <w:tcW w:type="dxa" w:w="6803"/>
          </w:tcPr>
          <w:p>
            <w:pPr>
              <w:spacing w:after="0"/>
            </w:pPr>
            <w:r/>
            <w:r>
              <w:rPr>
                <w:rFonts w:ascii="맑은 고딕" w:hAnsi="맑은 고딕" w:eastAsia="맑은 고딕" w:cs="맑은 고딕"/>
                <w:b w:val="0"/>
                <w:sz w:val="18"/>
              </w:rPr>
              <w:t>아키텍처 지식은 지배적 설계 확립 후 조직의 의사소통 경로와 문제 해결 방식에 내재되어 당연한 전제가 됨.</w:t>
            </w:r>
          </w:p>
        </w:tc>
      </w:tr>
      <w:tr>
        <w:tc>
          <w:tcPr>
            <w:tcW w:type="dxa" w:w="2608"/>
            <w:shd w:val="clear" w:color="auto" w:fill="F4F7FB"/>
          </w:tcPr>
          <w:p>
            <w:pPr>
              <w:spacing w:after="0"/>
            </w:pPr>
            <w:r/>
            <w:r>
              <w:rPr>
                <w:rFonts w:ascii="맑은 고딕" w:hAnsi="맑은 고딕" w:eastAsia="맑은 고딕" w:cs="맑은 고딕"/>
                <w:b w:val="0"/>
                <w:sz w:val="18"/>
              </w:rPr>
              <w:t>Brusoni et al. (2001)</w:t>
            </w:r>
          </w:p>
        </w:tc>
        <w:tc>
          <w:tcPr>
            <w:tcW w:type="dxa" w:w="6803"/>
            <w:shd w:val="clear" w:color="auto" w:fill="F4F7FB"/>
          </w:tcPr>
          <w:p>
            <w:pPr>
              <w:spacing w:after="0"/>
            </w:pPr>
            <w:r/>
            <w:r>
              <w:rPr>
                <w:rFonts w:ascii="맑은 고딕" w:hAnsi="맑은 고딕" w:eastAsia="맑은 고딕" w:cs="맑은 고딕"/>
                <w:b w:val="0"/>
                <w:sz w:val="18"/>
              </w:rPr>
              <w:t>항공기 엔진 제어 시스템 디지털화. 구성요소 간 상호의존을 예측하기 어려우면 외부 조달 구성요소의 지식까지 유지해야 함.</w:t>
            </w:r>
          </w:p>
        </w:tc>
      </w:tr>
      <w:tr>
        <w:tc>
          <w:tcPr>
            <w:tcW w:type="dxa" w:w="2608"/>
          </w:tcPr>
          <w:p>
            <w:pPr>
              <w:spacing w:after="0"/>
            </w:pPr>
            <w:r/>
            <w:r>
              <w:rPr>
                <w:rFonts w:ascii="맑은 고딕" w:hAnsi="맑은 고딕" w:eastAsia="맑은 고딕" w:cs="맑은 고딕"/>
                <w:b w:val="0"/>
                <w:sz w:val="18"/>
              </w:rPr>
              <w:t>Kapoor &amp; Adner (2012)</w:t>
            </w:r>
          </w:p>
        </w:tc>
        <w:tc>
          <w:tcPr>
            <w:tcW w:type="dxa" w:w="6803"/>
          </w:tcPr>
          <w:p>
            <w:pPr>
              <w:spacing w:after="0"/>
            </w:pPr>
            <w:r/>
            <w:r>
              <w:rPr>
                <w:rFonts w:ascii="맑은 고딕" w:hAnsi="맑은 고딕" w:eastAsia="맑은 고딕" w:cs="맑은 고딕"/>
                <w:b w:val="0"/>
                <w:sz w:val="18"/>
              </w:rPr>
              <w:t>1974–2005년 DRAM 12개 제품 세대. 외주 구성요소의 지식까지 확장한 비통합 기업이 기술 전환에서 성과 우위.</w:t>
            </w:r>
          </w:p>
        </w:tc>
      </w:tr>
      <w:tr>
        <w:tc>
          <w:tcPr>
            <w:tcW w:type="dxa" w:w="2608"/>
            <w:shd w:val="clear" w:color="auto" w:fill="F4F7FB"/>
          </w:tcPr>
          <w:p>
            <w:pPr>
              <w:spacing w:after="0"/>
            </w:pPr>
            <w:r/>
            <w:r>
              <w:rPr>
                <w:rFonts w:ascii="맑은 고딕" w:hAnsi="맑은 고딕" w:eastAsia="맑은 고딕" w:cs="맑은 고딕"/>
                <w:b w:val="0"/>
                <w:sz w:val="18"/>
              </w:rPr>
              <w:t>Kapoor (2013)</w:t>
            </w:r>
          </w:p>
        </w:tc>
        <w:tc>
          <w:tcPr>
            <w:tcW w:type="dxa" w:w="6803"/>
            <w:shd w:val="clear" w:color="auto" w:fill="F4F7FB"/>
          </w:tcPr>
          <w:p>
            <w:pPr>
              <w:spacing w:after="0"/>
            </w:pPr>
            <w:r/>
            <w:r>
              <w:rPr>
                <w:rFonts w:ascii="맑은 고딕" w:hAnsi="맑은 고딕" w:eastAsia="맑은 고딕" w:cs="맑은 고딕"/>
                <w:b w:val="0"/>
                <w:sz w:val="18"/>
              </w:rPr>
              <w:t>전문화 속에서도 여러 단계의 역량을 유지한 기업이 기술 전환에 차별적으로 대응하고 산업 아키텍처를 형성.</w:t>
            </w:r>
          </w:p>
        </w:tc>
      </w:tr>
      <w:tr>
        <w:tc>
          <w:tcPr>
            <w:tcW w:type="dxa" w:w="2608"/>
          </w:tcPr>
          <w:p>
            <w:pPr>
              <w:spacing w:after="0"/>
            </w:pPr>
            <w:r/>
            <w:r>
              <w:rPr>
                <w:rFonts w:ascii="맑은 고딕" w:hAnsi="맑은 고딕" w:eastAsia="맑은 고딕" w:cs="맑은 고딕"/>
                <w:b w:val="0"/>
                <w:sz w:val="18"/>
              </w:rPr>
              <w:t>Macher &amp; Mowery (2004); Brown &amp; Linden (2009); Langlois &amp; Steinmueller (1999)</w:t>
            </w:r>
          </w:p>
        </w:tc>
        <w:tc>
          <w:tcPr>
            <w:tcW w:type="dxa" w:w="6803"/>
          </w:tcPr>
          <w:p>
            <w:pPr>
              <w:spacing w:after="0"/>
            </w:pPr>
            <w:r/>
            <w:r>
              <w:rPr>
                <w:rFonts w:ascii="맑은 고딕" w:hAnsi="맑은 고딕" w:eastAsia="맑은 고딕" w:cs="맑은 고딕"/>
                <w:b w:val="0"/>
                <w:sz w:val="18"/>
              </w:rPr>
              <w:t>반도체 수직 전문화(팹리스·파운드리·조립·테스트 전문업체)의 형성과 재편.</w:t>
            </w:r>
          </w:p>
        </w:tc>
      </w:tr>
      <w:tr>
        <w:tc>
          <w:tcPr>
            <w:tcW w:type="dxa" w:w="2608"/>
            <w:shd w:val="clear" w:color="auto" w:fill="F4F7FB"/>
          </w:tcPr>
          <w:p>
            <w:pPr>
              <w:spacing w:after="0"/>
            </w:pPr>
            <w:r/>
            <w:r>
              <w:rPr>
                <w:rFonts w:ascii="맑은 고딕" w:hAnsi="맑은 고딕" w:eastAsia="맑은 고딕" w:cs="맑은 고딕"/>
                <w:b w:val="0"/>
                <w:sz w:val="18"/>
              </w:rPr>
              <w:t>Jacobides et al. (2006)</w:t>
            </w:r>
          </w:p>
        </w:tc>
        <w:tc>
          <w:tcPr>
            <w:tcW w:type="dxa" w:w="6803"/>
            <w:shd w:val="clear" w:color="auto" w:fill="F4F7FB"/>
          </w:tcPr>
          <w:p>
            <w:pPr>
              <w:spacing w:after="0"/>
            </w:pPr>
            <w:r/>
            <w:r>
              <w:rPr>
                <w:rFonts w:ascii="맑은 고딕" w:hAnsi="맑은 고딕" w:eastAsia="맑은 고딕" w:cs="맑은 고딕"/>
                <w:b w:val="0"/>
                <w:sz w:val="18"/>
              </w:rPr>
              <w:t>산업 아키텍처: 누가 무엇을 하고 가치가 어떻게 배분되는지의 틀. 기술과 전략에 따라 재편.</w:t>
            </w:r>
          </w:p>
        </w:tc>
      </w:tr>
      <w:tr>
        <w:tc>
          <w:tcPr>
            <w:tcW w:type="dxa" w:w="2608"/>
          </w:tcPr>
          <w:p>
            <w:pPr>
              <w:spacing w:after="0"/>
            </w:pPr>
            <w:r/>
            <w:r>
              <w:rPr>
                <w:rFonts w:ascii="맑은 고딕" w:hAnsi="맑은 고딕" w:eastAsia="맑은 고딕" w:cs="맑은 고딕"/>
                <w:b w:val="0"/>
                <w:sz w:val="18"/>
              </w:rPr>
              <w:t>Fleming (2001)</w:t>
            </w:r>
          </w:p>
        </w:tc>
        <w:tc>
          <w:tcPr>
            <w:tcW w:type="dxa" w:w="6803"/>
          </w:tcPr>
          <w:p>
            <w:pPr>
              <w:spacing w:after="0"/>
            </w:pPr>
            <w:r/>
            <w:r>
              <w:rPr>
                <w:rFonts w:ascii="맑은 고딕" w:hAnsi="맑은 고딕" w:eastAsia="맑은 고딕" w:cs="맑은 고딕"/>
                <w:b w:val="0"/>
                <w:sz w:val="18"/>
              </w:rPr>
              <w:t>발명 = 기존 지식 요소의 새로운 조합. 분류 기호 = 기술 요소, 공동 부여 = 재조합.</w:t>
            </w:r>
          </w:p>
        </w:tc>
      </w:tr>
      <w:tr>
        <w:tc>
          <w:tcPr>
            <w:tcW w:type="dxa" w:w="2608"/>
            <w:shd w:val="clear" w:color="auto" w:fill="F4F7FB"/>
          </w:tcPr>
          <w:p>
            <w:pPr>
              <w:spacing w:after="0"/>
            </w:pPr>
            <w:r/>
            <w:r>
              <w:rPr>
                <w:rFonts w:ascii="맑은 고딕" w:hAnsi="맑은 고딕" w:eastAsia="맑은 고딕" w:cs="맑은 고딕"/>
                <w:b w:val="0"/>
                <w:sz w:val="18"/>
              </w:rPr>
              <w:t>Lerner (1994)</w:t>
            </w:r>
          </w:p>
        </w:tc>
        <w:tc>
          <w:tcPr>
            <w:tcW w:type="dxa" w:w="6803"/>
            <w:shd w:val="clear" w:color="auto" w:fill="F4F7FB"/>
          </w:tcPr>
          <w:p>
            <w:pPr>
              <w:spacing w:after="0"/>
            </w:pPr>
            <w:r/>
            <w:r>
              <w:rPr>
                <w:rFonts w:ascii="맑은 고딕" w:hAnsi="맑은 고딕" w:eastAsia="맑은 고딕" w:cs="맑은 고딕"/>
                <w:b w:val="0"/>
                <w:sz w:val="18"/>
              </w:rPr>
              <w:t>특허가 포괄하는 분류의 수로 특허 범위 측정, 범위의 경제적 가치.</w:t>
            </w:r>
          </w:p>
        </w:tc>
      </w:tr>
      <w:tr>
        <w:tc>
          <w:tcPr>
            <w:tcW w:type="dxa" w:w="2608"/>
          </w:tcPr>
          <w:p>
            <w:pPr>
              <w:spacing w:after="0"/>
            </w:pPr>
            <w:r/>
            <w:r>
              <w:rPr>
                <w:rFonts w:ascii="맑은 고딕" w:hAnsi="맑은 고딕" w:eastAsia="맑은 고딕" w:cs="맑은 고딕"/>
                <w:b w:val="0"/>
                <w:sz w:val="18"/>
              </w:rPr>
              <w:t>Breschi et al. (2003)</w:t>
            </w:r>
          </w:p>
        </w:tc>
        <w:tc>
          <w:tcPr>
            <w:tcW w:type="dxa" w:w="6803"/>
          </w:tcPr>
          <w:p>
            <w:pPr>
              <w:spacing w:after="0"/>
            </w:pPr>
            <w:r/>
            <w:r>
              <w:rPr>
                <w:rFonts w:ascii="맑은 고딕" w:hAnsi="맑은 고딕" w:eastAsia="맑은 고딕" w:cs="맑은 고딕"/>
                <w:b w:val="0"/>
                <w:sz w:val="18"/>
              </w:rPr>
              <w:t>공동분류로 기술 분야 간 지식 관련성 측정, 기업의 기술 다각화는 관련성 높은 분야 사이에서.</w:t>
            </w:r>
          </w:p>
        </w:tc>
      </w:tr>
      <w:tr>
        <w:tc>
          <w:tcPr>
            <w:tcW w:type="dxa" w:w="2608"/>
            <w:shd w:val="clear" w:color="auto" w:fill="F4F7FB"/>
          </w:tcPr>
          <w:p>
            <w:pPr>
              <w:spacing w:after="0"/>
            </w:pPr>
            <w:r/>
            <w:r>
              <w:rPr>
                <w:rFonts w:ascii="맑은 고딕" w:hAnsi="맑은 고딕" w:eastAsia="맑은 고딕" w:cs="맑은 고딕"/>
                <w:b w:val="0"/>
                <w:sz w:val="18"/>
              </w:rPr>
              <w:t>Sternitzke et al. (2008)</w:t>
            </w:r>
          </w:p>
        </w:tc>
        <w:tc>
          <w:tcPr>
            <w:tcW w:type="dxa" w:w="6803"/>
            <w:shd w:val="clear" w:color="auto" w:fill="F4F7FB"/>
          </w:tcPr>
          <w:p>
            <w:pPr>
              <w:spacing w:after="0"/>
            </w:pPr>
            <w:r/>
            <w:r>
              <w:rPr>
                <w:rFonts w:ascii="맑은 고딕" w:hAnsi="맑은 고딕" w:eastAsia="맑은 고딕" w:cs="맑은 고딕"/>
                <w:b w:val="0"/>
                <w:sz w:val="18"/>
              </w:rPr>
              <w:t>분류 기호를 노드, 공동 부여 쌍을 연결로 본 특허 네트워크.</w:t>
            </w:r>
          </w:p>
        </w:tc>
      </w:tr>
      <w:tr>
        <w:tc>
          <w:tcPr>
            <w:tcW w:type="dxa" w:w="2608"/>
          </w:tcPr>
          <w:p>
            <w:pPr>
              <w:spacing w:after="0"/>
            </w:pPr>
            <w:r/>
            <w:r>
              <w:rPr>
                <w:rFonts w:ascii="맑은 고딕" w:hAnsi="맑은 고딕" w:eastAsia="맑은 고딕" w:cs="맑은 고딕"/>
                <w:b w:val="0"/>
                <w:sz w:val="18"/>
              </w:rPr>
              <w:t>Lee et al. (2017)</w:t>
            </w:r>
          </w:p>
        </w:tc>
        <w:tc>
          <w:tcPr>
            <w:tcW w:type="dxa" w:w="6803"/>
          </w:tcPr>
          <w:p>
            <w:pPr>
              <w:spacing w:after="0"/>
            </w:pPr>
            <w:r/>
            <w:r>
              <w:rPr>
                <w:rFonts w:ascii="맑은 고딕" w:hAnsi="맑은 고딕" w:eastAsia="맑은 고딕" w:cs="맑은 고딕"/>
                <w:b w:val="0"/>
                <w:sz w:val="18"/>
              </w:rPr>
              <w:t>특허 자료로 기술 수명주기 단계 추적 → 시기 구분의 방법론적 근거.</w:t>
            </w:r>
          </w:p>
        </w:tc>
      </w:tr>
      <w:tr>
        <w:tc>
          <w:tcPr>
            <w:tcW w:type="dxa" w:w="2608"/>
            <w:shd w:val="clear" w:color="auto" w:fill="F4F7FB"/>
          </w:tcPr>
          <w:p>
            <w:pPr>
              <w:spacing w:after="0"/>
            </w:pPr>
            <w:r/>
            <w:r>
              <w:rPr>
                <w:rFonts w:ascii="맑은 고딕" w:hAnsi="맑은 고딕" w:eastAsia="맑은 고딕" w:cs="맑은 고딕"/>
                <w:b w:val="0"/>
                <w:sz w:val="18"/>
              </w:rPr>
              <w:t>Jeong et al. (2015); Yun &amp; Geum (2019)</w:t>
            </w:r>
          </w:p>
        </w:tc>
        <w:tc>
          <w:tcPr>
            <w:tcW w:type="dxa" w:w="6803"/>
            <w:shd w:val="clear" w:color="auto" w:fill="F4F7FB"/>
          </w:tcPr>
          <w:p>
            <w:pPr>
              <w:spacing w:after="0"/>
            </w:pPr>
            <w:r/>
            <w:r>
              <w:rPr>
                <w:rFonts w:ascii="맑은 고딕" w:hAnsi="맑은 고딕" w:eastAsia="맑은 고딕" w:cs="맑은 고딕"/>
                <w:b w:val="0"/>
                <w:sz w:val="18"/>
              </w:rPr>
              <w:t>특허 공동분류로 융합 동태 추적(분야 쌍의 융합 정도 변화 중심).</w:t>
            </w:r>
          </w:p>
        </w:tc>
      </w:tr>
      <w:tr>
        <w:tc>
          <w:tcPr>
            <w:tcW w:type="dxa" w:w="2608"/>
          </w:tcPr>
          <w:p>
            <w:pPr>
              <w:spacing w:after="0"/>
            </w:pPr>
            <w:r/>
            <w:r>
              <w:rPr>
                <w:rFonts w:ascii="맑은 고딕" w:hAnsi="맑은 고딕" w:eastAsia="맑은 고딕" w:cs="맑은 고딕"/>
                <w:b w:val="0"/>
                <w:sz w:val="18"/>
              </w:rPr>
              <w:t>Karvonen &amp; Kässi (2012)</w:t>
            </w:r>
          </w:p>
        </w:tc>
        <w:tc>
          <w:tcPr>
            <w:tcW w:type="dxa" w:w="6803"/>
          </w:tcPr>
          <w:p>
            <w:pPr>
              <w:spacing w:after="0"/>
            </w:pPr>
            <w:r/>
            <w:r>
              <w:rPr>
                <w:rFonts w:ascii="맑은 고딕" w:hAnsi="맑은 고딕" w:eastAsia="맑은 고딕" w:cs="맑은 고딕"/>
                <w:b w:val="0"/>
                <w:sz w:val="18"/>
              </w:rPr>
              <w:t>가치사슬 상·하류 기업 간 특허 인용 분석. 가장 가까운 선례지만 특허 단위의 경계 넘기 검정은 아님.</w:t>
            </w:r>
          </w:p>
        </w:tc>
      </w:tr>
      <w:tr>
        <w:tc>
          <w:tcPr>
            <w:tcW w:type="dxa" w:w="2608"/>
            <w:shd w:val="clear" w:color="auto" w:fill="F4F7FB"/>
          </w:tcPr>
          <w:p>
            <w:pPr>
              <w:spacing w:after="0"/>
            </w:pPr>
            <w:r/>
            <w:r>
              <w:rPr>
                <w:rFonts w:ascii="맑은 고딕" w:hAnsi="맑은 고딕" w:eastAsia="맑은 고딕" w:cs="맑은 고딕"/>
                <w:b w:val="0"/>
                <w:sz w:val="18"/>
              </w:rPr>
              <w:t>Sick &amp; Bröring (2022)</w:t>
            </w:r>
          </w:p>
        </w:tc>
        <w:tc>
          <w:tcPr>
            <w:tcW w:type="dxa" w:w="6803"/>
            <w:shd w:val="clear" w:color="auto" w:fill="F4F7FB"/>
          </w:tcPr>
          <w:p>
            <w:pPr>
              <w:spacing w:after="0"/>
            </w:pPr>
            <w:r/>
            <w:r>
              <w:rPr>
                <w:rFonts w:ascii="맑은 고딕" w:hAnsi="맑은 고딕" w:eastAsia="맑은 고딕" w:cs="맑은 고딕"/>
                <w:b w:val="0"/>
                <w:sz w:val="18"/>
              </w:rPr>
              <w:t>과정으로서의 융합 연구 검토: 전개 양상 파악에 집중, 이론적 기반과는 비교적 독립적으로 발전.</w:t>
            </w:r>
          </w:p>
        </w:tc>
      </w:tr>
      <w:tr>
        <w:tc>
          <w:tcPr>
            <w:tcW w:type="dxa" w:w="2608"/>
          </w:tcPr>
          <w:p>
            <w:pPr>
              <w:spacing w:after="0"/>
            </w:pPr>
            <w:r/>
            <w:r>
              <w:rPr>
                <w:rFonts w:ascii="맑은 고딕" w:hAnsi="맑은 고딕" w:eastAsia="맑은 고딕" w:cs="맑은 고딕"/>
                <w:b w:val="0"/>
                <w:sz w:val="18"/>
              </w:rPr>
              <w:t>Lau (2021, 2022)</w:t>
            </w:r>
          </w:p>
        </w:tc>
        <w:tc>
          <w:tcPr>
            <w:tcW w:type="dxa" w:w="6803"/>
          </w:tcPr>
          <w:p>
            <w:pPr>
              <w:spacing w:after="0"/>
            </w:pPr>
            <w:r/>
            <w:r>
              <w:rPr>
                <w:rFonts w:ascii="맑은 고딕" w:hAnsi="맑은 고딕" w:eastAsia="맑은 고딕" w:cs="맑은 고딕"/>
                <w:b w:val="0"/>
                <w:sz w:val="18"/>
              </w:rPr>
              <w:t>하이브리드 본딩 기술 설명(연결 간격, W2W·D2W, 발명 중심의 이동, 파운드리의 첨단 패키징).</w:t>
            </w:r>
          </w:p>
        </w:tc>
      </w:tr>
      <w:tr>
        <w:tc>
          <w:tcPr>
            <w:tcW w:type="dxa" w:w="2608"/>
            <w:shd w:val="clear" w:color="auto" w:fill="F4F7FB"/>
          </w:tcPr>
          <w:p>
            <w:pPr>
              <w:spacing w:after="0"/>
            </w:pPr>
            <w:r/>
            <w:r>
              <w:rPr>
                <w:rFonts w:ascii="맑은 고딕" w:hAnsi="맑은 고딕" w:eastAsia="맑은 고딕" w:cs="맑은 고딕"/>
                <w:b w:val="0"/>
                <w:sz w:val="18"/>
              </w:rPr>
              <w:t>KnowMade (2024)</w:t>
            </w:r>
          </w:p>
        </w:tc>
        <w:tc>
          <w:tcPr>
            <w:tcW w:type="dxa" w:w="6803"/>
            <w:shd w:val="clear" w:color="auto" w:fill="F4F7FB"/>
          </w:tcPr>
          <w:p>
            <w:pPr>
              <w:spacing w:after="0"/>
            </w:pPr>
            <w:r/>
            <w:r>
              <w:rPr>
                <w:rFonts w:ascii="맑은 고딕" w:hAnsi="맑은 고딕" w:eastAsia="맑은 고딕" w:cs="맑은 고딕"/>
                <w:b w:val="0"/>
                <w:sz w:val="18"/>
              </w:rPr>
              <w:t>하이브리드 본딩 특허 활동 주도 출원인: TSMC, Adeia, YMTC, Intel, Samsung.</w:t>
            </w:r>
          </w:p>
        </w:tc>
      </w:tr>
    </w:tbl>
    <w:p>
      <w:pPr>
        <w:spacing w:after="40"/>
      </w:pPr>
    </w:p>
    <w:p>
      <w:pPr>
        <w:pStyle w:val="Heading1"/>
      </w:pPr>
      <w:r>
        <w:t>7. 질문별로 넘길 슬라이드</w:t>
      </w:r>
    </w:p>
    <w:p>
      <w:pPr>
        <w:spacing w:after="80" w:before="0"/>
      </w:pPr>
      <w:r>
        <w:rPr>
          <w:rFonts w:ascii="맑은 고딕" w:hAnsi="맑은 고딕" w:eastAsia="맑은 고딕" w:cs="맑은 고딕"/>
          <w:b w:val="0"/>
          <w:color w:val="5B6475"/>
          <w:sz w:val="21"/>
        </w:rPr>
        <w:t>질문에 답하면서 보여 줄 슬라이드 번호입니다. 괄호 안은 파일의 슬라이드 번호이며, 발표 모드에서 번호를 입력하고 Enter를 누르면 바로 이동합니다.</w:t>
      </w:r>
    </w:p>
    <w:tbl>
      <w:tblPr>
        <w:tblStyle w:val="TableGrid"/>
        <w:tblW w:type="auto" w:w="0"/>
        <w:jc w:val="center"/>
        <w:tblLayout w:type="fixed"/>
        <w:tblLook w:firstColumn="1" w:firstRow="1" w:lastColumn="0" w:lastRow="0" w:noHBand="0" w:noVBand="1" w:val="04A0"/>
        <w:tblLayout w:type="fixed"/>
      </w:tblPr>
      <w:tblGrid>
        <w:gridCol w:w="4195"/>
        <w:gridCol w:w="2041"/>
        <w:gridCol w:w="1644"/>
        <w:gridCol w:w="1644"/>
      </w:tblGrid>
      <w:tr>
        <w:tc>
          <w:tcPr>
            <w:tcW w:type="dxa" w:w="4195"/>
            <w:shd w:val="clear" w:color="auto" w:fill="13294B"/>
          </w:tcPr>
          <w:p>
            <w:pPr>
              <w:spacing w:after="0"/>
            </w:pPr>
            <w:r/>
            <w:r>
              <w:rPr>
                <w:rFonts w:ascii="맑은 고딕" w:hAnsi="맑은 고딕" w:eastAsia="맑은 고딕" w:cs="맑은 고딕"/>
                <w:b/>
                <w:color w:val="FFFFFF"/>
                <w:sz w:val="18"/>
              </w:rPr>
              <w:t>내용</w:t>
            </w:r>
          </w:p>
        </w:tc>
        <w:tc>
          <w:tcPr>
            <w:tcW w:type="dxa" w:w="2041"/>
            <w:shd w:val="clear" w:color="auto" w:fill="13294B"/>
          </w:tcPr>
          <w:p>
            <w:pPr>
              <w:spacing w:after="0"/>
            </w:pPr>
            <w:r/>
            <w:r>
              <w:rPr>
                <w:rFonts w:ascii="맑은 고딕" w:hAnsi="맑은 고딕" w:eastAsia="맑은 고딕" w:cs="맑은 고딕"/>
                <w:b/>
                <w:color w:val="FFFFFF"/>
                <w:sz w:val="18"/>
              </w:rPr>
              <w:t>30분용</w:t>
            </w:r>
          </w:p>
        </w:tc>
        <w:tc>
          <w:tcPr>
            <w:tcW w:type="dxa" w:w="1644"/>
            <w:shd w:val="clear" w:color="auto" w:fill="13294B"/>
          </w:tcPr>
          <w:p>
            <w:pPr>
              <w:spacing w:after="0"/>
            </w:pPr>
            <w:r/>
            <w:r>
              <w:rPr>
                <w:rFonts w:ascii="맑은 고딕" w:hAnsi="맑은 고딕" w:eastAsia="맑은 고딕" w:cs="맑은 고딕"/>
                <w:b/>
                <w:color w:val="FFFFFF"/>
                <w:sz w:val="18"/>
              </w:rPr>
              <w:t>20분용</w:t>
            </w:r>
          </w:p>
        </w:tc>
        <w:tc>
          <w:tcPr>
            <w:tcW w:type="dxa" w:w="1644"/>
            <w:shd w:val="clear" w:color="auto" w:fill="13294B"/>
          </w:tcPr>
          <w:p>
            <w:pPr>
              <w:spacing w:after="0"/>
            </w:pPr>
            <w:r/>
            <w:r>
              <w:rPr>
                <w:rFonts w:ascii="맑은 고딕" w:hAnsi="맑은 고딕" w:eastAsia="맑은 고딕" w:cs="맑은 고딕"/>
                <w:b/>
                <w:color w:val="FFFFFF"/>
                <w:sz w:val="18"/>
              </w:rPr>
              <w:t>15분용</w:t>
            </w:r>
          </w:p>
        </w:tc>
      </w:tr>
      <w:tr>
        <w:tc>
          <w:tcPr>
            <w:tcW w:type="dxa" w:w="4195"/>
          </w:tcPr>
          <w:p>
            <w:pPr>
              <w:spacing w:after="0"/>
            </w:pPr>
            <w:r/>
            <w:r>
              <w:rPr>
                <w:rFonts w:ascii="맑은 고딕" w:hAnsi="맑은 고딕" w:eastAsia="맑은 고딕" w:cs="맑은 고딕"/>
                <w:b/>
                <w:sz w:val="18"/>
              </w:rPr>
              <w:t>반도체 분업 구조와 첨단 패키징</w:t>
            </w:r>
          </w:p>
        </w:tc>
        <w:tc>
          <w:tcPr>
            <w:tcW w:type="dxa" w:w="2041"/>
          </w:tcPr>
          <w:p>
            <w:pPr>
              <w:spacing w:after="0"/>
            </w:pPr>
            <w:r/>
            <w:r>
              <w:rPr>
                <w:rFonts w:ascii="맑은 고딕" w:hAnsi="맑은 고딕" w:eastAsia="맑은 고딕" w:cs="맑은 고딕"/>
                <w:b w:val="0"/>
                <w:sz w:val="18"/>
              </w:rPr>
              <w:t>본문 5</w:t>
            </w:r>
          </w:p>
        </w:tc>
        <w:tc>
          <w:tcPr>
            <w:tcW w:type="dxa" w:w="1644"/>
          </w:tcPr>
          <w:p>
            <w:pPr>
              <w:spacing w:after="0"/>
            </w:pPr>
            <w:r/>
            <w:r>
              <w:rPr>
                <w:rFonts w:ascii="맑은 고딕" w:hAnsi="맑은 고딕" w:eastAsia="맑은 고딕" w:cs="맑은 고딕"/>
                <w:b w:val="0"/>
                <w:sz w:val="18"/>
              </w:rPr>
              <w:t>본문 5</w:t>
            </w:r>
          </w:p>
        </w:tc>
        <w:tc>
          <w:tcPr>
            <w:tcW w:type="dxa" w:w="1644"/>
          </w:tcPr>
          <w:p>
            <w:pPr>
              <w:spacing w:after="0"/>
            </w:pPr>
            <w:r/>
            <w:r>
              <w:rPr>
                <w:rFonts w:ascii="맑은 고딕" w:hAnsi="맑은 고딕" w:eastAsia="맑은 고딕" w:cs="맑은 고딕"/>
                <w:b w:val="0"/>
                <w:sz w:val="18"/>
              </w:rPr>
              <w:t>부록 1 (22)</w:t>
            </w:r>
          </w:p>
        </w:tc>
      </w:tr>
      <w:tr>
        <w:tc>
          <w:tcPr>
            <w:tcW w:type="dxa" w:w="4195"/>
            <w:shd w:val="clear" w:color="auto" w:fill="F4F7FB"/>
          </w:tcPr>
          <w:p>
            <w:pPr>
              <w:spacing w:after="0"/>
            </w:pPr>
            <w:r/>
            <w:r>
              <w:rPr>
                <w:rFonts w:ascii="맑은 고딕" w:hAnsi="맑은 고딕" w:eastAsia="맑은 고딕" w:cs="맑은 고딕"/>
                <w:b/>
                <w:sz w:val="18"/>
              </w:rPr>
              <w:t>수직 전문화와 지식 경계</w:t>
            </w:r>
          </w:p>
        </w:tc>
        <w:tc>
          <w:tcPr>
            <w:tcW w:type="dxa" w:w="2041"/>
            <w:shd w:val="clear" w:color="auto" w:fill="F4F7FB"/>
          </w:tcPr>
          <w:p>
            <w:pPr>
              <w:spacing w:after="0"/>
            </w:pPr>
            <w:r/>
            <w:r>
              <w:rPr>
                <w:rFonts w:ascii="맑은 고딕" w:hAnsi="맑은 고딕" w:eastAsia="맑은 고딕" w:cs="맑은 고딕"/>
                <w:b w:val="0"/>
                <w:sz w:val="18"/>
              </w:rPr>
              <w:t>본문 11</w:t>
            </w:r>
          </w:p>
        </w:tc>
        <w:tc>
          <w:tcPr>
            <w:tcW w:type="dxa" w:w="1644"/>
            <w:shd w:val="clear" w:color="auto" w:fill="F4F7FB"/>
          </w:tcPr>
          <w:p>
            <w:pPr>
              <w:spacing w:after="0"/>
            </w:pPr>
            <w:r/>
            <w:r>
              <w:rPr>
                <w:rFonts w:ascii="맑은 고딕" w:hAnsi="맑은 고딕" w:eastAsia="맑은 고딕" w:cs="맑은 고딕"/>
                <w:b w:val="0"/>
                <w:sz w:val="18"/>
              </w:rPr>
              <w:t>본문 9</w:t>
            </w:r>
          </w:p>
        </w:tc>
        <w:tc>
          <w:tcPr>
            <w:tcW w:type="dxa" w:w="1644"/>
            <w:shd w:val="clear" w:color="auto" w:fill="F4F7FB"/>
          </w:tcPr>
          <w:p>
            <w:pPr>
              <w:spacing w:after="0"/>
            </w:pPr>
            <w:r/>
            <w:r>
              <w:rPr>
                <w:rFonts w:ascii="맑은 고딕" w:hAnsi="맑은 고딕" w:eastAsia="맑은 고딕" w:cs="맑은 고딕"/>
                <w:b w:val="0"/>
                <w:sz w:val="18"/>
              </w:rPr>
              <w:t>부록 2 (23)</w:t>
            </w:r>
          </w:p>
        </w:tc>
      </w:tr>
      <w:tr>
        <w:tc>
          <w:tcPr>
            <w:tcW w:type="dxa" w:w="4195"/>
          </w:tcPr>
          <w:p>
            <w:pPr>
              <w:spacing w:after="0"/>
            </w:pPr>
            <w:r/>
            <w:r>
              <w:rPr>
                <w:rFonts w:ascii="맑은 고딕" w:hAnsi="맑은 고딕" w:eastAsia="맑은 고딕" w:cs="맑은 고딕"/>
                <w:b/>
                <w:sz w:val="18"/>
              </w:rPr>
              <w:t>기술 순환 모형과 핵심–주변 구조</w:t>
            </w:r>
          </w:p>
        </w:tc>
        <w:tc>
          <w:tcPr>
            <w:tcW w:type="dxa" w:w="2041"/>
          </w:tcPr>
          <w:p>
            <w:pPr>
              <w:spacing w:after="0"/>
            </w:pPr>
            <w:r/>
            <w:r>
              <w:rPr>
                <w:rFonts w:ascii="맑은 고딕" w:hAnsi="맑은 고딕" w:eastAsia="맑은 고딕" w:cs="맑은 고딕"/>
                <w:b w:val="0"/>
                <w:sz w:val="18"/>
              </w:rPr>
              <w:t>본문 12</w:t>
            </w:r>
          </w:p>
        </w:tc>
        <w:tc>
          <w:tcPr>
            <w:tcW w:type="dxa" w:w="1644"/>
          </w:tcPr>
          <w:p>
            <w:pPr>
              <w:spacing w:after="0"/>
            </w:pPr>
            <w:r/>
            <w:r>
              <w:rPr>
                <w:rFonts w:ascii="맑은 고딕" w:hAnsi="맑은 고딕" w:eastAsia="맑은 고딕" w:cs="맑은 고딕"/>
                <w:b w:val="0"/>
                <w:sz w:val="18"/>
              </w:rPr>
              <w:t>본문 10</w:t>
            </w:r>
          </w:p>
        </w:tc>
        <w:tc>
          <w:tcPr>
            <w:tcW w:type="dxa" w:w="1644"/>
          </w:tcPr>
          <w:p>
            <w:pPr>
              <w:spacing w:after="0"/>
            </w:pPr>
            <w:r/>
            <w:r>
              <w:rPr>
                <w:rFonts w:ascii="맑은 고딕" w:hAnsi="맑은 고딕" w:eastAsia="맑은 고딕" w:cs="맑은 고딕"/>
                <w:b w:val="0"/>
                <w:sz w:val="18"/>
              </w:rPr>
              <w:t>부록 3 (24)</w:t>
            </w:r>
          </w:p>
        </w:tc>
      </w:tr>
      <w:tr>
        <w:tc>
          <w:tcPr>
            <w:tcW w:type="dxa" w:w="4195"/>
            <w:shd w:val="clear" w:color="auto" w:fill="F4F7FB"/>
          </w:tcPr>
          <w:p>
            <w:pPr>
              <w:spacing w:after="0"/>
            </w:pPr>
            <w:r/>
            <w:r>
              <w:rPr>
                <w:rFonts w:ascii="맑은 고딕" w:hAnsi="맑은 고딕" w:eastAsia="맑은 고딕" w:cs="맑은 고딕"/>
                <w:b/>
                <w:sz w:val="18"/>
              </w:rPr>
              <w:t>이론 종합(Chapter 2 Summary)</w:t>
            </w:r>
          </w:p>
        </w:tc>
        <w:tc>
          <w:tcPr>
            <w:tcW w:type="dxa" w:w="2041"/>
            <w:shd w:val="clear" w:color="auto" w:fill="F4F7FB"/>
          </w:tcPr>
          <w:p>
            <w:pPr>
              <w:spacing w:after="0"/>
            </w:pPr>
            <w:r/>
            <w:r>
              <w:rPr>
                <w:rFonts w:ascii="맑은 고딕" w:hAnsi="맑은 고딕" w:eastAsia="맑은 고딕" w:cs="맑은 고딕"/>
                <w:b w:val="0"/>
                <w:sz w:val="18"/>
              </w:rPr>
              <w:t>본문 13</w:t>
            </w:r>
          </w:p>
        </w:tc>
        <w:tc>
          <w:tcPr>
            <w:tcW w:type="dxa" w:w="1644"/>
            <w:shd w:val="clear" w:color="auto" w:fill="F4F7FB"/>
          </w:tcPr>
          <w:p>
            <w:pPr>
              <w:spacing w:after="0"/>
            </w:pPr>
            <w:r/>
            <w:r>
              <w:rPr>
                <w:rFonts w:ascii="맑은 고딕" w:hAnsi="맑은 고딕" w:eastAsia="맑은 고딕" w:cs="맑은 고딕"/>
                <w:b w:val="0"/>
                <w:sz w:val="18"/>
              </w:rPr>
              <w:t>부록 1 (32)</w:t>
            </w:r>
          </w:p>
        </w:tc>
        <w:tc>
          <w:tcPr>
            <w:tcW w:type="dxa" w:w="1644"/>
            <w:shd w:val="clear" w:color="auto" w:fill="F4F7FB"/>
          </w:tcPr>
          <w:p>
            <w:pPr>
              <w:spacing w:after="0"/>
            </w:pPr>
            <w:r/>
            <w:r>
              <w:rPr>
                <w:rFonts w:ascii="맑은 고딕" w:hAnsi="맑은 고딕" w:eastAsia="맑은 고딕" w:cs="맑은 고딕"/>
                <w:b w:val="0"/>
                <w:sz w:val="18"/>
              </w:rPr>
              <w:t>본문 7</w:t>
            </w:r>
          </w:p>
        </w:tc>
      </w:tr>
      <w:tr>
        <w:tc>
          <w:tcPr>
            <w:tcW w:type="dxa" w:w="4195"/>
          </w:tcPr>
          <w:p>
            <w:pPr>
              <w:spacing w:after="0"/>
            </w:pPr>
            <w:r/>
            <w:r>
              <w:rPr>
                <w:rFonts w:ascii="맑은 고딕" w:hAnsi="맑은 고딕" w:eastAsia="맑은 고딕" w:cs="맑은 고딕"/>
                <w:b/>
                <w:sz w:val="18"/>
              </w:rPr>
              <w:t>분석 대상: 하이브리드 본딩 기술과 산업(그림 2)</w:t>
            </w:r>
          </w:p>
        </w:tc>
        <w:tc>
          <w:tcPr>
            <w:tcW w:type="dxa" w:w="2041"/>
          </w:tcPr>
          <w:p>
            <w:pPr>
              <w:spacing w:after="0"/>
            </w:pPr>
            <w:r/>
            <w:r>
              <w:rPr>
                <w:rFonts w:ascii="맑은 고딕" w:hAnsi="맑은 고딕" w:eastAsia="맑은 고딕" w:cs="맑은 고딕"/>
                <w:b w:val="0"/>
                <w:sz w:val="18"/>
              </w:rPr>
              <w:t>본문 18</w:t>
            </w:r>
          </w:p>
        </w:tc>
        <w:tc>
          <w:tcPr>
            <w:tcW w:type="dxa" w:w="1644"/>
          </w:tcPr>
          <w:p>
            <w:pPr>
              <w:spacing w:after="0"/>
            </w:pPr>
            <w:r/>
            <w:r>
              <w:rPr>
                <w:rFonts w:ascii="맑은 고딕" w:hAnsi="맑은 고딕" w:eastAsia="맑은 고딕" w:cs="맑은 고딕"/>
                <w:b w:val="0"/>
                <w:sz w:val="18"/>
              </w:rPr>
              <w:t>본문 12</w:t>
            </w:r>
          </w:p>
        </w:tc>
        <w:tc>
          <w:tcPr>
            <w:tcW w:type="dxa" w:w="1644"/>
          </w:tcPr>
          <w:p>
            <w:pPr>
              <w:spacing w:after="0"/>
            </w:pPr>
            <w:r/>
            <w:r>
              <w:rPr>
                <w:rFonts w:ascii="맑은 고딕" w:hAnsi="맑은 고딕" w:eastAsia="맑은 고딕" w:cs="맑은 고딕"/>
                <w:b w:val="0"/>
                <w:sz w:val="18"/>
              </w:rPr>
              <w:t>부록 4 (25)</w:t>
            </w:r>
          </w:p>
        </w:tc>
      </w:tr>
      <w:tr>
        <w:tc>
          <w:tcPr>
            <w:tcW w:type="dxa" w:w="4195"/>
            <w:shd w:val="clear" w:color="auto" w:fill="F4F7FB"/>
          </w:tcPr>
          <w:p>
            <w:pPr>
              <w:spacing w:after="0"/>
            </w:pPr>
            <w:r/>
            <w:r>
              <w:rPr>
                <w:rFonts w:ascii="맑은 고딕" w:hAnsi="맑은 고딕" w:eastAsia="맑은 고딕" w:cs="맑은 고딕"/>
                <w:b/>
                <w:sz w:val="18"/>
              </w:rPr>
              <w:t>측정: 실제 출원 세 건의 CPC 기호</w:t>
            </w:r>
          </w:p>
        </w:tc>
        <w:tc>
          <w:tcPr>
            <w:tcW w:type="dxa" w:w="2041"/>
            <w:shd w:val="clear" w:color="auto" w:fill="F4F7FB"/>
          </w:tcPr>
          <w:p>
            <w:pPr>
              <w:spacing w:after="0"/>
            </w:pPr>
            <w:r/>
            <w:r>
              <w:rPr>
                <w:rFonts w:ascii="맑은 고딕" w:hAnsi="맑은 고딕" w:eastAsia="맑은 고딕" w:cs="맑은 고딕"/>
                <w:b w:val="0"/>
                <w:sz w:val="18"/>
              </w:rPr>
              <w:t>부록 1 (42)</w:t>
            </w:r>
          </w:p>
        </w:tc>
        <w:tc>
          <w:tcPr>
            <w:tcW w:type="dxa" w:w="1644"/>
            <w:shd w:val="clear" w:color="auto" w:fill="F4F7FB"/>
          </w:tcPr>
          <w:p>
            <w:pPr>
              <w:spacing w:after="0"/>
            </w:pPr>
            <w:r/>
            <w:r>
              <w:rPr>
                <w:rFonts w:ascii="맑은 고딕" w:hAnsi="맑은 고딕" w:eastAsia="맑은 고딕" w:cs="맑은 고딕"/>
                <w:b w:val="0"/>
                <w:sz w:val="18"/>
              </w:rPr>
              <w:t>부록 5 (36)</w:t>
            </w:r>
          </w:p>
        </w:tc>
        <w:tc>
          <w:tcPr>
            <w:tcW w:type="dxa" w:w="1644"/>
            <w:shd w:val="clear" w:color="auto" w:fill="F4F7FB"/>
          </w:tcPr>
          <w:p>
            <w:pPr>
              <w:spacing w:after="0"/>
            </w:pPr>
            <w:r/>
            <w:r>
              <w:rPr>
                <w:rFonts w:ascii="맑은 고딕" w:hAnsi="맑은 고딕" w:eastAsia="맑은 고딕" w:cs="맑은 고딕"/>
                <w:b w:val="0"/>
                <w:sz w:val="18"/>
              </w:rPr>
              <w:t>—</w:t>
            </w:r>
          </w:p>
        </w:tc>
      </w:tr>
      <w:tr>
        <w:tc>
          <w:tcPr>
            <w:tcW w:type="dxa" w:w="4195"/>
          </w:tcPr>
          <w:p>
            <w:pPr>
              <w:spacing w:after="0"/>
            </w:pPr>
            <w:r/>
            <w:r>
              <w:rPr>
                <w:rFonts w:ascii="맑은 고딕" w:hAnsi="맑은 고딕" w:eastAsia="맑은 고딕" w:cs="맑은 고딕"/>
                <w:b/>
                <w:sz w:val="18"/>
              </w:rPr>
              <w:t>핵심 기술의 식별(클러스터 · 네트워크)</w:t>
            </w:r>
          </w:p>
        </w:tc>
        <w:tc>
          <w:tcPr>
            <w:tcW w:type="dxa" w:w="2041"/>
          </w:tcPr>
          <w:p>
            <w:pPr>
              <w:spacing w:after="0"/>
            </w:pPr>
            <w:r/>
            <w:r>
              <w:rPr>
                <w:rFonts w:ascii="맑은 고딕" w:hAnsi="맑은 고딕" w:eastAsia="맑은 고딕" w:cs="맑은 고딕"/>
                <w:b w:val="0"/>
                <w:sz w:val="18"/>
              </w:rPr>
              <w:t>본문 21</w:t>
            </w:r>
          </w:p>
        </w:tc>
        <w:tc>
          <w:tcPr>
            <w:tcW w:type="dxa" w:w="1644"/>
          </w:tcPr>
          <w:p>
            <w:pPr>
              <w:spacing w:after="0"/>
            </w:pPr>
            <w:r/>
            <w:r>
              <w:rPr>
                <w:rFonts w:ascii="맑은 고딕" w:hAnsi="맑은 고딕" w:eastAsia="맑은 고딕" w:cs="맑은 고딕"/>
                <w:b w:val="0"/>
                <w:sz w:val="18"/>
              </w:rPr>
              <w:t>본문 15</w:t>
            </w:r>
          </w:p>
        </w:tc>
        <w:tc>
          <w:tcPr>
            <w:tcW w:type="dxa" w:w="1644"/>
          </w:tcPr>
          <w:p>
            <w:pPr>
              <w:spacing w:after="0"/>
            </w:pPr>
            <w:r/>
            <w:r>
              <w:rPr>
                <w:rFonts w:ascii="맑은 고딕" w:hAnsi="맑은 고딕" w:eastAsia="맑은 고딕" w:cs="맑은 고딕"/>
                <w:b w:val="0"/>
                <w:sz w:val="18"/>
              </w:rPr>
              <w:t>부록 5 (26)</w:t>
            </w:r>
          </w:p>
        </w:tc>
      </w:tr>
      <w:tr>
        <w:tc>
          <w:tcPr>
            <w:tcW w:type="dxa" w:w="4195"/>
            <w:shd w:val="clear" w:color="auto" w:fill="F4F7FB"/>
          </w:tcPr>
          <w:p>
            <w:pPr>
              <w:spacing w:after="0"/>
            </w:pPr>
            <w:r/>
            <w:r>
              <w:rPr>
                <w:rFonts w:ascii="맑은 고딕" w:hAnsi="맑은 고딕" w:eastAsia="맑은 고딕" w:cs="맑은 고딕"/>
                <w:b/>
                <w:sz w:val="18"/>
              </w:rPr>
              <w:t>국면별 심층: 형성기 · 확산기 · 재편기의 역설</w:t>
            </w:r>
          </w:p>
        </w:tc>
        <w:tc>
          <w:tcPr>
            <w:tcW w:type="dxa" w:w="2041"/>
            <w:shd w:val="clear" w:color="auto" w:fill="F4F7FB"/>
          </w:tcPr>
          <w:p>
            <w:pPr>
              <w:spacing w:after="0"/>
            </w:pPr>
            <w:r/>
            <w:r>
              <w:rPr>
                <w:rFonts w:ascii="맑은 고딕" w:hAnsi="맑은 고딕" w:eastAsia="맑은 고딕" w:cs="맑은 고딕"/>
                <w:b w:val="0"/>
                <w:sz w:val="18"/>
              </w:rPr>
              <w:t>본문 27–29</w:t>
            </w:r>
          </w:p>
        </w:tc>
        <w:tc>
          <w:tcPr>
            <w:tcW w:type="dxa" w:w="1644"/>
            <w:shd w:val="clear" w:color="auto" w:fill="F4F7FB"/>
          </w:tcPr>
          <w:p>
            <w:pPr>
              <w:spacing w:after="0"/>
            </w:pPr>
            <w:r/>
            <w:r>
              <w:rPr>
                <w:rFonts w:ascii="맑은 고딕" w:hAnsi="맑은 고딕" w:eastAsia="맑은 고딕" w:cs="맑은 고딕"/>
                <w:b w:val="0"/>
                <w:sz w:val="18"/>
              </w:rPr>
              <w:t>본문 19–21</w:t>
            </w:r>
          </w:p>
        </w:tc>
        <w:tc>
          <w:tcPr>
            <w:tcW w:type="dxa" w:w="1644"/>
            <w:shd w:val="clear" w:color="auto" w:fill="F4F7FB"/>
          </w:tcPr>
          <w:p>
            <w:pPr>
              <w:spacing w:after="0"/>
            </w:pPr>
            <w:r/>
            <w:r>
              <w:rPr>
                <w:rFonts w:ascii="맑은 고딕" w:hAnsi="맑은 고딕" w:eastAsia="맑은 고딕" w:cs="맑은 고딕"/>
                <w:b w:val="0"/>
                <w:sz w:val="18"/>
              </w:rPr>
              <w:t>부록 6–8 (27–29)</w:t>
            </w:r>
          </w:p>
        </w:tc>
      </w:tr>
      <w:tr>
        <w:tc>
          <w:tcPr>
            <w:tcW w:type="dxa" w:w="4195"/>
          </w:tcPr>
          <w:p>
            <w:pPr>
              <w:spacing w:after="0"/>
            </w:pPr>
            <w:r/>
            <w:r>
              <w:rPr>
                <w:rFonts w:ascii="맑은 고딕" w:hAnsi="맑은 고딕" w:eastAsia="맑은 고딕" w:cs="맑은 고딕"/>
                <w:b/>
                <w:sz w:val="18"/>
              </w:rPr>
              <w:t>RQ3 핵심 기술의 승산비(표 11 · 신뢰구간)</w:t>
            </w:r>
          </w:p>
        </w:tc>
        <w:tc>
          <w:tcPr>
            <w:tcW w:type="dxa" w:w="2041"/>
          </w:tcPr>
          <w:p>
            <w:pPr>
              <w:spacing w:after="0"/>
            </w:pPr>
            <w:r/>
            <w:r>
              <w:rPr>
                <w:rFonts w:ascii="맑은 고딕" w:hAnsi="맑은 고딕" w:eastAsia="맑은 고딕" w:cs="맑은 고딕"/>
                <w:b w:val="0"/>
                <w:sz w:val="18"/>
              </w:rPr>
              <w:t>본문 30</w:t>
            </w:r>
          </w:p>
        </w:tc>
        <w:tc>
          <w:tcPr>
            <w:tcW w:type="dxa" w:w="1644"/>
          </w:tcPr>
          <w:p>
            <w:pPr>
              <w:spacing w:after="0"/>
            </w:pPr>
            <w:r/>
            <w:r>
              <w:rPr>
                <w:rFonts w:ascii="맑은 고딕" w:hAnsi="맑은 고딕" w:eastAsia="맑은 고딕" w:cs="맑은 고딕"/>
                <w:b w:val="0"/>
                <w:sz w:val="18"/>
              </w:rPr>
              <w:t>부록 2 (33)</w:t>
            </w:r>
          </w:p>
        </w:tc>
        <w:tc>
          <w:tcPr>
            <w:tcW w:type="dxa" w:w="1644"/>
          </w:tcPr>
          <w:p>
            <w:pPr>
              <w:spacing w:after="0"/>
            </w:pPr>
            <w:r/>
            <w:r>
              <w:rPr>
                <w:rFonts w:ascii="맑은 고딕" w:hAnsi="맑은 고딕" w:eastAsia="맑은 고딕" w:cs="맑은 고딕"/>
                <w:b w:val="0"/>
                <w:sz w:val="18"/>
              </w:rPr>
              <w:t>본문 14</w:t>
            </w:r>
          </w:p>
        </w:tc>
      </w:tr>
      <w:tr>
        <w:tc>
          <w:tcPr>
            <w:tcW w:type="dxa" w:w="4195"/>
            <w:shd w:val="clear" w:color="auto" w:fill="F4F7FB"/>
          </w:tcPr>
          <w:p>
            <w:pPr>
              <w:spacing w:after="0"/>
            </w:pPr>
            <w:r/>
            <w:r>
              <w:rPr>
                <w:rFonts w:ascii="맑은 고딕" w:hAnsi="맑은 고딕" w:eastAsia="맑은 고딕" w:cs="맑은 고딕"/>
                <w:b/>
                <w:sz w:val="18"/>
              </w:rPr>
              <w:t>RQ3 결합 중심(Jaccard 그래프 · 매개 중심성 표)</w:t>
            </w:r>
          </w:p>
        </w:tc>
        <w:tc>
          <w:tcPr>
            <w:tcW w:type="dxa" w:w="2041"/>
            <w:shd w:val="clear" w:color="auto" w:fill="F4F7FB"/>
          </w:tcPr>
          <w:p>
            <w:pPr>
              <w:spacing w:after="0"/>
            </w:pPr>
            <w:r/>
            <w:r>
              <w:rPr>
                <w:rFonts w:ascii="맑은 고딕" w:hAnsi="맑은 고딕" w:eastAsia="맑은 고딕" w:cs="맑은 고딕"/>
                <w:b w:val="0"/>
                <w:sz w:val="18"/>
              </w:rPr>
              <w:t>본문 33</w:t>
            </w:r>
          </w:p>
        </w:tc>
        <w:tc>
          <w:tcPr>
            <w:tcW w:type="dxa" w:w="1644"/>
            <w:shd w:val="clear" w:color="auto" w:fill="F4F7FB"/>
          </w:tcPr>
          <w:p>
            <w:pPr>
              <w:spacing w:after="0"/>
            </w:pPr>
            <w:r/>
            <w:r>
              <w:rPr>
                <w:rFonts w:ascii="맑은 고딕" w:hAnsi="맑은 고딕" w:eastAsia="맑은 고딕" w:cs="맑은 고딕"/>
                <w:b w:val="0"/>
                <w:sz w:val="18"/>
              </w:rPr>
              <w:t>부록 3 (34)</w:t>
            </w:r>
          </w:p>
        </w:tc>
        <w:tc>
          <w:tcPr>
            <w:tcW w:type="dxa" w:w="1644"/>
            <w:shd w:val="clear" w:color="auto" w:fill="F4F7FB"/>
          </w:tcPr>
          <w:p>
            <w:pPr>
              <w:spacing w:after="0"/>
            </w:pPr>
            <w:r/>
            <w:r>
              <w:rPr>
                <w:rFonts w:ascii="맑은 고딕" w:hAnsi="맑은 고딕" w:eastAsia="맑은 고딕" w:cs="맑은 고딕"/>
                <w:b w:val="0"/>
                <w:sz w:val="18"/>
              </w:rPr>
              <w:t>부록 9 (30)</w:t>
            </w:r>
          </w:p>
        </w:tc>
      </w:tr>
      <w:tr>
        <w:tc>
          <w:tcPr>
            <w:tcW w:type="dxa" w:w="4195"/>
          </w:tcPr>
          <w:p>
            <w:pPr>
              <w:spacing w:after="0"/>
            </w:pPr>
            <w:r/>
            <w:r>
              <w:rPr>
                <w:rFonts w:ascii="맑은 고딕" w:hAnsi="맑은 고딕" w:eastAsia="맑은 고딕" w:cs="맑은 고딕"/>
                <w:b/>
                <w:sz w:val="18"/>
              </w:rPr>
              <w:t>RQ2 출원의 무게중심 이동(연도별 예측확률)</w:t>
            </w:r>
          </w:p>
        </w:tc>
        <w:tc>
          <w:tcPr>
            <w:tcW w:type="dxa" w:w="2041"/>
          </w:tcPr>
          <w:p>
            <w:pPr>
              <w:spacing w:after="0"/>
            </w:pPr>
            <w:r/>
            <w:r>
              <w:rPr>
                <w:rFonts w:ascii="맑은 고딕" w:hAnsi="맑은 고딕" w:eastAsia="맑은 고딕" w:cs="맑은 고딕"/>
                <w:b w:val="0"/>
                <w:sz w:val="18"/>
              </w:rPr>
              <w:t>본문 26</w:t>
            </w:r>
          </w:p>
        </w:tc>
        <w:tc>
          <w:tcPr>
            <w:tcW w:type="dxa" w:w="1644"/>
          </w:tcPr>
          <w:p>
            <w:pPr>
              <w:spacing w:after="0"/>
            </w:pPr>
            <w:r/>
            <w:r>
              <w:rPr>
                <w:rFonts w:ascii="맑은 고딕" w:hAnsi="맑은 고딕" w:eastAsia="맑은 고딕" w:cs="맑은 고딕"/>
                <w:b w:val="0"/>
                <w:sz w:val="18"/>
              </w:rPr>
              <w:t>부록 4 (35)</w:t>
            </w:r>
          </w:p>
        </w:tc>
        <w:tc>
          <w:tcPr>
            <w:tcW w:type="dxa" w:w="1644"/>
          </w:tcPr>
          <w:p>
            <w:pPr>
              <w:spacing w:after="0"/>
            </w:pPr>
            <w:r/>
            <w:r>
              <w:rPr>
                <w:rFonts w:ascii="맑은 고딕" w:hAnsi="맑은 고딕" w:eastAsia="맑은 고딕" w:cs="맑은 고딕"/>
                <w:b w:val="0"/>
                <w:sz w:val="18"/>
              </w:rPr>
              <w:t>부록 10 (31)</w:t>
            </w:r>
          </w:p>
        </w:tc>
      </w:tr>
      <w:tr>
        <w:tc>
          <w:tcPr>
            <w:tcW w:type="dxa" w:w="4195"/>
            <w:shd w:val="clear" w:color="auto" w:fill="F4F7FB"/>
          </w:tcPr>
          <w:p>
            <w:pPr>
              <w:spacing w:after="0"/>
            </w:pPr>
            <w:r/>
            <w:r>
              <w:rPr>
                <w:rFonts w:ascii="맑은 고딕" w:hAnsi="맑은 고딕" w:eastAsia="맑은 고딕" w:cs="맑은 고딕"/>
                <w:b/>
                <w:sz w:val="18"/>
              </w:rPr>
              <w:t>강건성 검증 요약(표 13 · 14 종합)</w:t>
            </w:r>
          </w:p>
        </w:tc>
        <w:tc>
          <w:tcPr>
            <w:tcW w:type="dxa" w:w="2041"/>
            <w:shd w:val="clear" w:color="auto" w:fill="F4F7FB"/>
          </w:tcPr>
          <w:p>
            <w:pPr>
              <w:spacing w:after="0"/>
            </w:pPr>
            <w:r/>
            <w:r>
              <w:rPr>
                <w:rFonts w:ascii="맑은 고딕" w:hAnsi="맑은 고딕" w:eastAsia="맑은 고딕" w:cs="맑은 고딕"/>
                <w:b w:val="0"/>
                <w:sz w:val="18"/>
              </w:rPr>
              <w:t>본문 34</w:t>
            </w:r>
          </w:p>
        </w:tc>
        <w:tc>
          <w:tcPr>
            <w:tcW w:type="dxa" w:w="1644"/>
            <w:shd w:val="clear" w:color="auto" w:fill="F4F7FB"/>
          </w:tcPr>
          <w:p>
            <w:pPr>
              <w:spacing w:after="0"/>
            </w:pPr>
            <w:r/>
            <w:r>
              <w:rPr>
                <w:rFonts w:ascii="맑은 고딕" w:hAnsi="맑은 고딕" w:eastAsia="맑은 고딕" w:cs="맑은 고딕"/>
                <w:b w:val="0"/>
                <w:sz w:val="18"/>
              </w:rPr>
              <w:t>본문 24</w:t>
            </w:r>
          </w:p>
        </w:tc>
        <w:tc>
          <w:tcPr>
            <w:tcW w:type="dxa" w:w="1644"/>
            <w:shd w:val="clear" w:color="auto" w:fill="F4F7FB"/>
          </w:tcPr>
          <w:p>
            <w:pPr>
              <w:spacing w:after="0"/>
            </w:pPr>
            <w:r/>
            <w:r>
              <w:rPr>
                <w:rFonts w:ascii="맑은 고딕" w:hAnsi="맑은 고딕" w:eastAsia="맑은 고딕" w:cs="맑은 고딕"/>
                <w:b w:val="0"/>
                <w:sz w:val="18"/>
              </w:rPr>
              <w:t>부록 11 (32)</w:t>
            </w:r>
          </w:p>
        </w:tc>
      </w:tr>
      <w:tr>
        <w:tc>
          <w:tcPr>
            <w:tcW w:type="dxa" w:w="4195"/>
          </w:tcPr>
          <w:p>
            <w:pPr>
              <w:spacing w:after="0"/>
            </w:pPr>
            <w:r/>
            <w:r>
              <w:rPr>
                <w:rFonts w:ascii="맑은 고딕" w:hAnsi="맑은 고딕" w:eastAsia="맑은 고딕" w:cs="맑은 고딕"/>
                <w:b/>
                <w:sz w:val="18"/>
              </w:rPr>
              <w:t>산업적 함의: 흔들리는 분업의 인터페이스</w:t>
            </w:r>
          </w:p>
        </w:tc>
        <w:tc>
          <w:tcPr>
            <w:tcW w:type="dxa" w:w="2041"/>
          </w:tcPr>
          <w:p>
            <w:pPr>
              <w:spacing w:after="0"/>
            </w:pPr>
            <w:r/>
            <w:r>
              <w:rPr>
                <w:rFonts w:ascii="맑은 고딕" w:hAnsi="맑은 고딕" w:eastAsia="맑은 고딕" w:cs="맑은 고딕"/>
                <w:b w:val="0"/>
                <w:sz w:val="18"/>
              </w:rPr>
              <w:t>본문 37</w:t>
            </w:r>
          </w:p>
        </w:tc>
        <w:tc>
          <w:tcPr>
            <w:tcW w:type="dxa" w:w="1644"/>
          </w:tcPr>
          <w:p>
            <w:pPr>
              <w:spacing w:after="0"/>
            </w:pPr>
            <w:r/>
            <w:r>
              <w:rPr>
                <w:rFonts w:ascii="맑은 고딕" w:hAnsi="맑은 고딕" w:eastAsia="맑은 고딕" w:cs="맑은 고딕"/>
                <w:b w:val="0"/>
                <w:sz w:val="18"/>
              </w:rPr>
              <w:t>본문 27</w:t>
            </w:r>
          </w:p>
        </w:tc>
        <w:tc>
          <w:tcPr>
            <w:tcW w:type="dxa" w:w="1644"/>
          </w:tcPr>
          <w:p>
            <w:pPr>
              <w:spacing w:after="0"/>
            </w:pPr>
            <w:r/>
            <w:r>
              <w:rPr>
                <w:rFonts w:ascii="맑은 고딕" w:hAnsi="맑은 고딕" w:eastAsia="맑은 고딕" w:cs="맑은 고딕"/>
                <w:b w:val="0"/>
                <w:sz w:val="18"/>
              </w:rPr>
              <w:t>부록 12 (33)</w:t>
            </w:r>
          </w:p>
        </w:tc>
      </w:tr>
      <w:tr>
        <w:tc>
          <w:tcPr>
            <w:tcW w:type="dxa" w:w="4195"/>
            <w:shd w:val="clear" w:color="auto" w:fill="F4F7FB"/>
          </w:tcPr>
          <w:p>
            <w:pPr>
              <w:spacing w:after="0"/>
            </w:pPr>
            <w:r/>
            <w:r>
              <w:rPr>
                <w:rFonts w:ascii="맑은 고딕" w:hAnsi="맑은 고딕" w:eastAsia="맑은 고딕" w:cs="맑은 고딕"/>
                <w:b/>
                <w:sz w:val="18"/>
              </w:rPr>
              <w:t>실무적 시사점(세 가지)</w:t>
            </w:r>
          </w:p>
        </w:tc>
        <w:tc>
          <w:tcPr>
            <w:tcW w:type="dxa" w:w="2041"/>
            <w:shd w:val="clear" w:color="auto" w:fill="F4F7FB"/>
          </w:tcPr>
          <w:p>
            <w:pPr>
              <w:spacing w:after="0"/>
            </w:pPr>
            <w:r/>
            <w:r>
              <w:rPr>
                <w:rFonts w:ascii="맑은 고딕" w:hAnsi="맑은 고딕" w:eastAsia="맑은 고딕" w:cs="맑은 고딕"/>
                <w:b w:val="0"/>
                <w:sz w:val="18"/>
              </w:rPr>
              <w:t>본문 38</w:t>
            </w:r>
          </w:p>
        </w:tc>
        <w:tc>
          <w:tcPr>
            <w:tcW w:type="dxa" w:w="1644"/>
            <w:shd w:val="clear" w:color="auto" w:fill="F4F7FB"/>
          </w:tcPr>
          <w:p>
            <w:pPr>
              <w:spacing w:after="0"/>
            </w:pPr>
            <w:r/>
            <w:r>
              <w:rPr>
                <w:rFonts w:ascii="맑은 고딕" w:hAnsi="맑은 고딕" w:eastAsia="맑은 고딕" w:cs="맑은 고딕"/>
                <w:b w:val="0"/>
                <w:sz w:val="18"/>
              </w:rPr>
              <w:t>본문 28</w:t>
            </w:r>
          </w:p>
        </w:tc>
        <w:tc>
          <w:tcPr>
            <w:tcW w:type="dxa" w:w="1644"/>
            <w:shd w:val="clear" w:color="auto" w:fill="F4F7FB"/>
          </w:tcPr>
          <w:p>
            <w:pPr>
              <w:spacing w:after="0"/>
            </w:pPr>
            <w:r/>
            <w:r>
              <w:rPr>
                <w:rFonts w:ascii="맑은 고딕" w:hAnsi="맑은 고딕" w:eastAsia="맑은 고딕" w:cs="맑은 고딕"/>
                <w:b w:val="0"/>
                <w:sz w:val="18"/>
              </w:rPr>
              <w:t>부록 13 (34)</w:t>
            </w:r>
          </w:p>
        </w:tc>
      </w:tr>
      <w:tr>
        <w:tc>
          <w:tcPr>
            <w:tcW w:type="dxa" w:w="4195"/>
          </w:tcPr>
          <w:p>
            <w:pPr>
              <w:spacing w:after="0"/>
            </w:pPr>
            <w:r/>
            <w:r>
              <w:rPr>
                <w:rFonts w:ascii="맑은 고딕" w:hAnsi="맑은 고딕" w:eastAsia="맑은 고딕" w:cs="맑은 고딕"/>
                <w:b/>
                <w:sz w:val="18"/>
              </w:rPr>
              <w:t>한계점과 향후 연구 방향</w:t>
            </w:r>
          </w:p>
        </w:tc>
        <w:tc>
          <w:tcPr>
            <w:tcW w:type="dxa" w:w="2041"/>
          </w:tcPr>
          <w:p>
            <w:pPr>
              <w:spacing w:after="0"/>
            </w:pPr>
            <w:r/>
            <w:r>
              <w:rPr>
                <w:rFonts w:ascii="맑은 고딕" w:hAnsi="맑은 고딕" w:eastAsia="맑은 고딕" w:cs="맑은 고딕"/>
                <w:b w:val="0"/>
                <w:sz w:val="18"/>
              </w:rPr>
              <w:t>본문 39</w:t>
            </w:r>
          </w:p>
        </w:tc>
        <w:tc>
          <w:tcPr>
            <w:tcW w:type="dxa" w:w="1644"/>
          </w:tcPr>
          <w:p>
            <w:pPr>
              <w:spacing w:after="0"/>
            </w:pPr>
            <w:r/>
            <w:r>
              <w:rPr>
                <w:rFonts w:ascii="맑은 고딕" w:hAnsi="맑은 고딕" w:eastAsia="맑은 고딕" w:cs="맑은 고딕"/>
                <w:b w:val="0"/>
                <w:sz w:val="18"/>
              </w:rPr>
              <w:t>본문 29</w:t>
            </w:r>
          </w:p>
        </w:tc>
        <w:tc>
          <w:tcPr>
            <w:tcW w:type="dxa" w:w="1644"/>
          </w:tcPr>
          <w:p>
            <w:pPr>
              <w:spacing w:after="0"/>
            </w:pPr>
            <w:r/>
            <w:r>
              <w:rPr>
                <w:rFonts w:ascii="맑은 고딕" w:hAnsi="맑은 고딕" w:eastAsia="맑은 고딕" w:cs="맑은 고딕"/>
                <w:b w:val="0"/>
                <w:sz w:val="18"/>
              </w:rPr>
              <w:t>부록 14 (35)</w:t>
            </w:r>
          </w:p>
        </w:tc>
      </w:tr>
      <w:tr>
        <w:tc>
          <w:tcPr>
            <w:tcW w:type="dxa" w:w="4195"/>
            <w:shd w:val="clear" w:color="auto" w:fill="F4F7FB"/>
          </w:tcPr>
          <w:p>
            <w:pPr>
              <w:spacing w:after="0"/>
            </w:pPr>
            <w:r/>
            <w:r>
              <w:rPr>
                <w:rFonts w:ascii="맑은 고딕" w:hAnsi="맑은 고딕" w:eastAsia="맑은 고딕" w:cs="맑은 고딕"/>
                <w:b/>
                <w:sz w:val="18"/>
              </w:rPr>
              <w:t>솔더 범프와 하이브리드 본딩 비교</w:t>
            </w:r>
          </w:p>
        </w:tc>
        <w:tc>
          <w:tcPr>
            <w:tcW w:type="dxa" w:w="2041"/>
            <w:shd w:val="clear" w:color="auto" w:fill="F4F7FB"/>
          </w:tcPr>
          <w:p>
            <w:pPr>
              <w:spacing w:after="0"/>
            </w:pPr>
            <w:r/>
            <w:r>
              <w:rPr>
                <w:rFonts w:ascii="맑은 고딕" w:hAnsi="맑은 고딕" w:eastAsia="맑은 고딕" w:cs="맑은 고딕"/>
                <w:b w:val="0"/>
                <w:sz w:val="18"/>
              </w:rPr>
              <w:t>본문 6</w:t>
            </w:r>
          </w:p>
        </w:tc>
        <w:tc>
          <w:tcPr>
            <w:tcW w:type="dxa" w:w="1644"/>
            <w:shd w:val="clear" w:color="auto" w:fill="F4F7FB"/>
          </w:tcPr>
          <w:p>
            <w:pPr>
              <w:spacing w:after="0"/>
            </w:pPr>
            <w:r/>
            <w:r>
              <w:rPr>
                <w:rFonts w:ascii="맑은 고딕" w:hAnsi="맑은 고딕" w:eastAsia="맑은 고딕" w:cs="맑은 고딕"/>
                <w:b w:val="0"/>
                <w:sz w:val="18"/>
              </w:rPr>
              <w:t>부록 6 (37)</w:t>
            </w:r>
          </w:p>
        </w:tc>
        <w:tc>
          <w:tcPr>
            <w:tcW w:type="dxa" w:w="1644"/>
            <w:shd w:val="clear" w:color="auto" w:fill="F4F7FB"/>
          </w:tcPr>
          <w:p>
            <w:pPr>
              <w:spacing w:after="0"/>
            </w:pPr>
            <w:r/>
            <w:r>
              <w:rPr>
                <w:rFonts w:ascii="맑은 고딕" w:hAnsi="맑은 고딕" w:eastAsia="맑은 고딕" w:cs="맑은 고딕"/>
                <w:b w:val="0"/>
                <w:sz w:val="18"/>
              </w:rPr>
              <w:t>—</w:t>
            </w:r>
          </w:p>
        </w:tc>
      </w:tr>
      <w:tr>
        <w:tc>
          <w:tcPr>
            <w:tcW w:type="dxa" w:w="4195"/>
          </w:tcPr>
          <w:p>
            <w:pPr>
              <w:spacing w:after="0"/>
            </w:pPr>
            <w:r/>
            <w:r>
              <w:rPr>
                <w:rFonts w:ascii="맑은 고딕" w:hAnsi="맑은 고딕" w:eastAsia="맑은 고딕" w:cs="맑은 고딕"/>
                <w:b/>
                <w:sz w:val="18"/>
              </w:rPr>
              <w:t>검색 전략과 자료의 특성(표 2)</w:t>
            </w:r>
          </w:p>
        </w:tc>
        <w:tc>
          <w:tcPr>
            <w:tcW w:type="dxa" w:w="2041"/>
          </w:tcPr>
          <w:p>
            <w:pPr>
              <w:spacing w:after="0"/>
            </w:pPr>
            <w:r/>
            <w:r>
              <w:rPr>
                <w:rFonts w:ascii="맑은 고딕" w:hAnsi="맑은 고딕" w:eastAsia="맑은 고딕" w:cs="맑은 고딕"/>
                <w:b w:val="0"/>
                <w:sz w:val="18"/>
              </w:rPr>
              <w:t>부록 2 (43)</w:t>
            </w:r>
          </w:p>
        </w:tc>
        <w:tc>
          <w:tcPr>
            <w:tcW w:type="dxa" w:w="1644"/>
          </w:tcPr>
          <w:p>
            <w:pPr>
              <w:spacing w:after="0"/>
            </w:pPr>
            <w:r/>
            <w:r>
              <w:rPr>
                <w:rFonts w:ascii="맑은 고딕" w:hAnsi="맑은 고딕" w:eastAsia="맑은 고딕" w:cs="맑은 고딕"/>
                <w:b w:val="0"/>
                <w:sz w:val="18"/>
              </w:rPr>
              <w:t>부록 7 (38)</w:t>
            </w:r>
          </w:p>
        </w:tc>
        <w:tc>
          <w:tcPr>
            <w:tcW w:type="dxa" w:w="1644"/>
          </w:tcPr>
          <w:p>
            <w:pPr>
              <w:spacing w:after="0"/>
            </w:pPr>
            <w:r/>
            <w:r>
              <w:rPr>
                <w:rFonts w:ascii="맑은 고딕" w:hAnsi="맑은 고딕" w:eastAsia="맑은 고딕" w:cs="맑은 고딕"/>
                <w:b w:val="0"/>
                <w:sz w:val="18"/>
              </w:rPr>
              <w:t>부록 15 (36)</w:t>
            </w:r>
          </w:p>
        </w:tc>
      </w:tr>
      <w:tr>
        <w:tc>
          <w:tcPr>
            <w:tcW w:type="dxa" w:w="4195"/>
            <w:shd w:val="clear" w:color="auto" w:fill="F4F7FB"/>
          </w:tcPr>
          <w:p>
            <w:pPr>
              <w:spacing w:after="0"/>
            </w:pPr>
            <w:r/>
            <w:r>
              <w:rPr>
                <w:rFonts w:ascii="맑은 고딕" w:hAnsi="맑은 고딕" w:eastAsia="맑은 고딕" w:cs="맑은 고딕"/>
                <w:b/>
                <w:sz w:val="18"/>
              </w:rPr>
              <w:t>변수 정의와 기술통계(표 4)</w:t>
            </w:r>
          </w:p>
        </w:tc>
        <w:tc>
          <w:tcPr>
            <w:tcW w:type="dxa" w:w="2041"/>
            <w:shd w:val="clear" w:color="auto" w:fill="F4F7FB"/>
          </w:tcPr>
          <w:p>
            <w:pPr>
              <w:spacing w:after="0"/>
            </w:pPr>
            <w:r/>
            <w:r>
              <w:rPr>
                <w:rFonts w:ascii="맑은 고딕" w:hAnsi="맑은 고딕" w:eastAsia="맑은 고딕" w:cs="맑은 고딕"/>
                <w:b w:val="0"/>
                <w:sz w:val="18"/>
              </w:rPr>
              <w:t>부록 3 (44)</w:t>
            </w:r>
          </w:p>
        </w:tc>
        <w:tc>
          <w:tcPr>
            <w:tcW w:type="dxa" w:w="1644"/>
            <w:shd w:val="clear" w:color="auto" w:fill="F4F7FB"/>
          </w:tcPr>
          <w:p>
            <w:pPr>
              <w:spacing w:after="0"/>
            </w:pPr>
            <w:r/>
            <w:r>
              <w:rPr>
                <w:rFonts w:ascii="맑은 고딕" w:hAnsi="맑은 고딕" w:eastAsia="맑은 고딕" w:cs="맑은 고딕"/>
                <w:b w:val="0"/>
                <w:sz w:val="18"/>
              </w:rPr>
              <w:t>부록 8 (39)</w:t>
            </w:r>
          </w:p>
        </w:tc>
        <w:tc>
          <w:tcPr>
            <w:tcW w:type="dxa" w:w="1644"/>
            <w:shd w:val="clear" w:color="auto" w:fill="F4F7FB"/>
          </w:tcPr>
          <w:p>
            <w:pPr>
              <w:spacing w:after="0"/>
            </w:pPr>
            <w:r/>
            <w:r>
              <w:rPr>
                <w:rFonts w:ascii="맑은 고딕" w:hAnsi="맑은 고딕" w:eastAsia="맑은 고딕" w:cs="맑은 고딕"/>
                <w:b w:val="0"/>
                <w:sz w:val="18"/>
              </w:rPr>
              <w:t>부록 16 (37)</w:t>
            </w:r>
          </w:p>
        </w:tc>
      </w:tr>
      <w:tr>
        <w:tc>
          <w:tcPr>
            <w:tcW w:type="dxa" w:w="4195"/>
          </w:tcPr>
          <w:p>
            <w:pPr>
              <w:spacing w:after="0"/>
            </w:pPr>
            <w:r/>
            <w:r>
              <w:rPr>
                <w:rFonts w:ascii="맑은 고딕" w:hAnsi="맑은 고딕" w:eastAsia="맑은 고딕" w:cs="맑은 고딕"/>
                <w:b/>
                <w:sz w:val="18"/>
              </w:rPr>
              <w:t>기술 클러스터와 네트워크(표 5 · 6)</w:t>
            </w:r>
          </w:p>
        </w:tc>
        <w:tc>
          <w:tcPr>
            <w:tcW w:type="dxa" w:w="2041"/>
          </w:tcPr>
          <w:p>
            <w:pPr>
              <w:spacing w:after="0"/>
            </w:pPr>
            <w:r/>
            <w:r>
              <w:rPr>
                <w:rFonts w:ascii="맑은 고딕" w:hAnsi="맑은 고딕" w:eastAsia="맑은 고딕" w:cs="맑은 고딕"/>
                <w:b w:val="0"/>
                <w:sz w:val="18"/>
              </w:rPr>
              <w:t>부록 4 (45)</w:t>
            </w:r>
          </w:p>
        </w:tc>
        <w:tc>
          <w:tcPr>
            <w:tcW w:type="dxa" w:w="1644"/>
          </w:tcPr>
          <w:p>
            <w:pPr>
              <w:spacing w:after="0"/>
            </w:pPr>
            <w:r/>
            <w:r>
              <w:rPr>
                <w:rFonts w:ascii="맑은 고딕" w:hAnsi="맑은 고딕" w:eastAsia="맑은 고딕" w:cs="맑은 고딕"/>
                <w:b w:val="0"/>
                <w:sz w:val="18"/>
              </w:rPr>
              <w:t>부록 9 (40)</w:t>
            </w:r>
          </w:p>
        </w:tc>
        <w:tc>
          <w:tcPr>
            <w:tcW w:type="dxa" w:w="1644"/>
          </w:tcPr>
          <w:p>
            <w:pPr>
              <w:spacing w:after="0"/>
            </w:pPr>
            <w:r/>
            <w:r>
              <w:rPr>
                <w:rFonts w:ascii="맑은 고딕" w:hAnsi="맑은 고딕" w:eastAsia="맑은 고딕" w:cs="맑은 고딕"/>
                <w:b w:val="0"/>
                <w:sz w:val="18"/>
              </w:rPr>
              <w:t>부록 17 (38)</w:t>
            </w:r>
          </w:p>
        </w:tc>
      </w:tr>
      <w:tr>
        <w:tc>
          <w:tcPr>
            <w:tcW w:type="dxa" w:w="4195"/>
            <w:shd w:val="clear" w:color="auto" w:fill="F4F7FB"/>
          </w:tcPr>
          <w:p>
            <w:pPr>
              <w:spacing w:after="0"/>
            </w:pPr>
            <w:r/>
            <w:r>
              <w:rPr>
                <w:rFonts w:ascii="맑은 고딕" w:hAnsi="맑은 고딕" w:eastAsia="맑은 고딕" w:cs="맑은 고딕"/>
                <w:b/>
                <w:sz w:val="18"/>
              </w:rPr>
              <w:t>이항 · 다항 로짓 결과(표 8 · 9)</w:t>
            </w:r>
          </w:p>
        </w:tc>
        <w:tc>
          <w:tcPr>
            <w:tcW w:type="dxa" w:w="2041"/>
            <w:shd w:val="clear" w:color="auto" w:fill="F4F7FB"/>
          </w:tcPr>
          <w:p>
            <w:pPr>
              <w:spacing w:after="0"/>
            </w:pPr>
            <w:r/>
            <w:r>
              <w:rPr>
                <w:rFonts w:ascii="맑은 고딕" w:hAnsi="맑은 고딕" w:eastAsia="맑은 고딕" w:cs="맑은 고딕"/>
                <w:b w:val="0"/>
                <w:sz w:val="18"/>
              </w:rPr>
              <w:t>부록 5 (46)</w:t>
            </w:r>
          </w:p>
        </w:tc>
        <w:tc>
          <w:tcPr>
            <w:tcW w:type="dxa" w:w="1644"/>
            <w:shd w:val="clear" w:color="auto" w:fill="F4F7FB"/>
          </w:tcPr>
          <w:p>
            <w:pPr>
              <w:spacing w:after="0"/>
            </w:pPr>
            <w:r/>
            <w:r>
              <w:rPr>
                <w:rFonts w:ascii="맑은 고딕" w:hAnsi="맑은 고딕" w:eastAsia="맑은 고딕" w:cs="맑은 고딕"/>
                <w:b w:val="0"/>
                <w:sz w:val="18"/>
              </w:rPr>
              <w:t>부록 10 (41)</w:t>
            </w:r>
          </w:p>
        </w:tc>
        <w:tc>
          <w:tcPr>
            <w:tcW w:type="dxa" w:w="1644"/>
            <w:shd w:val="clear" w:color="auto" w:fill="F4F7FB"/>
          </w:tcPr>
          <w:p>
            <w:pPr>
              <w:spacing w:after="0"/>
            </w:pPr>
            <w:r/>
            <w:r>
              <w:rPr>
                <w:rFonts w:ascii="맑은 고딕" w:hAnsi="맑은 고딕" w:eastAsia="맑은 고딕" w:cs="맑은 고딕"/>
                <w:b w:val="0"/>
                <w:sz w:val="18"/>
              </w:rPr>
              <w:t>부록 18 (39)</w:t>
            </w:r>
          </w:p>
        </w:tc>
      </w:tr>
      <w:tr>
        <w:tc>
          <w:tcPr>
            <w:tcW w:type="dxa" w:w="4195"/>
          </w:tcPr>
          <w:p>
            <w:pPr>
              <w:spacing w:after="0"/>
            </w:pPr>
            <w:r/>
            <w:r>
              <w:rPr>
                <w:rFonts w:ascii="맑은 고딕" w:hAnsi="맑은 고딕" w:eastAsia="맑은 고딕" w:cs="맑은 고딕"/>
                <w:b/>
                <w:sz w:val="18"/>
              </w:rPr>
              <w:t>핵심 기술 모형 세부(표 11)</w:t>
            </w:r>
          </w:p>
        </w:tc>
        <w:tc>
          <w:tcPr>
            <w:tcW w:type="dxa" w:w="2041"/>
          </w:tcPr>
          <w:p>
            <w:pPr>
              <w:spacing w:after="0"/>
            </w:pPr>
            <w:r/>
            <w:r>
              <w:rPr>
                <w:rFonts w:ascii="맑은 고딕" w:hAnsi="맑은 고딕" w:eastAsia="맑은 고딕" w:cs="맑은 고딕"/>
                <w:b w:val="0"/>
                <w:sz w:val="18"/>
              </w:rPr>
              <w:t>부록 6 (47)</w:t>
            </w:r>
          </w:p>
        </w:tc>
        <w:tc>
          <w:tcPr>
            <w:tcW w:type="dxa" w:w="1644"/>
          </w:tcPr>
          <w:p>
            <w:pPr>
              <w:spacing w:after="0"/>
            </w:pPr>
            <w:r/>
            <w:r>
              <w:rPr>
                <w:rFonts w:ascii="맑은 고딕" w:hAnsi="맑은 고딕" w:eastAsia="맑은 고딕" w:cs="맑은 고딕"/>
                <w:b w:val="0"/>
                <w:sz w:val="18"/>
              </w:rPr>
              <w:t>부록 11 (42)</w:t>
            </w:r>
          </w:p>
        </w:tc>
        <w:tc>
          <w:tcPr>
            <w:tcW w:type="dxa" w:w="1644"/>
          </w:tcPr>
          <w:p>
            <w:pPr>
              <w:spacing w:after="0"/>
            </w:pPr>
            <w:r/>
            <w:r>
              <w:rPr>
                <w:rFonts w:ascii="맑은 고딕" w:hAnsi="맑은 고딕" w:eastAsia="맑은 고딕" w:cs="맑은 고딕"/>
                <w:b w:val="0"/>
                <w:sz w:val="18"/>
              </w:rPr>
              <w:t>부록 19 (40)</w:t>
            </w:r>
          </w:p>
        </w:tc>
      </w:tr>
      <w:tr>
        <w:tc>
          <w:tcPr>
            <w:tcW w:type="dxa" w:w="4195"/>
            <w:shd w:val="clear" w:color="auto" w:fill="F4F7FB"/>
          </w:tcPr>
          <w:p>
            <w:pPr>
              <w:spacing w:after="0"/>
            </w:pPr>
            <w:r/>
            <w:r>
              <w:rPr>
                <w:rFonts w:ascii="맑은 고딕" w:hAnsi="맑은 고딕" w:eastAsia="맑은 고딕" w:cs="맑은 고딕"/>
                <w:b/>
                <w:sz w:val="18"/>
              </w:rPr>
              <w:t>다항 로짓 재추정(표 13)</w:t>
            </w:r>
          </w:p>
        </w:tc>
        <w:tc>
          <w:tcPr>
            <w:tcW w:type="dxa" w:w="2041"/>
            <w:shd w:val="clear" w:color="auto" w:fill="F4F7FB"/>
          </w:tcPr>
          <w:p>
            <w:pPr>
              <w:spacing w:after="0"/>
            </w:pPr>
            <w:r/>
            <w:r>
              <w:rPr>
                <w:rFonts w:ascii="맑은 고딕" w:hAnsi="맑은 고딕" w:eastAsia="맑은 고딕" w:cs="맑은 고딕"/>
                <w:b w:val="0"/>
                <w:sz w:val="18"/>
              </w:rPr>
              <w:t>부록 7 (48)</w:t>
            </w:r>
          </w:p>
        </w:tc>
        <w:tc>
          <w:tcPr>
            <w:tcW w:type="dxa" w:w="1644"/>
            <w:shd w:val="clear" w:color="auto" w:fill="F4F7FB"/>
          </w:tcPr>
          <w:p>
            <w:pPr>
              <w:spacing w:after="0"/>
            </w:pPr>
            <w:r/>
            <w:r>
              <w:rPr>
                <w:rFonts w:ascii="맑은 고딕" w:hAnsi="맑은 고딕" w:eastAsia="맑은 고딕" w:cs="맑은 고딕"/>
                <w:b w:val="0"/>
                <w:sz w:val="18"/>
              </w:rPr>
              <w:t>부록 12 (43)</w:t>
            </w:r>
          </w:p>
        </w:tc>
        <w:tc>
          <w:tcPr>
            <w:tcW w:type="dxa" w:w="1644"/>
            <w:shd w:val="clear" w:color="auto" w:fill="F4F7FB"/>
          </w:tcPr>
          <w:p>
            <w:pPr>
              <w:spacing w:after="0"/>
            </w:pPr>
            <w:r/>
            <w:r>
              <w:rPr>
                <w:rFonts w:ascii="맑은 고딕" w:hAnsi="맑은 고딕" w:eastAsia="맑은 고딕" w:cs="맑은 고딕"/>
                <w:b w:val="0"/>
                <w:sz w:val="18"/>
              </w:rPr>
              <w:t>부록 20 (41)</w:t>
            </w:r>
          </w:p>
        </w:tc>
      </w:tr>
      <w:tr>
        <w:tc>
          <w:tcPr>
            <w:tcW w:type="dxa" w:w="4195"/>
          </w:tcPr>
          <w:p>
            <w:pPr>
              <w:spacing w:after="0"/>
            </w:pPr>
            <w:r/>
            <w:r>
              <w:rPr>
                <w:rFonts w:ascii="맑은 고딕" w:hAnsi="맑은 고딕" w:eastAsia="맑은 고딕" w:cs="맑은 고딕"/>
                <w:b/>
                <w:sz w:val="18"/>
              </w:rPr>
              <w:t>핵심 기술 모형 재추정(표 14)</w:t>
            </w:r>
          </w:p>
        </w:tc>
        <w:tc>
          <w:tcPr>
            <w:tcW w:type="dxa" w:w="2041"/>
          </w:tcPr>
          <w:p>
            <w:pPr>
              <w:spacing w:after="0"/>
            </w:pPr>
            <w:r/>
            <w:r>
              <w:rPr>
                <w:rFonts w:ascii="맑은 고딕" w:hAnsi="맑은 고딕" w:eastAsia="맑은 고딕" w:cs="맑은 고딕"/>
                <w:b w:val="0"/>
                <w:sz w:val="18"/>
              </w:rPr>
              <w:t>부록 8 (49)</w:t>
            </w:r>
          </w:p>
        </w:tc>
        <w:tc>
          <w:tcPr>
            <w:tcW w:type="dxa" w:w="1644"/>
          </w:tcPr>
          <w:p>
            <w:pPr>
              <w:spacing w:after="0"/>
            </w:pPr>
            <w:r/>
            <w:r>
              <w:rPr>
                <w:rFonts w:ascii="맑은 고딕" w:hAnsi="맑은 고딕" w:eastAsia="맑은 고딕" w:cs="맑은 고딕"/>
                <w:b w:val="0"/>
                <w:sz w:val="18"/>
              </w:rPr>
              <w:t>부록 13 (44)</w:t>
            </w:r>
          </w:p>
        </w:tc>
        <w:tc>
          <w:tcPr>
            <w:tcW w:type="dxa" w:w="1644"/>
          </w:tcPr>
          <w:p>
            <w:pPr>
              <w:spacing w:after="0"/>
            </w:pPr>
            <w:r/>
            <w:r>
              <w:rPr>
                <w:rFonts w:ascii="맑은 고딕" w:hAnsi="맑은 고딕" w:eastAsia="맑은 고딕" w:cs="맑은 고딕"/>
                <w:b w:val="0"/>
                <w:sz w:val="18"/>
              </w:rPr>
              <w:t>부록 21 (42)</w:t>
            </w:r>
          </w:p>
        </w:tc>
      </w:tr>
    </w:tbl>
    <w:p>
      <w:pPr>
        <w:spacing w:after="40"/>
      </w:pPr>
    </w:p>
    <w:p>
      <w:pPr>
        <w:pStyle w:val="Heading1"/>
      </w:pPr>
      <w:r>
        <w:t>8. 심사 당일 체크리스트</w:t>
      </w:r>
    </w:p>
    <w:p>
      <w:pPr>
        <w:pStyle w:val="ListBullet"/>
        <w:spacing w:after="40"/>
      </w:pPr>
      <w:r>
        <w:rPr>
          <w:rFonts w:ascii="맑은 고딕" w:hAnsi="맑은 고딕" w:eastAsia="맑은 고딕" w:cs="맑은 고딕"/>
          <w:b w:val="0"/>
          <w:sz w:val="21"/>
        </w:rPr>
        <w:t>발표 파일: defense_30min_v3.pptx, defense_20min_v2.pptx 또는 defense_15min_v2.pptx와, 글꼴이 깨질 때를 대비한 PDF 사본을 USB와 메일에 함께 준비</w:t>
      </w:r>
    </w:p>
    <w:p>
      <w:pPr>
        <w:pStyle w:val="ListBullet"/>
        <w:spacing w:after="40"/>
      </w:pPr>
      <w:r>
        <w:rPr>
          <w:rFonts w:ascii="맑은 고딕" w:hAnsi="맑은 고딕" w:eastAsia="맑은 고딕" w:cs="맑은 고딕"/>
          <w:b w:val="0"/>
          <w:sz w:val="21"/>
        </w:rPr>
        <w:t>발표 PC에 맑은 고딕이 있는지 확인(Windows 기본 글꼴). 발표자 보기(노트)가 켜지는지 미리 확인</w:t>
      </w:r>
    </w:p>
    <w:p>
      <w:pPr>
        <w:pStyle w:val="ListBullet"/>
        <w:spacing w:after="40"/>
      </w:pPr>
      <w:r>
        <w:rPr>
          <w:rFonts w:ascii="맑은 고딕" w:hAnsi="맑은 고딕" w:eastAsia="맑은 고딕" w:cs="맑은 고딕"/>
          <w:b w:val="0"/>
          <w:sz w:val="21"/>
        </w:rPr>
        <w:t>인쇄본 논문: 표 8–16, 그림 5·6, 부록 A·B에 탭을 붙여 두기</w:t>
      </w:r>
    </w:p>
    <w:p>
      <w:pPr>
        <w:pStyle w:val="ListBullet"/>
        <w:spacing w:after="40"/>
      </w:pPr>
      <w:r>
        <w:rPr>
          <w:rFonts w:ascii="맑은 고딕" w:hAnsi="맑은 고딕" w:eastAsia="맑은 고딕" w:cs="맑은 고딕"/>
          <w:b w:val="0"/>
          <w:sz w:val="21"/>
        </w:rPr>
        <w:t>이 문서의 "핵심 수치" 표를 한 장으로 인쇄해 손에 들기</w:t>
      </w:r>
    </w:p>
    <w:p>
      <w:pPr>
        <w:pStyle w:val="ListBullet"/>
        <w:spacing w:after="40"/>
      </w:pPr>
      <w:r>
        <w:rPr>
          <w:rFonts w:ascii="맑은 고딕" w:hAnsi="맑은 고딕" w:eastAsia="맑은 고딕" w:cs="맑은 고딕"/>
          <w:b w:val="0"/>
          <w:sz w:val="21"/>
        </w:rPr>
        <w:t>발표 시간 연습: 30분용은 29분, 20분용은 19분, 15분용은 13분 안에 끝나도록 두 번 이상 소리 내어 연습</w:t>
      </w:r>
    </w:p>
    <w:p>
      <w:pPr>
        <w:pStyle w:val="ListBullet"/>
        <w:spacing w:after="40"/>
      </w:pPr>
      <w:r>
        <w:rPr>
          <w:rFonts w:ascii="맑은 고딕" w:hAnsi="맑은 고딕" w:eastAsia="맑은 고딕" w:cs="맑은 고딕"/>
          <w:b w:val="0"/>
          <w:sz w:val="21"/>
        </w:rPr>
        <w:t>질의응답에서 넘길 부록 슬라이드 번호를 외워 두기(이 문서 마지막 표)</w:t>
      </w:r>
    </w:p>
    <w:p>
      <w:pPr>
        <w:pStyle w:val="ListBullet"/>
        <w:spacing w:after="40"/>
      </w:pPr>
      <w:r>
        <w:rPr>
          <w:rFonts w:ascii="맑은 고딕" w:hAnsi="맑은 고딕" w:eastAsia="맑은 고딕" w:cs="맑은 고딕"/>
          <w:b w:val="0"/>
          <w:sz w:val="21"/>
        </w:rPr>
        <w:t>심사위원이 고쳐 달라고 한 사항은 그 자리에서 메모하고, 심사 후 수정 목록으로 정리</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color w:val="5B647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맑은 고딕" w:hAnsi="맑은 고딕" w:eastAsia="맑은 고딕" w:cs="맑은 고딕"/>
      <w:b/>
      <w:bCs/>
      <w:color w:val="13294B"/>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맑은 고딕" w:hAnsi="맑은 고딕" w:eastAsia="맑은 고딕" w:cs="맑은 고딕"/>
      <w:b/>
      <w:bCs/>
      <w:color w:val="13294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맑은 고딕" w:hAnsi="맑은 고딕" w:eastAsia="맑은 고딕" w:cs="맑은 고딕"/>
      <w:b/>
      <w:bCs/>
      <w:color w:val="1329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맑은 고딕" w:hAnsi="맑은 고딕" w:eastAsia="맑은 고딕" w:cs="맑은 고딕"/>
      <w:b/>
      <w:color w:val="13294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