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보충자료-s1.-강건성-분석-전체-추정-결과"/>
    <w:p>
      <w:pPr>
        <w:pStyle w:val="Heading1"/>
      </w:pPr>
      <w:r>
        <w:t xml:space="preserve">보충자료 S1. 강건성 분석 전체 추정 결과</w:t>
      </w:r>
    </w:p>
    <w:p>
      <w:pPr>
        <w:pStyle w:val="BlockText"/>
      </w:pPr>
      <w:r>
        <w:t xml:space="preserve">본문 제4.3절과 제5.4절(표 9)의 근거. 본문 표 4–6은 이 자료의 S1.1 기준 모형과 같다. 원자료: EPO PATSTAT 추출 출원–CPC 레코드 5,277건(출원 928건). 추정: Python statsmodels(NegativeBinomial, Logit, MNLogit; Stata</w:t>
      </w:r>
      <w:r>
        <w:t xml:space="preserve"> </w:t>
      </w:r>
      <w:r>
        <w:rPr>
          <w:rStyle w:val="VerbatimChar"/>
        </w:rPr>
        <w:t xml:space="preserve">nbreg</w:t>
      </w:r>
      <w:r>
        <w:t xml:space="preserve">/</w:t>
      </w:r>
      <w:r>
        <w:rPr>
          <w:rStyle w:val="VerbatimChar"/>
        </w:rPr>
        <w:t xml:space="preserve">logit</w:t>
      </w:r>
      <w:r>
        <w:t xml:space="preserve">/</w:t>
      </w:r>
      <w:r>
        <w:rPr>
          <w:rStyle w:val="VerbatimChar"/>
        </w:rPr>
        <w:t xml:space="preserve">mlogit</w:t>
      </w:r>
      <w:r>
        <w:t xml:space="preserve">과 동일 명세). 기준 모형(본문 표 4–6)은 원 Stata 분석과 소수점 셋째 자리까지 일치한다. 아래 표의 표준오차는 로그 척도 계수의 표준오차이며(본문 표 5·6의 괄호 값은 델타법으로 계산한 비율 척도의 표준오차), 유의성은 로그 척도의 z 검정이다. * p &lt; 0.10, ** p &lt; 0.05, *** p &lt; 0.01. 출원청 기준은 미국이며, 다항 로짓의 결과 기준 범주는 조립 단독형이다.</w:t>
      </w:r>
    </w:p>
    <w:bookmarkStart w:id="9" w:name="s1.0-자료-구조와-진단-통계"/>
    <w:p>
      <w:pPr>
        <w:pStyle w:val="Heading2"/>
      </w:pPr>
      <w:r>
        <w:t xml:space="preserve">S1.0 자료 구조와 진단 통계</w:t>
      </w:r>
    </w:p>
    <w:p>
      <w:pPr>
        <w:pStyle w:val="Compact"/>
        <w:numPr>
          <w:ilvl w:val="0"/>
          <w:numId w:val="1001"/>
        </w:numPr>
      </w:pPr>
      <w:r>
        <w:t xml:space="preserve">추출 파일의 CPC 기호는 H01L21/*와 H01L24/* 두 클래스뿐이다(고유 262개). 다른 클래스(H01L2224 인덱싱 코드 등)는 추출 단계에서 보존되지 않았으므로 기술범위는 두 클래스 내부의 고유 서브그룹 수다.</w:t>
      </w:r>
    </w:p>
    <w:p>
      <w:pPr>
        <w:pStyle w:val="Compact"/>
        <w:numPr>
          <w:ilvl w:val="0"/>
          <w:numId w:val="1001"/>
        </w:numPr>
      </w:pPr>
      <w:r>
        <w:t xml:space="preserve">H01L21 레코드 1,636건의 메인그룹 구성: 웨이퍼 제조공정 그룹 905건, 장치·핸들링 그룹(21/67–21/68) 328건, 조립 단계 그룹(21/48, 21/50–21/58, 21/60, 21/78) 403건.</w:t>
      </w:r>
    </w:p>
    <w:p>
      <w:pPr>
        <w:pStyle w:val="Compact"/>
        <w:numPr>
          <w:ilvl w:val="0"/>
          <w:numId w:val="1001"/>
        </w:numPr>
      </w:pPr>
      <w:r>
        <w:t xml:space="preserve">OLS 잔차 이분산: Breusch–Pagan(설명변수 전체) χ²(8) = 99.6, p &lt; 0.001; Koenker형 LM = 39.7, p &lt; 0.001. 적합값만 넣은 보조회귀(Stata</w:t>
      </w:r>
      <w:r>
        <w:t xml:space="preserve"> </w:t>
      </w:r>
      <w:r>
        <w:rPr>
          <w:rStyle w:val="VerbatimChar"/>
        </w:rPr>
        <w:t xml:space="preserve">estat hettest</w:t>
      </w:r>
      <w:r>
        <w:t xml:space="preserve"> </w:t>
      </w:r>
      <w:r>
        <w:t xml:space="preserve">기본형)는 기각하지 못한다(χ²(1) = 0.90, p = 0.34).</w:t>
      </w:r>
    </w:p>
    <w:p>
      <w:pPr>
        <w:pStyle w:val="Compact"/>
        <w:numPr>
          <w:ilvl w:val="0"/>
          <w:numId w:val="1001"/>
        </w:numPr>
      </w:pPr>
      <w:r>
        <w:t xml:space="preserve">Poisson 대 음이항: 경계값 우도비 검정 χ̄²(01) = 596.3, p &lt; 0.001; Poisson Pearson χ²/자유도 = 2.92.</w:t>
      </w:r>
    </w:p>
    <w:p>
      <w:pPr>
        <w:pStyle w:val="Compact"/>
        <w:numPr>
          <w:ilvl w:val="0"/>
          <w:numId w:val="1001"/>
        </w:numPr>
      </w:pPr>
      <w:r>
        <w:t xml:space="preserve">이분산 로버스트(HC1) 표준오차: OLS 일본 계수 p = 0.040 → 0.191; Poisson 로버스트 표준오차 중국 0.063, 일본 0.190.</w:t>
      </w:r>
    </w:p>
    <w:bookmarkEnd w:id="9"/>
    <w:bookmarkStart w:id="10" w:name="s1.1-기준-모형본문-표-46과-동일"/>
    <w:p>
      <w:pPr>
        <w:pStyle w:val="Heading2"/>
      </w:pPr>
      <w:r>
        <w:t xml:space="preserve">S1.1 기준 모형(본문 표 4–6과 동일)</w:t>
      </w:r>
    </w:p>
    <w:p>
      <w:pPr>
        <w:pStyle w:val="FirstParagraph"/>
      </w:pPr>
      <w:r>
        <w:rPr>
          <w:b/>
          <w:bCs/>
        </w:rPr>
        <w:t xml:space="preserve">음이항(기술범위)</w:t>
      </w:r>
      <w:r>
        <w:t xml:space="preserve"> </w:t>
      </w:r>
      <w:r>
        <w:t xml:space="preserve">(N = 928; α = 0.268 (표준오차 0.020);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0.745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</w:t>
      </w:r>
      <w:r>
        <w:t xml:space="preserve"> </w:t>
      </w:r>
      <w:r>
        <w:t xml:space="preserve">(종속변수 has_process(전공정 지향); N = 928; 로그우도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0.131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0.217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</w:t>
      </w:r>
      <w:r>
        <w:t xml:space="preserve"> </w:t>
      </w:r>
      <w:r>
        <w:t xml:space="preserve">(N = 928; 로그우도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0.687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0.124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(0.557)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(0.291)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0.409</w:t>
            </w:r>
          </w:p>
        </w:tc>
      </w:tr>
    </w:tbl>
    <w:bookmarkEnd w:id="10"/>
    <w:bookmarkStart w:id="11" w:name="s1.2-이분산-로버스트-및-패밀리제목-군집-표준오차"/>
    <w:p>
      <w:pPr>
        <w:pStyle w:val="Heading2"/>
      </w:pPr>
      <w:r>
        <w:t xml:space="preserve">S1.2 이분산 로버스트 및 패밀리(제목) 군집 표준오차</w:t>
      </w:r>
    </w:p>
    <w:p>
      <w:pPr>
        <w:pStyle w:val="FirstParagraph"/>
      </w:pPr>
      <w:r>
        <w:rPr>
          <w:b/>
          <w:bCs/>
        </w:rPr>
        <w:t xml:space="preserve">음이항, HC1 로버스트 표준오차</w:t>
      </w:r>
      <w:r>
        <w:t xml:space="preserve"> </w:t>
      </w:r>
      <w:r>
        <w:t xml:space="preserve">(N = 928; α = 0.268 (표준오차 0.020);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0.875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음이항, 제목 군집 표준오차</w:t>
      </w:r>
      <w:r>
        <w:t xml:space="preserve"> </w:t>
      </w:r>
      <w:r>
        <w:t xml:space="preserve">(N = 928; α = 0.268 (표준오차 0.056);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0.833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제목 군집 표준오차</w:t>
      </w:r>
      <w:r>
        <w:t xml:space="preserve"> </w:t>
      </w:r>
      <w:r>
        <w:t xml:space="preserve">(종속변수 has_process(전공정 지향); N = 928; 로그우도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(0.041)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0.061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(0.665)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0.524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(0.623)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0.224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제목 군집 표준오차</w:t>
      </w:r>
      <w:r>
        <w:t xml:space="preserve"> </w:t>
      </w:r>
      <w:r>
        <w:t xml:space="preserve">(N = 928; 로그우도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0.737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(1.301)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0.715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0.591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0.260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0.299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점추정치는 기준 모형과 같다. 제목 군집 수 = 473.</w:t>
      </w:r>
    </w:p>
    <w:bookmarkEnd w:id="11"/>
    <w:bookmarkStart w:id="12" w:name="X8d511b287783cc4398ccc5cf088458c22505f10"/>
    <w:p>
      <w:pPr>
        <w:pStyle w:val="Heading2"/>
      </w:pPr>
      <w:r>
        <w:t xml:space="preserve">S1.3 조정 범위(breadth_adj = breadth − has_process − has_assembly)</w:t>
      </w:r>
    </w:p>
    <w:p>
      <w:pPr>
        <w:pStyle w:val="FirstParagraph"/>
      </w:pPr>
      <w:r>
        <w:rPr>
          <w:b/>
          <w:bCs/>
        </w:rPr>
        <w:t xml:space="preserve">이항 로짓, 조정 범위</w:t>
      </w:r>
      <w:r>
        <w:t xml:space="preserve"> </w:t>
      </w:r>
      <w:r>
        <w:t xml:space="preserve">(종속변수 has_process(전공정 지향); N = 928; 로그우도 = -573.7; AIC = 1167.4; AUC = 0.652)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1.467*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0.054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0.540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(0.229)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1.954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조정 범위</w:t>
      </w:r>
      <w:r>
        <w:t xml:space="preserve"> </w:t>
      </w:r>
      <w:r>
        <w:t xml:space="preserve">(N = 928; 로그우도 = -829.4; AIC = 1698.7)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0.871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2.720***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1.913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0.388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2.131*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1.053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(0.526)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0.342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0.745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2.016**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2.021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1.923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</w:tr>
    </w:tbl>
    <w:bookmarkEnd w:id="12"/>
    <w:bookmarkStart w:id="13" w:name="s1.4-2010년-이후-하위표본"/>
    <w:p>
      <w:pPr>
        <w:pStyle w:val="Heading2"/>
      </w:pPr>
      <w:r>
        <w:t xml:space="preserve">S1.4 2010년 이후 하위표본</w:t>
      </w:r>
    </w:p>
    <w:p>
      <w:pPr>
        <w:pStyle w:val="FirstParagraph"/>
      </w:pPr>
      <w:r>
        <w:rPr>
          <w:b/>
          <w:bCs/>
        </w:rPr>
        <w:t xml:space="preserve">음이항, 2010년 이후</w:t>
      </w:r>
      <w:r>
        <w:t xml:space="preserve"> </w:t>
      </w:r>
      <w:r>
        <w:t xml:space="preserve">(N = 830; α = 0.183 (표준오차 0.017); 로그우도 = -2131.7; AIC = 4283.5)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0.970***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0.794***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1.577***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0.842**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0.101</w:t>
            </w:r>
          </w:p>
        </w:tc>
      </w:tr>
    </w:tbl>
    <w:p>
      <w:pPr>
        <w:pStyle w:val="BodyText"/>
      </w:pPr>
      <w:r>
        <w:rPr>
          <w:b/>
          <w:bCs/>
        </w:rPr>
        <w:t xml:space="preserve">음이항, 2010년 이후에서 기술범위 21의 일본 출원 4건 제외</w:t>
      </w:r>
      <w:r>
        <w:t xml:space="preserve"> </w:t>
      </w:r>
      <w:r>
        <w:t xml:space="preserve">(N = 826; α = 0.178 (표준오차 0.017); 로그우도 = -2112.2; AIC = 4244.5)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0.841**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2010년 이후</w:t>
      </w:r>
      <w:r>
        <w:t xml:space="preserve"> </w:t>
      </w:r>
      <w:r>
        <w:t xml:space="preserve">(종속변수 has_process(전공정 지향); N = 830; 로그우도 = -487.3; AIC = 994.6; AUC = 0.723)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0.905***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1.676**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(0.362)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1.588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5.858*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(1.073)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0.416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(0.678)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0.683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2010년 이후</w:t>
      </w:r>
      <w:r>
        <w:t xml:space="preserve"> </w:t>
      </w:r>
      <w:r>
        <w:t xml:space="preserve">(N = 830; 로그우도 = -683.0; AIC = 1406.0)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0.934**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0.910*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2.701***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(0.290)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(0.560)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2.088*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6.795*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(1.085)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(1.456)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0.419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1.447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0.221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0.709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(0.578)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0.553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1.184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0.533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1.694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(58079.484)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2010년 이후 일본 출원청 15건은 조립 단독형 1건·통합형 13건·공정 단독형 1건이며, 기타 출원청 10건에는 공정 단독형이 없어 기타 → 공정 단독형 계수는 완전분리로 식별되지 않는다(표시된 값은 무의미).</w:t>
      </w:r>
    </w:p>
    <w:bookmarkEnd w:id="13"/>
    <w:bookmarkStart w:id="14" w:name="s1.5-기간-더미-명세와-경계-민감도"/>
    <w:p>
      <w:pPr>
        <w:pStyle w:val="Heading2"/>
      </w:pPr>
      <w:r>
        <w:t xml:space="preserve">S1.5 기간 더미 명세와 경계 민감도</w:t>
      </w:r>
    </w:p>
    <w:p>
      <w:pPr>
        <w:pStyle w:val="FirstParagraph"/>
      </w:pPr>
      <w:r>
        <w:rPr>
          <w:b/>
          <w:bCs/>
        </w:rPr>
        <w:t xml:space="preserve">다항 로짓, 기간 더미(–2014 / 2015–2019 / 2020–2024)</w:t>
      </w:r>
      <w:r>
        <w:t xml:space="preserve"> </w:t>
      </w:r>
      <w:r>
        <w:t xml:space="preserve">(N = 928; 로그우도 = -751.3)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1.397***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0.897**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1.707*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0.092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0.273***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0.762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0.319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0.101***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1.172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2.898***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0.758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1.802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0.170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1.358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0.346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2.340**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1.114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0.843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0.239**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1.306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0.856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1.145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0.617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2.034**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0.037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2.612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1.666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0.530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13.9, p = 0.0002.</w:t>
      </w:r>
    </w:p>
    <w:p>
      <w:pPr>
        <w:pStyle w:val="BodyText"/>
      </w:pPr>
      <w:r>
        <w:rPr>
          <w:b/>
          <w:bCs/>
        </w:rPr>
        <w:t xml:space="preserve">경계 1년 앞당김(–2013 / 2014–2018 / 2019–2024)</w:t>
      </w:r>
      <w:r>
        <w:t xml:space="preserve"> </w:t>
      </w:r>
      <w:r>
        <w:t xml:space="preserve">(N = 928; 로그우도 = -754.4)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0.896**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1.913*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0.061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0.367***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0.820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0.497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2.752***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1.136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0.737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1.689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0.220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1.416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2.390**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0.830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0.038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1.274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1.152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1.997**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0.163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1.576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0.575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12.7, p = 0.0004.</w:t>
      </w:r>
    </w:p>
    <w:p>
      <w:pPr>
        <w:pStyle w:val="BodyText"/>
      </w:pPr>
      <w:r>
        <w:rPr>
          <w:b/>
          <w:bCs/>
        </w:rPr>
        <w:t xml:space="preserve">경계 1년 늦춤(–2015 / 2016–2020 / 2021–2024)</w:t>
      </w:r>
      <w:r>
        <w:t xml:space="preserve"> </w:t>
      </w:r>
      <w:r>
        <w:t xml:space="preserve">(N = 928; 로그우도 = -758.8)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1.395***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0.888**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1.258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0.412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0.216***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0.639*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0.078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0.128***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1.243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0.354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2.718***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1.161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0.695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1.832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0.152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1.457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0.249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2.359**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1.096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0.865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0.272*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0.066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1.367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0.903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0.814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0.484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1.996**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0.166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1.784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0.469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12.0, p = 0.0005.</w:t>
      </w:r>
    </w:p>
    <w:bookmarkEnd w:id="14"/>
    <w:bookmarkStart w:id="15" w:name="s1.6-20232024년공개-시차-절단-제외"/>
    <w:p>
      <w:pPr>
        <w:pStyle w:val="Heading2"/>
      </w:pPr>
      <w:r>
        <w:t xml:space="preserve">S1.6 2023–2024년(공개 시차 절단) 제외</w:t>
      </w:r>
    </w:p>
    <w:p>
      <w:pPr>
        <w:pStyle w:val="FirstParagraph"/>
      </w:pPr>
      <w:r>
        <w:rPr>
          <w:b/>
          <w:bCs/>
        </w:rPr>
        <w:t xml:space="preserve">음이항, 2022년 이전</w:t>
      </w:r>
      <w:r>
        <w:t xml:space="preserve"> </w:t>
      </w:r>
      <w:r>
        <w:t xml:space="preserve">(N = 753; α = 0.289 (표준오차 0.024); 로그우도 = -2006.9; AIC = 4033.7)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1.388**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(0.153)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0.578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2022년 이전</w:t>
      </w:r>
      <w:r>
        <w:t xml:space="preserve"> </w:t>
      </w:r>
      <w:r>
        <w:t xml:space="preserve">(종속변수 has_process(전공정 지향); N = 753; 로그우도 = -426.1; AIC = 872.3; AUC = 0.733)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1.288***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1.360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0.366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0.141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1.703*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2.650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(0.684)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2022년 이전</w:t>
      </w:r>
      <w:r>
        <w:t xml:space="preserve"> </w:t>
      </w:r>
      <w:r>
        <w:t xml:space="preserve">(N = 753; 로그우도 = -607.4; AIC = 1254.7)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0.989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0.909***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1.418***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0.908*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0.077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1.651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0.116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(0.396)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1.480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1.876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1.078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0.804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2.167**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2.979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0.354</w:t>
            </w:r>
          </w:p>
        </w:tc>
      </w:tr>
    </w:tbl>
    <w:p>
      <w:pPr>
        <w:pStyle w:val="BodyText"/>
      </w:pPr>
      <w:r>
        <w:t xml:space="preserve">2023–2024년 출원 가운데 중국 출원청 39건 중 공정 단독형 18건, 미국 출원청 65건 중 3건. 출원연도별 평균 기술범위: 2019년 6.36, 2020년 6.42, 2021년 5.64, 2022년 5.40, 2023년 4.72, 2024년 4.78.</w:t>
      </w:r>
    </w:p>
    <w:bookmarkEnd w:id="15"/>
    <w:bookmarkStart w:id="16" w:name="s1.7-패밀리-중복-제거정규화한-제목당-최초-출원-1건-n-473"/>
    <w:p>
      <w:pPr>
        <w:pStyle w:val="Heading2"/>
      </w:pPr>
      <w:r>
        <w:t xml:space="preserve">S1.7 패밀리 중복 제거(정규화한 제목당 최초 출원 1건, N = 473)</w:t>
      </w:r>
    </w:p>
    <w:p>
      <w:pPr>
        <w:pStyle w:val="FirstParagraph"/>
      </w:pPr>
      <w:r>
        <w:t xml:space="preserve">유형 분포: 조립 단독형 187건(39.5%), 통합형 173건(36.6%), 공정 단독형 113건(23.9%). 같은 제목의 미국–중국 쌍 37개 중 기술범위 동일 34쌍, 전략 유형 동일 36쌍, 중국 쪽이 좁은 쌍 3개.</w:t>
      </w:r>
    </w:p>
    <w:p>
      <w:pPr>
        <w:pStyle w:val="BodyText"/>
      </w:pPr>
      <w:r>
        <w:rPr>
          <w:b/>
          <w:bCs/>
        </w:rPr>
        <w:t xml:space="preserve">음이항, 중복 제거</w:t>
      </w:r>
      <w:r>
        <w:t xml:space="preserve"> </w:t>
      </w:r>
      <w:r>
        <w:t xml:space="preserve">(N = 473; α = 0.234 (표준오차 0.028); 로그우도 = -1172.0; AIC = 2364.0)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0.506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1.111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0.479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1.342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(0.272)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중복 제거</w:t>
      </w:r>
      <w:r>
        <w:t xml:space="preserve"> </w:t>
      </w:r>
      <w:r>
        <w:t xml:space="preserve">(종속변수 has_process(전공정 지향); N = 473; 로그우도 = -301.7; AIC = 623.3; AUC = 0.645)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1.141***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1.870**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1.563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2.069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(0.526)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0.167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0.626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0.436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1.791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(0.445)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(0.393)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0.495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1.243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(0.926)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중복 제거</w:t>
      </w:r>
      <w:r>
        <w:t xml:space="preserve"> </w:t>
      </w:r>
      <w:r>
        <w:t xml:space="preserve">(N = 473; 로그우도 = -425.3; AIC = 890.6)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0.826***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(0.061)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1.429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0.462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0.236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0.708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3.485**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1.572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(0.673)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(1.222)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2.412*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0.699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0.640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1.636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0.321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(2.128)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1.847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(1.010)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</w:tr>
    </w:tbl>
    <w:bookmarkEnd w:id="16"/>
    <w:bookmarkStart w:id="17" w:name="s1.8-엄격한-전공정-정의조립-단계-메인그룹-제외-n-908"/>
    <w:p>
      <w:pPr>
        <w:pStyle w:val="Heading2"/>
      </w:pPr>
      <w:r>
        <w:t xml:space="preserve">S1.8 엄격한 전공정 정의(조립 단계 메인그룹 제외, N = 908)</w:t>
      </w:r>
    </w:p>
    <w:p>
      <w:pPr>
        <w:pStyle w:val="FirstParagraph"/>
      </w:pPr>
      <w:r>
        <w:t xml:space="preserve">유형 분포: 조립 단독형 425건, 통합형 338건, 공정 단독형 145건(두 클래스 모두 기호가 남지 않는 20건 제외). 전공정 지향 비율 52.0%. 기간별 비중(조립/통합/공정): –2014 27.2/31.2/41.6; 2015–2019 25.5/61.8/12.8; 2020–2024 61.4/29.8/8.8.</w:t>
      </w:r>
    </w:p>
    <w:p>
      <w:pPr>
        <w:pStyle w:val="BodyText"/>
      </w:pPr>
      <w:r>
        <w:rPr>
          <w:b/>
          <w:bCs/>
        </w:rPr>
        <w:t xml:space="preserve">이항 로짓, 엄격 정의</w:t>
      </w:r>
      <w:r>
        <w:t xml:space="preserve"> </w:t>
      </w:r>
      <w:r>
        <w:t xml:space="preserve">(종속변수 has_process(엄격 정의); N = 908; 로그우도 = -557.7; AIC = 1135.3; AUC = 0.710)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0.928***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1.235***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1.963***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2.027**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2.040**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0.666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1.486*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2.523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엄격 정의</w:t>
      </w:r>
      <w:r>
        <w:t xml:space="preserve"> </w:t>
      </w:r>
      <w:r>
        <w:t xml:space="preserve">(N = 908; 로그우도 = -755.9; AIC = 1551.8)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0.967**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0.898***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0.923*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0.151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3.299***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1.684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2.636**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1.763*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2.683**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0.530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1.215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0.956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0.518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2.170**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2.385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(0.758)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0.251</w:t>
            </w:r>
          </w:p>
        </w:tc>
      </w:tr>
    </w:tbl>
    <w:bookmarkEnd w:id="17"/>
    <w:bookmarkStart w:id="18" w:name="s1.9-검색어의-무관한-용법-제외n-860-제외-목록은-보충자료-s2"/>
    <w:p>
      <w:pPr>
        <w:pStyle w:val="Heading2"/>
      </w:pPr>
      <w:r>
        <w:t xml:space="preserve">S1.9 검색어의 무관한 용법 제외(N = 860; 제외 목록은 보충자료 S2)</w:t>
      </w:r>
    </w:p>
    <w:p>
      <w:pPr>
        <w:pStyle w:val="FirstParagraph"/>
      </w:pPr>
      <w:r>
        <w:rPr>
          <w:b/>
          <w:bCs/>
        </w:rPr>
        <w:t xml:space="preserve">음이항, 무관 용법 제외</w:t>
      </w:r>
      <w:r>
        <w:t xml:space="preserve"> </w:t>
      </w:r>
      <w:r>
        <w:t xml:space="preserve">(N = 860; α = 0.254 (표준오차 0.020); 로그우도 = -2270.0; AIC = 4560.0)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0.730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0.961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0.675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1.397**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0.892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0.820***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(0.169)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0.705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무관 용법 제외</w:t>
      </w:r>
      <w:r>
        <w:t xml:space="preserve"> </w:t>
      </w:r>
      <w:r>
        <w:t xml:space="preserve">(종속변수 has_process(전공정 지향); N = 860; 로그우도 = -482.8; AIC = 985.6; AUC = 0.752)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1.831***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1.169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0.656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(0.656)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1.400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1.377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(0.640)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0.408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무관 용법 제외</w:t>
      </w:r>
      <w:r>
        <w:t xml:space="preserve"> </w:t>
      </w:r>
      <w:r>
        <w:t xml:space="preserve">(N = 860; 로그우도 = -682.7; AIC = 1405.4)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0.949**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0.820***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1.384***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3.235***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1.175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(0.510)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0.296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2.294*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1.643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(1.466)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1.522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0.170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1.089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1.145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2.046*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2.051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(0.914)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</w:tr>
    </w:tbl>
    <w:bookmarkEnd w:id="18"/>
    <w:bookmarkStart w:id="19" w:name="s1.10-무관-대안의-독립성iia-간접-점검"/>
    <w:p>
      <w:pPr>
        <w:pStyle w:val="Heading2"/>
      </w:pPr>
      <w:r>
        <w:t xml:space="preserve">S1.10 무관 대안의 독립성(IIA) 간접 점검</w:t>
      </w:r>
    </w:p>
    <w:p>
      <w:pPr>
        <w:pStyle w:val="FirstParagraph"/>
      </w:pPr>
      <w:r>
        <w:t xml:space="preserve">공정 단독형을 제외한 표본(통합형 대 조립 단독형, N = 763)의 이항 로짓: 기술범위 OR 1.463, 출원연도 0.987, 중국 1.177, 한국 1.206, 대만 1.440, 일본 1.243, EPO 1.316, PCT 1.150, 기타 2.162. 본문 표 6 통합형 방정식(1.403, 0.993, 1.205, 1.166, 1.312, 1.046, 1.307, 1.126, 2.326)과 큰 차이가 없다.</w:t>
      </w:r>
    </w:p>
    <w:bookmarkEnd w:id="19"/>
    <w:bookmarkStart w:id="20" w:name="s1.11-분류-관행-점검에-쓴-집계"/>
    <w:p>
      <w:pPr>
        <w:pStyle w:val="Heading2"/>
      </w:pPr>
      <w:r>
        <w:t xml:space="preserve">S1.11 분류 관행 점검에 쓴 집계</w:t>
      </w:r>
    </w:p>
    <w:p>
      <w:pPr>
        <w:pStyle w:val="Compact"/>
        <w:numPr>
          <w:ilvl w:val="0"/>
          <w:numId w:val="1002"/>
        </w:numPr>
      </w:pPr>
      <w:r>
        <w:t xml:space="preserve">H01L24 계열 서브그룹 60개 중 2009년 이전 출원에도 부여된 기호 28개. 2015년 이후 접합 기호 보유 출원 662건 중 기존 기호 보유 비율 97.6%; 같은 기간 H01L24 레코드 중 기존 기호 비율 76.7%.</w:t>
      </w:r>
    </w:p>
    <w:p>
      <w:pPr>
        <w:pStyle w:val="Compact"/>
        <w:numPr>
          <w:ilvl w:val="0"/>
          <w:numId w:val="1002"/>
        </w:numPr>
      </w:pPr>
      <w:r>
        <w:t xml:space="preserve">출원당 H01L24 기호 수: –2014 3.03, 2015–2019 4.73, 2020–2024 3.91; H01L21 기호 수: –2014 2.12, 2015–2019 2.23, 2020–2024 1.46; 접합 기호 보유 비율: –2014 56.4%, 2015–2019 85.2%, 2020–2024 89.6%.</w:t>
      </w:r>
    </w:p>
    <w:bookmarkEnd w:id="20"/>
    <w:bookmarkStart w:id="21" w:name="s1.12-그림-46의-예측값"/>
    <w:p>
      <w:pPr>
        <w:pStyle w:val="Heading2"/>
      </w:pPr>
      <w:r>
        <w:t xml:space="preserve">S1.12 그림 4·6의 예측값</w:t>
      </w:r>
    </w:p>
    <w:p>
      <w:pPr>
        <w:pStyle w:val="Compact"/>
        <w:numPr>
          <w:ilvl w:val="0"/>
          <w:numId w:val="1003"/>
        </w:numPr>
      </w:pPr>
      <w:r>
        <w:t xml:space="preserve">그림 4(음이항, 출원연도를 표본 평균 yc = 49.7에 고정): US 5.98 [5.59, 6.39], CN 4.69 [4.23, 5.20], KR 6.08 [5.12, 7.22], TW 6.10 [5.26, 7.08], JP 7.59 [5.90, 9.77], EP 5.94 [5.15, 6.85], WO 4.94 [4.35, 5.60], Other 6.32 [4.55, 8.77].</w:t>
      </w:r>
    </w:p>
    <w:p>
      <w:pPr>
        <w:pStyle w:val="Compact"/>
        <w:numPr>
          <w:ilvl w:val="0"/>
          <w:numId w:val="1003"/>
        </w:numPr>
      </w:pPr>
      <w:r>
        <w:t xml:space="preserve">그림 6(다항 로짓, 평균 예측확률): US 0.143 [0.113, 0.177], CN 0.255 [0.202, 0.312], KR 0.209 [0.133, 0.311], TW 0.216 [0.142, 0.318], JP 0.021 [0.006, 0.069], EP 0.120 [0.069, 0.194], WO 0.217 [0.156, 0.284], Other 0.170 [0.069, 0.352]. 공변량을 평균에 고정한 예측(참고): US 0.102, CN 0.216, KR 0.166, TW 0.170, JP 0.009, EP 0.078, WO 0.176, Other 0.113.</w:t>
      </w:r>
    </w:p>
    <w:bookmarkEnd w:id="21"/>
    <w:bookmarkEnd w:id="2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2026-09-24T06:46:41Z</dcterms:created>
  <dcterms:modified xsi:type="dcterms:W3CDTF">2026-09-24T06:46:41Z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