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568aa807c87545f8509b17765e18450ecaf04f"/>
    <w:p>
      <w:pPr>
        <w:pStyle w:val="Heading1"/>
      </w:pPr>
      <w:r>
        <w:t xml:space="preserve">반도체 하이브리드 본딩 특허에 나타난 공정단계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이 논문은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늘었다. 회귀분석에서 세부 기술을 더 다양하게 포함한 출원일수록 통합형일 가능성이 높았고(상대위험비 1.40), 이 연관은 세 국면 모두에서 유지되었다. 최근 출원일수록 공정 단독형으로 분류될 상대적 가능성은 낮아져 융합의 무게중심이 접합 쪽으로 옮겨 갔다.</w:t>
      </w:r>
    </w:p>
    <w:p>
      <w:pPr>
        <w:pStyle w:val="BodyText"/>
      </w:pPr>
      <w:r>
        <w:t xml:space="preserve">기술 클러스터와 기술 네트워크 분석으로 찾은 하이브리드 본딩의 핵심 기술, 곧 접합 패드끼리 범프 없이 직접 연결하는 접합 기호 네 개를 담은 출원은 형성기에 제조공정 분류를 함께 가질 승산이 그렇지 않은 출원의 11.1배였지만, 그 차이는 확산기에 2.5배로 줄었고 재편기에는 사라졌다. 재편기의 융합은 핵심 기술이 아니라 임시 지지 기판, 봉지 같은 다이 취급 공정과의 결합에서 나타났다. 공정 단계 간 융합은 한 방향으로 쌓이기보다, 핵심 기술의 설계가 고착화되면서 융합이 일어나는 자리가 핵심에서 주변으로 옮겨 가는 방식으로 전개되었다.</w:t>
      </w:r>
    </w:p>
    <w:p>
      <w:pPr>
        <w:pStyle w:val="BodyText"/>
      </w:pPr>
      <w:r>
        <w:rPr>
          <w:b/>
          <w:bCs/>
        </w:rPr>
        <w:t xml:space="preserve">주제어:</w:t>
      </w:r>
      <w:r>
        <w:t xml:space="preserve"> </w:t>
      </w:r>
      <w:r>
        <w:t xml:space="preserve">기술융합; 공정단계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does not perform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are the largest group at 45.8%, and 37.2%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bonding-only applications increased. In the regressions, applications covering more diverse technical elements were more likely to be integrated (relative-risk ratio 1.40), and this association held in all three phases. More recent filings were relatively less likely to be classified as process-only, so the centre of gravity of convergence moved towards bonding.</w:t>
      </w:r>
    </w:p>
    <w:p>
      <w:pPr>
        <w:pStyle w:val="BodyText"/>
      </w:pPr>
      <w:r>
        <w:t xml:space="preserve">A technology cluster and network analysis identifies the core of hybrid bonding as four bonding symbols for connecting bonding pads directly, without bumps. Applications containing this core had 11.1 times the odds of also carrying fabrication-process symbols in the formation phase; the ratio fell to 2.5 in the diffusion phase and disappeared in the reconfiguration phase. In the reconfiguration phase, convergence appeared not in the core technology but in combinations with die-handling processes such as temporary carriers and encapsulation. Rather than accumulating in one direction, cross-stage convergence unfolded as the place where it occurs moved from the core of the technology to its periphery while the core design settled.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요소를 하나씩 짚어 보면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이 논문의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이 문헌의 실증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이 논문이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특허에서 제조공정과 접합 기술의 융합은 얼마나 일반적이며 시기에 따라 어떻게 전개되었는가. 둘째, 어떤 특허가 두 공정의 경계를 넘으며, 융합의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접합 단독형이 늘었다. 세 국면 모두에서 세부 기술을 더 다양하게 포함한 출원일수록 경계를 넘을 가능성이 높았고, 공정 단독형은 최근으로 올수록 드물어졌다. 기술 클러스터와 기술 네트워크로 찾은 핵심 기술, 곧 접합 패드끼리 직접 연결하는 기술을 담은 출원은 형성기에 통합형인 경우가 훨씬 많았지만 재편기에는 그 차이가 사라졌고, 제조공정과의 결합은 그 대신 다이 취급 공정에서 늘었다. 융합은 한 방향으로 쌓인 것이 아니라 핵심에서 주변으로 자리를 옮겨 간 것이다.</w:t>
      </w:r>
    </w:p>
    <w:p>
      <w:pPr>
        <w:pStyle w:val="BodyText"/>
      </w:pPr>
      <w:r>
        <w:t xml:space="preserve">이 논문의 기여는 세 가지다. 첫째, 개념적으로는 산업 간 사례에 머물던 융합 이론을 산업 내 공정 단계 간 사례로 넓히고, 융합을 정도의 증감이 아니라 내용과 자리가 바뀌는 과정으로 기술한다. 이 과정에서 반도체 산업의 분업 구조에 관한 연구(Langlois and Steinmueller, 1999; Kapoor and Adner, 2012; Kapoor, 2013)와 지배적 설계에 관한 기술 순환 이론(Anderson and Tushman, 1990)을 공정 단계 수준의 특허 증거와 연결한다. 둘째,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셋째,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가설로 검정한다.</w:t>
      </w:r>
    </w:p>
    <w:bookmarkEnd w:id="17"/>
    <w:bookmarkStart w:id="18" w:name="가설"/>
    <w:p>
      <w:pPr>
        <w:pStyle w:val="Heading3"/>
      </w:pPr>
      <w:r>
        <w:t xml:space="preserve">2.4 가설</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이루고, 기술이 확산되는 시기에는 공정 지식이 접합 발명과 결합하는 사례가 늘어난다. 이후 하나의 설계 방식이 지배적 설계로 자리 잡으면, 두 공정의 결합은 응용에 필요한 주변 공정으로 옮겨 간다. 이러한 이론적 논의에 근거하여 본 연구는 다음 세 가지 가설을 설정한다. H1은 어떤 특허가 경계를 넘는가, H2는 융합의 무게중심이 제조공정 쪽에서 접합 쪽으로 옮겨 가는가, H3은 융합이 일어나는 자리가 핵심 기술에서 주변으로 옮겨 가는가를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분류되었다. 적용 범위가 이미지센서와 3D NAND의 웨이퍼 단위 접합에서 고대역폭 메모리와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상대적 가능성이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시기에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 또는 H01L24(반도체 접합·연결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모든 기호는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접합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핵심 기술 보유(core)는 제4.4절에서 식별한 핵심 접합 기호 네 개(24/03, 24/05, 24/08, 24/80) 가운데 하나 이상을 가지면 1이다. 출원연도(yc)는 표본의 첫 출원(1968년)부터 지난 햇수이고, 출원 시기(period)는 출원이 드문 1968–2014년을 한 시기로 묶고 이후를 2015–2019년과 2020–2024년으로 나눈 세 범주다. 출원청(ccode)은 출원이 제출된 특허청 또는 출원 경로로 8개 수준이다. 출원청마다 출원 시기와 기술 구성이 다르므로 모든 모형에 통제변수로 넣되, 출원청 사이의 차이는 이 논문의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2023–2024년의 감소에는 출원 뒤 공개까지 걸리는 시차가 영향을 미쳤을 가능성이 크다.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표 5는 한 출원에 함께 부여된 기호 쌍 가운데 함께 부여된 출원이 가장 많은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H01L24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회귀 자료에서 다섯째로 많은 기호인 층 형태 커넥터를 이용한 연결(24/83)은 164건으로, 네 기호와 차이가 크다. CPC 체계에서 이 네 기호는 범프·층·와이어 같은 별도의 커넥터 없이 접합 패드 자체를 맞붙이는 갈래에 속한다. 접합 패드의 제조와 구조(24/03, 24/05, 24/08)가 그 대상이고,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 그 비중은 2014년 이전 53.5%에서 2015–2019년 78.7%, 2020–2024년 88.0%로 높아져, 발명이 점점 이 핵심 기술로 모여들었다. 핵심 기술과 함께 부여되는 제조공정 기호도 시기에 따라 달랐다. 핵심 기술을 담은 통합형 출원에서 가장 흔한 H01L21 기호는 2015–2019년에는 반도체 몸체끼리의 접합(21/187, 22건)과 기판 관통 배선(21/76898, 21건)이었고, 2020–2024년에는 임시 지지 기판을 이용한 취급(21/6835, 48건)과 봉지 공정용 임시 기판(21/568, 43건)이었다.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오즈의 배율이다. OR이 1.5이면 제조공정 분류를 가질 오즈가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상대확률비가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따라서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예측확률.</w:t>
      </w:r>
      <w:r>
        <w:t xml:space="preserve"> </w:t>
      </w:r>
      <w:r>
        <w:t xml:space="preserve">OR과 RRR은 비율 척도여서 실제 확률 변화의 크기를 보여주기 어렵다. 따라서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 제목에</w:t>
      </w:r>
      <w:r>
        <w:t xml:space="preserve"> </w:t>
      </w:r>
      <w:r>
        <w:rPr>
          <w:i/>
          <w:iCs/>
        </w:rPr>
        <w:t xml:space="preserve">hybrid bonding</w:t>
      </w:r>
      <w:r>
        <w:t xml:space="preserve">이 있는 핵심 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 제목에</w:t>
      </w:r>
      <w:r>
        <w:t xml:space="preserve"> </w:t>
      </w:r>
      <w:r>
        <w:rPr>
          <w:i/>
          <w:iCs/>
        </w:rPr>
        <w:t xml:space="preserve">hybrid bonding</w:t>
      </w:r>
      <w:r>
        <w:t xml:space="preserve">이 있는 핵심 표본은 2020년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단독형이 가장 많은 유형이 되었다. 이하에서는 세 국면을 각각 형성기, 확산기, 재편기라 부른다. 같은 세 시기에 접합 출원 가운데 핵심 기술을 담은 비중은 53.5%, 78.7%, 88.0%로 높아졌다(제4.4절). 융합이 오르내리는 동안 발명은 하나의 핵심 설계로 모여들었다.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시기별 분포에서 본 제조공정 분류의 감소는 이 모형에서도 나타난다. 출원연도의 승산비는 1보다 작아(연간 OR 0.946, p &lt; 0.01), 최근 출원일수록 제조공정 기호를 가질 승산이 낮다. 기술범위도 강하게 관련되어, 세부 분류가 하나 늘 때마다 제조공정 기호를 가질 승산이 약 27% 높아진다(OR 1.267, p &lt; 0.01). 모형의 판별력을 나타내는 ROC 곡선 하면적은 0.707로, Hosmer et al.(2013)의 기준에서 받아들일 만한 수준의 하한에 해당한다. 표 8의 이항 로짓은 제조공정 분류의 전반적 보유 여부를 확인하는 보완분석이다.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융합의-무게중심-이동"/>
    <w:p>
      <w:pPr>
        <w:pStyle w:val="Heading3"/>
      </w:pPr>
      <w:r>
        <w:t xml:space="preserve">5.2 경계를 넘는 특허와 융합의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융합의 국면과 상관없는 특징이다.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접합 단독형은 0.31에서 0.40으로 늘고 통합형은 0.43에서 0.47로 거의 변하지 않는다(그림 7 오른쪽). 표 8에서 본 제조공정 분류의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작다(RRR 0.934, p &lt; 0.05). 융합의 무게중심은 제조공정 쪽에서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6"/>
    <w:bookmarkStart w:id="47" w:name="융합-위치의-이동-핵심-기술과-공동분류-유형"/>
    <w:p>
      <w:pPr>
        <w:pStyle w:val="Heading3"/>
      </w:pPr>
      <w:r>
        <w:t xml:space="preserve">5.3 융합 위치의 이동: 핵심 기술과 공동분류 유형</w:t>
      </w:r>
    </w:p>
    <w:p>
      <w:pPr>
        <w:pStyle w:val="FirstParagraph"/>
      </w:pPr>
      <w:r>
        <w:t xml:space="preserve">표 10은 H3의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차이가 없다(승산비 0.658, p = 0.15). 이 시기의 승산비는 2014년 이전의 0.059배다(p &lt; 0.01). 핵심 기술을 담은 출원이 경계를 넘는 경향은 형성기에 뚜렷했고 재편기에는 사라졌다.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2020–2024년에 핵심 기술을 담은 통합형 출원과 함께 부여된 제조공정 기호는 주로 임시 지지 기판과 봉지 공정의 기호였으며(제4.4절), 이는 접합 원리 자체보다 다이를 취급하고 패키지로 완성하는 공정에 해당한다. 요컨대 초기에는 핵심 기술의 발명이 제조공정 지식을 함께 담았지만, 최근에는 핵심 기술이 접합 분류 안에서 독립적으로 기술되고 제조공정 지식은 다이 취급이나 패키지 공정 같은 주변 공정과 결합하는 방향으로 변화한 것으로 해석된다.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sz w:val="18"/>
                <w:szCs w:val="18"/>
              </w:rPr>
              <w:t xml:space="preserve">핵심 표본(제목에 hybrid bonding)</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 그렇다고 이 지표가 기계적 연관을 완전히 걷어낸 독립적 검정인 것은 아니다. 조정 지표 역시 유형 정보를 이용해 만들어지기 때문이다. 따라서 이 결과를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제조공정의 정의.</w:t>
      </w:r>
      <w:r>
        <w:t xml:space="preserve"> </w:t>
      </w:r>
      <w:r>
        <w:t xml:space="preserve">제4.2절에서 밝혔듯이 H01L21에는 패키징 단계의 제조공정도 들어 있다. 이를 제조공정으로 세지 않는 좁은 정의를 쓰면(어느 기호도 남지 않는 20건 제외, N = 908) 제조공정 기호를 가진 출원은 52.0%로 낮아지고,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 제목에</w:t>
      </w:r>
      <w:r>
        <w:t xml:space="preserve"> </w:t>
      </w:r>
      <w:r>
        <w:rPr>
          <w:i/>
          <w:iCs/>
        </w:rPr>
        <w:t xml:space="preserve">hybrid bonding</w:t>
      </w:r>
      <w:r>
        <w:t xml:space="preserve">이 들어 있는 핵심 표본(N = 467)에서는 통합형 49.5%, 접합 단독형 38.3%, 공정 단독형 12.2%이며, 범위 → 통합형의 상대위험비(1.485)는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핵심 기술(H3).</w:t>
      </w:r>
      <w:r>
        <w:t xml:space="preserve"> </w:t>
      </w:r>
      <w:r>
        <w:t xml:space="preserve">표 12는 H3의 재추정 결과다. 2014년 이전의 승산비가 1보다 크고, 2020–2024년의 승산비가 1과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차이가 줄어든 시점이 2015–2019년부터인지 2020–2024년인지는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패키징 단계 공정 기호만 가진 출원을 접합 단독형으로 다시 분류하므로 표본 수는 같고 통합형이 338건이 된다. 제목에</w:t>
      </w:r>
      <w:r>
        <w:t xml:space="preserve"> </w:t>
      </w:r>
      <w:r>
        <w:rPr>
          <w:i/>
          <w:iCs/>
        </w:rPr>
        <w:t xml:space="preserve">hybrid bonding</w:t>
      </w:r>
      <w:r>
        <w:t xml:space="preserve">이 있는 핵심 표본은 2020년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13은 기준 모형(표 9,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모든 재추정에서 1.295–1.485***(표 11)</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11); 다만 2015년 이전 출원이 30건뿐인 핵심 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 모두 5% 수준에서 유의(표 12)</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세 국면으로 전개된 공정 간 융합.</w:t>
      </w:r>
      <w:r>
        <w:t xml:space="preserve"> </w:t>
      </w:r>
      <w:r>
        <w:t xml:space="preserve">이 논문의 결과를 시간 순서로 엮으면 표 14와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제조공정과의 결합은 임시 지지 기판과 봉지 같은 다이 취급 공정에서 나타났다. 핵심 기술이 없는 접합 출원의 통합형 비중은 오히려 27.7%에서 56.9%로 높아졌다. 출원당 기호 수도 같은 방향이다.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14.</w:t>
      </w:r>
      <w:r>
        <w:t xml:space="preserve"> </w:t>
      </w:r>
      <w:r>
        <w:t xml:space="preserve">하이브리드 본딩에서 공정단계 간 융합의 세 국면(유형 비중은 표 7, 핵심 기술은 표 10과 제4.4절).</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08"/>
        <w:gridCol w:w="824"/>
        <w:gridCol w:w="824"/>
        <w:gridCol w:w="824"/>
        <w:gridCol w:w="1514"/>
        <w:gridCol w:w="1055"/>
        <w:gridCol w:w="2324"/>
      </w:tblGrid>
      <w:tr>
        <w:trPr>
          <w:tblHeader w:val="on"/>
          <w:cantSplit/>
        </w:trPr>
        <w:tc>
          <w:tcPr>
            <w:tcW w:type="dxa" w:w="1708"/>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14"/>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55"/>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324"/>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08"/>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14"/>
          </w:tcPr>
          <w:p>
            <w:pPr>
              <w:pStyle w:val="Compact"/>
              <w:spacing w:before="20" w:after="20" w:line="240" w:lineRule="auto"/>
              <w:jc w:val="right"/>
              <w:keepNext/>
            </w:pPr>
            <w:r>
              <w:rPr>
                <w:sz w:val="13"/>
                <w:szCs w:val="13"/>
              </w:rPr>
              <w:t xml:space="preserve">53.5</w:t>
            </w:r>
          </w:p>
        </w:tc>
        <w:tc>
          <w:tcPr>
            <w:tcW w:type="dxa" w:w="1055"/>
          </w:tcPr>
          <w:p>
            <w:pPr>
              <w:pStyle w:val="Compact"/>
              <w:spacing w:before="20" w:after="20" w:line="240" w:lineRule="auto"/>
              <w:jc w:val="center"/>
              <w:keepNext/>
            </w:pPr>
            <w:r>
              <w:rPr>
                <w:sz w:val="13"/>
                <w:szCs w:val="13"/>
              </w:rPr>
              <w:t xml:space="preserve">11.071***</w:t>
            </w:r>
          </w:p>
        </w:tc>
        <w:tc>
          <w:tcPr>
            <w:tcW w:type="dxa" w:w="2324"/>
          </w:tcPr>
          <w:p>
            <w:pPr>
              <w:pStyle w:val="Compact"/>
              <w:spacing w:before="20" w:after="20" w:line="240" w:lineRule="auto"/>
              <w:keepNext/>
            </w:pPr>
            <w:r>
              <w:rPr>
                <w:sz w:val="13"/>
                <w:szCs w:val="13"/>
              </w:rPr>
              <w:t xml:space="preserve">패키지 부품 제조(21/48)</w:t>
            </w:r>
          </w:p>
        </w:tc>
      </w:tr>
      <w:tr>
        <w:trPr>
          <w:cantSplit/>
        </w:trPr>
        <w:tc>
          <w:tcPr>
            <w:tcW w:type="dxa" w:w="1708"/>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14"/>
          </w:tcPr>
          <w:p>
            <w:pPr>
              <w:pStyle w:val="Compact"/>
              <w:spacing w:before="20" w:after="20" w:line="240" w:lineRule="auto"/>
              <w:jc w:val="right"/>
              <w:keepNext/>
            </w:pPr>
            <w:r>
              <w:rPr>
                <w:sz w:val="13"/>
                <w:szCs w:val="13"/>
              </w:rPr>
              <w:t xml:space="preserve">78.7</w:t>
            </w:r>
          </w:p>
        </w:tc>
        <w:tc>
          <w:tcPr>
            <w:tcW w:type="dxa" w:w="1055"/>
          </w:tcPr>
          <w:p>
            <w:pPr>
              <w:pStyle w:val="Compact"/>
              <w:spacing w:before="20" w:after="20" w:line="240" w:lineRule="auto"/>
              <w:jc w:val="center"/>
              <w:keepNext/>
            </w:pPr>
            <w:r>
              <w:rPr>
                <w:sz w:val="13"/>
                <w:szCs w:val="13"/>
              </w:rPr>
              <w:t xml:space="preserve">2.452**</w:t>
            </w:r>
          </w:p>
        </w:tc>
        <w:tc>
          <w:tcPr>
            <w:tcW w:type="dxa" w:w="2324"/>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08"/>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14"/>
          </w:tcPr>
          <w:p>
            <w:pPr>
              <w:pStyle w:val="Compact"/>
              <w:spacing w:before="20" w:after="20" w:line="240" w:lineRule="auto"/>
              <w:jc w:val="right"/>
              <w:keepNext/>
            </w:pPr>
            <w:r>
              <w:rPr>
                <w:sz w:val="13"/>
                <w:szCs w:val="13"/>
              </w:rPr>
              <w:t xml:space="preserve">88.0</w:t>
            </w:r>
          </w:p>
        </w:tc>
        <w:tc>
          <w:tcPr>
            <w:tcW w:type="dxa" w:w="1055"/>
          </w:tcPr>
          <w:p>
            <w:pPr>
              <w:pStyle w:val="Compact"/>
              <w:spacing w:before="20" w:after="20" w:line="240" w:lineRule="auto"/>
              <w:jc w:val="center"/>
              <w:keepNext/>
            </w:pPr>
            <w:r>
              <w:rPr>
                <w:sz w:val="13"/>
                <w:szCs w:val="13"/>
              </w:rPr>
              <w:t xml:space="preserve">0.658</w:t>
            </w:r>
          </w:p>
        </w:tc>
        <w:tc>
          <w:tcPr>
            <w:tcW w:type="dxa" w:w="2324"/>
          </w:tcPr>
          <w:p>
            <w:pPr>
              <w:pStyle w:val="Compact"/>
              <w:spacing w:before="20" w:after="20" w:line="240" w:lineRule="auto"/>
              <w:keepNext/>
            </w:pPr>
            <w:r>
              <w:rPr>
                <w:sz w:val="13"/>
                <w:szCs w:val="13"/>
              </w:rPr>
              <w:t xml:space="preserve">임시 지지 기판을 이용한 취급(21/6835),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w:t>
      </w:r>
    </w:p>
    <w:p>
      <w:pPr>
        <w:pStyle w:val="BodyText"/>
      </w:pP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모여들었다는 뜻이고, 그 핵심을 다루는 발명이 더 이상 제조공정 지식을 따로 담지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p>
      <w:pPr>
        <w:pStyle w:val="BodyText"/>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특허의 구성.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출원일수록 제조공정과 접합 기호를 함께 가질 가능성이 높고, 좁은 출원은 한 영역에 머무는 경향이 있다. 이 연관은 형성기, 확산기, 재편기 모두에서 나타났으므로, 융합의 자리가 옮겨 가는 동안에도 경계를 넘는 특허의 구성은 같았다.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보호를 위한 전략인 동시에, 공정 간 융합이 특허 분류에 드러나는 방식이기도 하다.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KnowMade(2024)의 독립적 산업 분석이 파운드리, 종합반도체기업, 라이선싱 기업을 특허 활동을 주도하는 출원인으로 꼽는 것도 같은 방향이다. 제조공정과 접합 기술의 공동분류가 빈번하다는 사실은 두 공정 영역을 잇는 지식 범위가 하이브리드 본딩 관련 특허 활동에서 중요함을 보여주며, Kapoor와 Adner(2012)가 말한 지식 경계의 논리와도 통한다.</w:t>
      </w:r>
    </w:p>
    <w:p>
      <w:pPr>
        <w:pStyle w:val="BodyText"/>
      </w:pPr>
      <w:r>
        <w:t xml:space="preserve">재편기에 하이브리드 본딩의 핵심 원리를 담은 발명은 접합 영역 안에서 기술되고, 제조공정과의 결합은 임시 지지 기판, 봉지, 다이싱처럼 다이를 다루고 패키지로 만드는 공정에서 늘었다. 경쟁의 초점이 핵심 원리의 발명에서 그 원리를 다이 단위 공정과 결합하는 응용의 발명으로 옮겨 가고 있을 수 있다는 뜻이다. 차세대 HBM을 하이브리드 본딩에 기대고 있는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하나의 특허출원에서 통합적으로 보호하는 능력이 함께 필요할 수 있다.</w:t>
      </w:r>
    </w:p>
    <w:bookmarkEnd w:id="52"/>
    <w:bookmarkStart w:id="53" w:name="한계와-향후-연구"/>
    <w:p>
      <w:pPr>
        <w:pStyle w:val="Heading3"/>
      </w:pPr>
      <w:r>
        <w:t xml:space="preserve">6.3 한계와 향후 연구</w:t>
      </w:r>
    </w:p>
    <w:p>
      <w:pPr>
        <w:pStyle w:val="FirstParagraph"/>
      </w:pPr>
      <w:r>
        <w:t xml:space="preserve">본 연구의 한계는 다섯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아니다. 통합형은 45.8%로 가장 많은 유형이었고 좁은 정의로도 37.2%였으며, 세부 기술을 더 다양하게 담은 특허일수록 경계를 넘을 가능성이 높았다. 둘째, 융합은 세 국면을 거쳐 전개되었다. 형성기에는 제조공정 발명이 홀로 나오는 경우가 가장 많았고, 확산기에는 두 공정을 함께 담은 통합형이 62.2%로 정점에 이르렀으며, 재편기에는 통합형이 줄고 접합 단독형이 늘었다. 공정 단독형의 감소는 2015년 이전 출원이 적은 핵심 표본을 제외한 모든 재추정에서 유지되어, 융합의 무게중심은 접합 쪽으로 옮겨 갔다. 셋째, 융합이 일어나는 자리가 옮겨 갔다. 기술 클러스터와 기술 네트워크로 찾은 핵심 기술을 담은 출원은 형성기에 제조공정 분류를 함께 가질 승산이 그렇지 않은 출원의 11.1배였지만, 그 차이는 재편기에 사라졌고, 그 대신 다이 취급 공정과의 결합이 늘었다. 이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보여준다.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 [Kinex integrated die-to-wafer hybrid bonding system; 김지혜 작성].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본문의 강건성 요약표(표 11)에 실은 재추정의 전체 계수다.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 핵심 표본은 제목에 hybrid bonding이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3"/>
        <w:gridCol w:w="1137"/>
        <w:gridCol w:w="1137"/>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3"/>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3"/>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7"/>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3"/>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7"/>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3"/>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7"/>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3"/>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7"/>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7"/>
        <w:gridCol w:w="1157"/>
        <w:gridCol w:w="1157"/>
        <w:gridCol w:w="1162"/>
        <w:gridCol w:w="1157"/>
        <w:gridCol w:w="1020"/>
        <w:gridCol w:w="115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5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7"/>
          </w:tcPr>
          <w:p>
            <w:pPr>
              <w:pStyle w:val="Compact"/>
              <w:spacing w:before="20" w:after="20" w:line="240" w:lineRule="auto"/>
              <w:jc w:val="center"/>
              <w:keepNext/>
            </w:pPr>
            <w:r>
              <w:rPr>
                <w:sz w:val="13"/>
                <w:szCs w:val="13"/>
              </w:rPr>
              <w:t xml:space="preserve">0.905** (0.048)</w:t>
            </w:r>
          </w:p>
        </w:tc>
        <w:tc>
          <w:tcPr>
            <w:tcW w:type="dxa" w:w="1157"/>
          </w:tcPr>
          <w:p>
            <w:pPr>
              <w:pStyle w:val="Compact"/>
              <w:spacing w:before="20" w:after="20" w:line="240" w:lineRule="auto"/>
              <w:jc w:val="center"/>
              <w:keepNext/>
            </w:pPr>
            <w:r>
              <w:rPr>
                <w:sz w:val="13"/>
                <w:szCs w:val="13"/>
              </w:rPr>
              <w:t xml:space="preserve">0.915** (0.044)</w:t>
            </w:r>
          </w:p>
        </w:tc>
        <w:tc>
          <w:tcPr>
            <w:tcW w:type="dxa" w:w="1157"/>
          </w:tcPr>
          <w:p>
            <w:pPr>
              <w:pStyle w:val="Compact"/>
              <w:spacing w:before="20" w:after="20" w:line="240" w:lineRule="auto"/>
              <w:jc w:val="center"/>
              <w:keepNext/>
            </w:pPr>
            <w:r>
              <w:rPr>
                <w:sz w:val="13"/>
                <w:szCs w:val="13"/>
              </w:rPr>
              <w:t xml:space="preserve">0.826*** (0.061)</w:t>
            </w:r>
          </w:p>
        </w:tc>
        <w:tc>
          <w:tcPr>
            <w:tcW w:type="dxa" w:w="1162"/>
          </w:tcPr>
          <w:p>
            <w:pPr>
              <w:pStyle w:val="Compact"/>
              <w:spacing w:before="20" w:after="20" w:line="240" w:lineRule="auto"/>
              <w:jc w:val="center"/>
              <w:keepNext/>
            </w:pPr>
            <w:r>
              <w:rPr>
                <w:sz w:val="13"/>
                <w:szCs w:val="13"/>
              </w:rPr>
              <w:t xml:space="preserve">0.923* (0.045)</w:t>
            </w:r>
          </w:p>
        </w:tc>
        <w:tc>
          <w:tcPr>
            <w:tcW w:type="dxa" w:w="1157"/>
          </w:tcPr>
          <w:p>
            <w:pPr>
              <w:pStyle w:val="Compact"/>
              <w:spacing w:before="20" w:after="20" w:line="240" w:lineRule="auto"/>
              <w:jc w:val="center"/>
              <w:keepNext/>
            </w:pPr>
            <w:r>
              <w:rPr>
                <w:sz w:val="13"/>
                <w:szCs w:val="13"/>
              </w:rPr>
              <w:t xml:space="preserve">0.916* (0.050)</w:t>
            </w:r>
          </w:p>
        </w:tc>
        <w:tc>
          <w:tcPr>
            <w:tcW w:type="dxa" w:w="1020"/>
          </w:tcPr>
          <w:p>
            <w:pPr>
              <w:pStyle w:val="Compact"/>
              <w:spacing w:before="20" w:after="20" w:line="240" w:lineRule="auto"/>
              <w:jc w:val="center"/>
              <w:keepNext/>
            </w:pPr>
            <w:r>
              <w:rPr>
                <w:sz w:val="13"/>
                <w:szCs w:val="13"/>
              </w:rPr>
              <w:t xml:space="preserve">1.129* (0.062)</w:t>
            </w:r>
          </w:p>
        </w:tc>
        <w:tc>
          <w:tcPr>
            <w:tcW w:type="dxa" w:w="1157"/>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7"/>
          </w:tcPr>
          <w:p>
            <w:pPr>
              <w:pStyle w:val="Compact"/>
              <w:spacing w:before="20" w:after="20" w:line="240" w:lineRule="auto"/>
              <w:jc w:val="center"/>
              <w:keepNext/>
            </w:pPr>
            <w:r>
              <w:rPr>
                <w:sz w:val="13"/>
                <w:szCs w:val="13"/>
              </w:rPr>
              <w:t xml:space="preserve">0.913*** (0.015)</w:t>
            </w:r>
          </w:p>
        </w:tc>
        <w:tc>
          <w:tcPr>
            <w:tcW w:type="dxa" w:w="1157"/>
          </w:tcPr>
          <w:p>
            <w:pPr>
              <w:pStyle w:val="Compact"/>
              <w:spacing w:before="20" w:after="20" w:line="240" w:lineRule="auto"/>
              <w:jc w:val="center"/>
              <w:keepNext/>
            </w:pPr>
            <w:r>
              <w:rPr>
                <w:sz w:val="13"/>
                <w:szCs w:val="13"/>
              </w:rPr>
              <w:t xml:space="preserve">0.911*** (0.015)</w:t>
            </w:r>
          </w:p>
        </w:tc>
        <w:tc>
          <w:tcPr>
            <w:tcW w:type="dxa" w:w="1157"/>
          </w:tcPr>
          <w:p>
            <w:pPr>
              <w:pStyle w:val="Compact"/>
              <w:spacing w:before="20" w:after="20" w:line="240" w:lineRule="auto"/>
              <w:jc w:val="center"/>
              <w:keepNext/>
            </w:pPr>
            <w:r>
              <w:rPr>
                <w:sz w:val="13"/>
                <w:szCs w:val="13"/>
              </w:rPr>
              <w:t xml:space="preserve">0.935*** (0.016)</w:t>
            </w:r>
          </w:p>
        </w:tc>
        <w:tc>
          <w:tcPr>
            <w:tcW w:type="dxa" w:w="1162"/>
          </w:tcPr>
          <w:p>
            <w:pPr>
              <w:pStyle w:val="Compact"/>
              <w:spacing w:before="20" w:after="20" w:line="240" w:lineRule="auto"/>
              <w:jc w:val="center"/>
              <w:keepNext/>
            </w:pPr>
            <w:r>
              <w:rPr>
                <w:sz w:val="13"/>
                <w:szCs w:val="13"/>
              </w:rPr>
              <w:t xml:space="preserve">0.898*** (0.015)</w:t>
            </w:r>
          </w:p>
        </w:tc>
        <w:tc>
          <w:tcPr>
            <w:tcW w:type="dxa" w:w="1157"/>
          </w:tcPr>
          <w:p>
            <w:pPr>
              <w:pStyle w:val="Compact"/>
              <w:spacing w:before="20" w:after="20" w:line="240" w:lineRule="auto"/>
              <w:jc w:val="center"/>
              <w:keepNext/>
            </w:pPr>
            <w:r>
              <w:rPr>
                <w:sz w:val="13"/>
                <w:szCs w:val="13"/>
              </w:rPr>
              <w:t xml:space="preserve">0.820*** (0.023)</w:t>
            </w:r>
          </w:p>
        </w:tc>
        <w:tc>
          <w:tcPr>
            <w:tcW w:type="dxa" w:w="1020"/>
          </w:tcPr>
          <w:p>
            <w:pPr>
              <w:pStyle w:val="Compact"/>
              <w:spacing w:before="20" w:after="20" w:line="240" w:lineRule="auto"/>
              <w:jc w:val="center"/>
              <w:keepNext/>
            </w:pPr>
            <w:r>
              <w:rPr>
                <w:sz w:val="13"/>
                <w:szCs w:val="13"/>
              </w:rPr>
              <w:t xml:space="preserve">1.029 (0.057)</w:t>
            </w:r>
          </w:p>
        </w:tc>
        <w:tc>
          <w:tcPr>
            <w:tcW w:type="dxa" w:w="1157"/>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7"/>
          </w:tcPr>
          <w:p>
            <w:pPr>
              <w:pStyle w:val="Compact"/>
              <w:spacing w:before="20" w:after="20" w:line="240" w:lineRule="auto"/>
              <w:jc w:val="center"/>
              <w:keepNext/>
            </w:pPr>
            <w:r>
              <w:rPr>
                <w:sz w:val="13"/>
                <w:szCs w:val="13"/>
              </w:rPr>
              <w:t xml:space="preserve">928</w:t>
            </w:r>
          </w:p>
        </w:tc>
        <w:tc>
          <w:tcPr>
            <w:tcW w:type="dxa" w:w="1157"/>
          </w:tcPr>
          <w:p>
            <w:pPr>
              <w:pStyle w:val="Compact"/>
              <w:spacing w:before="20" w:after="20" w:line="240" w:lineRule="auto"/>
              <w:jc w:val="center"/>
              <w:keepNext/>
            </w:pPr>
            <w:r>
              <w:rPr>
                <w:sz w:val="13"/>
                <w:szCs w:val="13"/>
              </w:rPr>
              <w:t xml:space="preserve">928</w:t>
            </w:r>
          </w:p>
        </w:tc>
        <w:tc>
          <w:tcPr>
            <w:tcW w:type="dxa" w:w="1157"/>
          </w:tcPr>
          <w:p>
            <w:pPr>
              <w:pStyle w:val="Compact"/>
              <w:spacing w:before="20" w:after="20" w:line="240" w:lineRule="auto"/>
              <w:jc w:val="center"/>
              <w:keepNext/>
            </w:pPr>
            <w:r>
              <w:rPr>
                <w:sz w:val="13"/>
                <w:szCs w:val="13"/>
              </w:rPr>
              <w:t xml:space="preserve">473</w:t>
            </w:r>
          </w:p>
        </w:tc>
        <w:tc>
          <w:tcPr>
            <w:tcW w:type="dxa" w:w="1162"/>
          </w:tcPr>
          <w:p>
            <w:pPr>
              <w:pStyle w:val="Compact"/>
              <w:spacing w:before="20" w:after="20" w:line="240" w:lineRule="auto"/>
              <w:jc w:val="center"/>
              <w:keepNext/>
            </w:pPr>
            <w:r>
              <w:rPr>
                <w:sz w:val="13"/>
                <w:szCs w:val="13"/>
              </w:rPr>
              <w:t xml:space="preserve">908</w:t>
            </w:r>
          </w:p>
        </w:tc>
        <w:tc>
          <w:tcPr>
            <w:tcW w:type="dxa" w:w="1157"/>
          </w:tcPr>
          <w:p>
            <w:pPr>
              <w:pStyle w:val="Compact"/>
              <w:spacing w:before="20" w:after="20" w:line="240" w:lineRule="auto"/>
              <w:jc w:val="center"/>
              <w:keepNext/>
            </w:pPr>
            <w:r>
              <w:rPr>
                <w:sz w:val="13"/>
                <w:szCs w:val="13"/>
              </w:rPr>
              <w:t xml:space="preserve">860</w:t>
            </w:r>
          </w:p>
        </w:tc>
        <w:tc>
          <w:tcPr>
            <w:tcW w:type="dxa" w:w="1020"/>
          </w:tcPr>
          <w:p>
            <w:pPr>
              <w:pStyle w:val="Compact"/>
              <w:spacing w:before="20" w:after="20" w:line="240" w:lineRule="auto"/>
              <w:jc w:val="center"/>
              <w:keepNext/>
            </w:pPr>
            <w:r>
              <w:rPr>
                <w:sz w:val="13"/>
                <w:szCs w:val="13"/>
              </w:rPr>
              <w:t xml:space="preserve">467</w:t>
            </w:r>
          </w:p>
        </w:tc>
        <w:tc>
          <w:tcPr>
            <w:tcW w:type="dxa" w:w="115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7"/>
          </w:tcPr>
          <w:p>
            <w:pPr>
              <w:pStyle w:val="Compact"/>
              <w:spacing w:before="20" w:after="20" w:line="240" w:lineRule="auto"/>
              <w:jc w:val="center"/>
              <w:keepNext/>
            </w:pPr>
            <w:r>
              <w:rPr>
                <w:sz w:val="13"/>
                <w:szCs w:val="13"/>
              </w:rPr>
              <w:t xml:space="preserve">−774.5</w:t>
            </w:r>
          </w:p>
        </w:tc>
        <w:tc>
          <w:tcPr>
            <w:tcW w:type="dxa" w:w="1157"/>
          </w:tcPr>
          <w:p>
            <w:pPr>
              <w:pStyle w:val="Compact"/>
              <w:spacing w:before="20" w:after="20" w:line="240" w:lineRule="auto"/>
              <w:jc w:val="center"/>
              <w:keepNext/>
            </w:pPr>
            <w:r>
              <w:rPr>
                <w:sz w:val="13"/>
                <w:szCs w:val="13"/>
              </w:rPr>
              <w:t xml:space="preserve">−829.4</w:t>
            </w:r>
          </w:p>
        </w:tc>
        <w:tc>
          <w:tcPr>
            <w:tcW w:type="dxa" w:w="1157"/>
          </w:tcPr>
          <w:p>
            <w:pPr>
              <w:pStyle w:val="Compact"/>
              <w:spacing w:before="20" w:after="20" w:line="240" w:lineRule="auto"/>
              <w:jc w:val="center"/>
              <w:keepNext/>
            </w:pPr>
            <w:r>
              <w:rPr>
                <w:sz w:val="13"/>
                <w:szCs w:val="13"/>
              </w:rPr>
              <w:t xml:space="preserve">−425.3</w:t>
            </w:r>
          </w:p>
        </w:tc>
        <w:tc>
          <w:tcPr>
            <w:tcW w:type="dxa" w:w="1162"/>
          </w:tcPr>
          <w:p>
            <w:pPr>
              <w:pStyle w:val="Compact"/>
              <w:spacing w:before="20" w:after="20" w:line="240" w:lineRule="auto"/>
              <w:jc w:val="center"/>
              <w:keepNext/>
            </w:pPr>
            <w:r>
              <w:rPr>
                <w:sz w:val="13"/>
                <w:szCs w:val="13"/>
              </w:rPr>
              <w:t xml:space="preserve">−755.9</w:t>
            </w:r>
          </w:p>
        </w:tc>
        <w:tc>
          <w:tcPr>
            <w:tcW w:type="dxa" w:w="1157"/>
          </w:tcPr>
          <w:p>
            <w:pPr>
              <w:pStyle w:val="Compact"/>
              <w:spacing w:before="20" w:after="20" w:line="240" w:lineRule="auto"/>
              <w:jc w:val="center"/>
              <w:keepNext/>
            </w:pPr>
            <w:r>
              <w:rPr>
                <w:sz w:val="13"/>
                <w:szCs w:val="13"/>
              </w:rPr>
              <w:t xml:space="preserve">−682.7</w:t>
            </w:r>
          </w:p>
        </w:tc>
        <w:tc>
          <w:tcPr>
            <w:tcW w:type="dxa" w:w="1020"/>
          </w:tcPr>
          <w:p>
            <w:pPr>
              <w:pStyle w:val="Compact"/>
              <w:spacing w:before="20" w:after="20" w:line="240" w:lineRule="auto"/>
              <w:jc w:val="center"/>
              <w:keepNext/>
            </w:pPr>
            <w:r>
              <w:rPr>
                <w:sz w:val="13"/>
                <w:szCs w:val="13"/>
              </w:rPr>
              <w:t xml:space="preserve">−364.0</w:t>
            </w:r>
          </w:p>
        </w:tc>
        <w:tc>
          <w:tcPr>
            <w:tcW w:type="dxa" w:w="1157"/>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 OR 1.463, 출원연도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2026-10-07T23:55:40Z</dcterms:created>
  <dcterms:modified xsi:type="dcterms:W3CDTF">2026-10-07T23:55:40Z</dcterms:modified>
</cp:coreProperties>
</file>

<file path=docProps/custom.xml><?xml version="1.0" encoding="utf-8"?>
<Properties xmlns="http://schemas.openxmlformats.org/officeDocument/2006/custom-properties" xmlns:vt="http://schemas.openxmlformats.org/officeDocument/2006/docPropsVTypes"/>
</file>