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기술에 달려 있다. 본 연구는 두 공정의 기술이 하나의 특허 안에서 결합되고 있는지, 그리고 어떤 특허가 그러한지를 묻는다. 유럽특허청 PATSTAT에서 하이브리드 본딩 특허출원 928건을 추출하고, 각 출원에 부여된 CPC 분류에 따라 접합 기술(H01L24)만 청구한 조립 단독형, 제조공정 기술(H01L21)만 청구한 공정 단독형, 둘을 함께 청구한 통합형으로 나누었다. 통합형이 45.8%로 가장 많았고, 제조공정 기술을 청구한 출원은 전체의 63.6%였다. 회귀분석 결과는 세 가지로 요약된다. 첫째, 특허가 걸치는 세부 기술 분류가 많을수록 통합형일 가능성이 높다(조립 단독형 대비 상대위험비 1.40). 둘째, 공정 단독형의 비중은 시간이 갈수록 줄었다(2014년 이전 43.6%에서 2020–2024년 10.4%). 셋째, 중국 출원청에 낸 출원은 미국 출원청에 낸 출원보다 기술범위가 좁고 공정 단독형이 많다.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capabilities that have belonged to the front end, such as surface planarisation and surface treatment. This paper asks whether the technologies of the two stages are being combined within single patents, and which patents do so. We extract 928 hybrid-bonding patent applications from EPO PATSTAT and, using their CPC symbols, classify each application as assembly-only (bonding technology, H01L24, only), process-only (fabrication-process technology, H01L21, only) or integrated (both). Integrated applications are the largest group (45.8%), and 63.6% of applications claim fabrication-process technology. Regression results show three things. First, the more technical subclasses a patent spans, the more likely it is to be integrated (relative-risk ratio 1.40 against assembly-only). Second, the share of process-only applications has fallen over time, from 43.6% before 2015 to 10.4% in 2020–2024. Third, applications filed at the Chinese office are narrower in scope and more often process-only than those filed at the US office.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역량에 달려 있기 때문이다. 후공정의 핵심 기술이 전공정의 노하우에 의존하게 된 것이다. 선도 파운드리들이 첨단 패키징을 외주하지 않고 직접 맡기 시작한 것도 이 때문이다(Lau, 2022; Yole Group, 2024).</w:t>
      </w:r>
    </w:p>
    <w:p>
      <w:pPr>
        <w:pStyle w:val="BodyText"/>
      </w:pPr>
      <w:r>
        <w:t xml:space="preserve">본 연구는 이러한 경계의 흐려짐을 개별 특허 수준에서 관찰하고 설명할 수 있는지를 묻는다. 출발점은 서로 다른 기술 영역이 겹치고 결합하는 과정을 다룬 기술융합 문헌이다(Rosenberg, 1963; Kodama, 1992; Curran and Leker, 2011; Sick and Bröring, 2022). 그런데 이 문헌의 실증 연구는 대부분 정보통신과 가전(Hacklin et al., 2009), 식품과 제약(Bröring et al., 2006), 나노기술과 바이오기술(No and Park, 2010)처럼 서로 다른 산업이 만나는 경우를 다루었다. 한 산업 안에서 가치사슬의 단계를 가로지르는 융합은 거의 다루어지지 않았다. 가치사슬 상·하류 기업 간의 특허 인용을 분석한 Karvonen과 Kässi(2012)가 가장 가까운 선례이지만, 이 연구도 하나의 기술이 제조 단계의 경계를 넘는지를 특허 단위에서 검정하지는 않았다. 그러나 누가 무엇을 만들고 누가 가치를 가져가는가를 정하는 산업 아키텍처(Jacobides et al., 2006)를 바꾸는 것은 바로 이런 융합이다.</w:t>
      </w:r>
    </w:p>
    <w:p>
      <w:pPr>
        <w:pStyle w:val="BodyText"/>
      </w:pPr>
      <w:r>
        <w:t xml:space="preserve">이를 위해 유럽특허청(EPO)의 PATSTAT에서 하이브리드 본딩 특허출원 928건을 추출하고, 각 출원에 부여된 협력적 특허분류(CPC) 기호를 이용한다. 접합·인터커넥트 기술(H01L24)과 반도체 제조공정 기술(H01L21)을 한 출원 안에서 함께 청구한 특허를 통합형, 곧 경계를 넘는 특허로 정의하고, 접합만 청구한 조립 단독형, 제조공정만 청구한 공정 단독형과 구분한다. 두 분류의 동시 부여(공동분류)는 융합을 포착하는 표준적인 특허 지표이며(Curran and Leker, 2011; Kwon et al., 2020), 본 연구의 새로움은 이를 두 산업 사이가 아니라 한 산업을 가로지르는 경계에 적용한다는 데 있다. 연구 질문은 세 가지다. 첫째, 경계를 넘는 특허는 얼마나 흔하며 시간에 따라 어떻게 변했는가. 둘째, 기술범위, 출원 시점, 출원청 가운데 어떤 속성이 경계 넘기와 관련되는가. 셋째, 출원청별 차이는 각 관할권의 출원 전략과 어떻게 연결되는가.</w:t>
      </w:r>
    </w:p>
    <w:p>
      <w:pPr>
        <w:pStyle w:val="BodyText"/>
      </w:pPr>
      <w:r>
        <w:t xml:space="preserve">분석 결과는 세 가지로 요약된다. 첫째, 경계 넘기는 드문 현상이 아니다. 통합형이 출원의 45.8%로 가장 많고, 제조공정 기술을 청구한 출원은 63.6%에 이른다. 둘째, 기술범위가 가장 강한 상관요인이다. 특허가 걸치는 세부 분류가 하나 늘 때마다 통합형일 상대위험은 약 40% 높아진다. 시간에 따라서는 공정 단독형의 비중이 2014년 이전 43.6%에서 2020–2024년 10.4%로 꾸준히 줄었다. 셋째, 중국 출원청 출원은 미국 출원청 출원보다 기술범위가 좁고 공정 단독형일 가능성이 높다. 이는 특정 공정 단계를 먼저 확보하는 추격 단계의 출원 양상과 들어맞는다.</w:t>
      </w:r>
    </w:p>
    <w:p>
      <w:pPr>
        <w:pStyle w:val="BodyText"/>
      </w:pPr>
      <w:r>
        <w:t xml:space="preserve">본 연구의 기여는 세 가지다. 개념적으로는 융합 이론을 산업 간 사례에서 산업 내 공정 단계 간 사례로 넓히고, 이를 반도체 산업 아키텍처 문헌(Langlois and Steinmueller, 1999; Kapoor and Adner, 2012; Kapoor, 2013)과 연결한다. 실증적으로는 분석 단위를 분야 수준의 집계 지수에서 개별 특허로 옮겨, 경계 넘기의 결정요인을 이산선택 모형으로 추정한다. 방법론적으로는 두 개의 CPC 클래스와 하나의 분류 규칙, 표준 추정량만으로 이루어진 단순하고 재현 가능한 설계를 제시한다. 이 설계는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al.(2009)은 융합이 지식의 융합에서 기술과 응용의 융합을 거쳐 산업의 융합으로 단계적으로 진행된다고 보았고,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산업의 만남에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왜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이 문헌과 융합의 관계는 수직 전문화가 단계 사이의 안정된 인터페이스에 기대고 있다는 점에서 드러난다. Jacobides et al.(2006)은 누가 무엇을 하고 가치가 어떻게 나뉘는지를 정하는 틀인 산업 아키텍처가 그 자체로 경쟁의 대상이며, 단계 사이의 상호의존을 바꾸는 혁신이 그 틀의 재협상을 부른다고 보았다. 하이브리드 본딩이 바로 그런 혁신이다. 수율이 평탄화, 표면 화학, 정렬처럼 전공정에 자리한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al.(2009)의 단계 모형에서 기술의 융합은 산업의 융합에 앞선다. 본 연구가 특허에서 관찰하는 것은 이 앞선 단계, 즉 파운드리가 패키징을 내재화하는 조직적 결정 이전 또는 이면에서 진행되는 기술의 결합이다.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유형으로 나눈다. 후공정 접합 기호(H01L24)만 가진 조립 단독형, 전공정 제조공정 기호(H01L21)만 가진 공정 단독형, 둘을 모두 가진 통합형이다. 통합형이 경계를 넘는 특허다. 이 구분은 특허 하나하나의 융합 여부로 바로 읽히고, 표준 이산선택 모형으로 분석할 수 있으며, 집계 지수가 평균해 버리는 특허 간 차이를 보존한다.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기술범위.</w:t>
      </w:r>
      <w:r>
        <w:t xml:space="preserve"> </w:t>
      </w:r>
      <w:r>
        <w:t xml:space="preserve">Kodama(1992)의 융합도 Rosenberg(1963)의 수렴도 둘 이상의 기술 영역에 걸치는 발명을 뜻한다. 경계 넘기가 융합의 한 형태라면, 더 많은 세부 기술 분류에 걸치는 특허일수록 접합 기술과 제조공정 기술을 함께 담은 통합형일 가능성이 높아야 한다. 웨이퍼 준비에서 접합된 적층까지 공정 흐름 전체를 청구하는 특허는 제조공정에 닿을 수밖에 없지만, 접합 구조만 청구하는 특허는 그렇지 않다. 다만 이 관계에는 기계적인 부분도 있다. 통합형은 정의상 두 클래스의 기호를 하나씩은 가지므로 범위가 2 이상이기 때문이다. 이 부분은 제5.4절에서 각 클래스의 첫 기호를 뺀 조정 범위로 따로 확인한다.</w:t>
      </w:r>
    </w:p>
    <w:p>
      <w:pPr>
        <w:pStyle w:val="BlockText"/>
      </w:pPr>
      <w:r>
        <w:rPr>
          <w:b/>
          <w:bCs/>
        </w:rPr>
        <w:t xml:space="preserve">H1.</w:t>
      </w:r>
      <w:r>
        <w:t xml:space="preserve"> </w:t>
      </w:r>
      <w:r>
        <w:t xml:space="preserve">하이브리드 본딩 특허의 기술범위가 넓을수록 접합 기술(H01L24)과 제조공정 기술(H01L21)을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바뀐다고 본다. 하이브리드 본딩의 초기 발명은 표면 준비, 저온 어닐링, 평탄화처럼 직접 접합을 가능하게 한 공정 단계에 관한 것이어서 공정 발명으로 분류되었다. 기술이 이미지센서와 3D NAND의 웨이퍼 단위 접합에서 고대역폭 메모리와 로직을 위한 다이 단위 접합으로 옮겨 가면서, 발명의 중심은 접합된 구조와 적층으로 이동했다(Lau, 2021). 따라서 제조공정만 청구하는 공정 단독형의 비중은 시간이 갈수록 줄어들 것으로 예상한다.</w:t>
      </w:r>
    </w:p>
    <w:p>
      <w:pPr>
        <w:pStyle w:val="BlockText"/>
      </w:pPr>
      <w:r>
        <w:rPr>
          <w:b/>
          <w:bCs/>
        </w:rPr>
        <w:t xml:space="preserve">H2.</w:t>
      </w:r>
      <w:r>
        <w:t xml:space="preserve"> </w:t>
      </w:r>
      <w:r>
        <w:t xml:space="preserve">하이브리드 본딩이 성숙함에 따라 특허가 공정 단독형을 취할 가능성은 조립 단독형 대비 감소한다.</w:t>
      </w:r>
    </w:p>
    <w:p>
      <w:pPr>
        <w:pStyle w:val="FirstParagraph"/>
      </w:pPr>
      <w:r>
        <w:rPr>
          <w:b/>
          <w:bCs/>
        </w:rPr>
        <w:t xml:space="preserve">관할권.</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w:t>
      </w:r>
    </w:p>
    <w:p>
      <w:pPr>
        <w:pStyle w:val="BlockText"/>
      </w:pPr>
      <w:r>
        <w:rPr>
          <w:b/>
          <w:bCs/>
        </w:rPr>
        <w:t xml:space="preserve">H3.</w:t>
      </w:r>
      <w:r>
        <w:t xml:space="preserve"> </w:t>
      </w:r>
      <w:r>
        <w:t xml:space="preserve">중국 출원청에 출원된 특허는 미국 출원청에 출원된 특허보다 기술범위가 좁고 공정 단독형일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세 가설은 특허 속성과 경계 넘기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기존 플립칩보다 한 자릿수 작은 1 µm 이하까지 내려갈 수 있다(Lau,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주요 출원인으로 꼽는다(Yole Group,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전공정과 후공정의 경계를 넘는지에 체계적인 흔적을 남기는가가 이하의 질문이다.</w:t>
      </w:r>
    </w:p>
    <w:bookmarkEnd w:id="20"/>
    <w:bookmarkStart w:id="27"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추출 단계에서 두 클래스 밖의 기호는 보존되지 않았으므로, 모든 기호는 H01L21 계열(202개)과 H01L24 계열(60개)의 세부 분류(서브그룹) 262개로 이루어진다. 따라서 이하의 기술범위는 두 클래스 안에서 특허가 걸치는 세부 기술의 폭을 뜻하며, 반도체 밖의 분야로 뻗는 정도는 재지 않는다.</w:t>
      </w:r>
    </w:p>
    <w:p>
      <w:pPr>
        <w:pStyle w:val="BodyText"/>
        <w:keepNext/>
      </w:pPr>
      <w:r>
        <w:rPr>
          <w:b/>
          <w:bCs/>
        </w:rPr>
        <w:t xml:space="preserve">표 1.</w:t>
      </w:r>
      <w:r>
        <w:t xml:space="preserve"> </w:t>
      </w:r>
      <w:r>
        <w:t xml:space="preserve">하이브리드 본딩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두 가지 특성을 미리 밝혀 둔다. 첫째,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결과를 제5.4절에 보고한다(판정 기준과 분포는 부록 C). 둘째, 추출 자료에는 특허 패밀리 식별자가 없다. 같은 발명이 여러 나라에 출원되면 여러 건으로 잡힌다. 제목이 같은 출원을 같은 패밀리로 보면 928건은 473개의 제목으로 이루어지며, 이 중 149개 제목은 둘 이상의 출원청에 출원되었다. 이 점이 결과에 미치는 영향도 제5.4절에서 확인한다.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서로 다른 서브그룹 기호의 수다. 이는 분류 기호의 수로 범위를 재는 Lerner(1994)의 방식을 두 클래스 안에 적용한 것이다. 전략 유형(tech_cat)은 각 출원을 조립 단독형(H01L24 기호만), 통합형(둘 다), 공정 단독형(H01L21 기호만)으로 나누며, 통합형이 경계 넘기의 측정치다. 전공정 청구 여부(has_process)는 H01L21 기호를 하나라도 가지면 1인 지표로, 통합형과 공정 단독형을 합한 것이다. 이하에서 어떤 기술을 ’청구한다’는 말은 해당 클래스의 기호가 출원에 부여되어 있다는 뜻의 줄임말이다. CPC 기호는 심사관이 발명의 기술 내용에 부여하는 것으로, 청구항의 문구와 항상 일치하지는 않는다. 출원청(ccode)은 출원이 제출된 특허청으로 8개 수준이며 미국이 기준이다. 출원연도(yc)는 표본의 첫 출원(1968년)부터 지난 햇수다.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1(전공정 청구),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H01L21에 관해 한 가지를 덧붙인다. H01L21은 웨이퍼 제조공정 외에 조립 단계의 제조공정(패키지 부품 제조, 실장·봉지, 리드 부착, 다이싱)과 공정 장치도 포함한다. 표본의 H01L21 계열 기호 1,636건 가운데 웨이퍼 제조공정이 905건(55.3%), 공정 장치가 328건(20.0%), 조립 단계 공정이 403건(24.6%)이다. 따라서 본 연구의 ’전공정 청구’는 CPC의 제조공정 클래스 기호를 가진다는 뜻이다. 조립 단계 공정을 제조공정으로 세지 않는 좁은 정의로 다시 추정한 결과는 제5.4절에 보고하며, 결론은 달라지지 않는다.</w:t>
      </w:r>
    </w:p>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전공정 기술을 청구한 출원은 590건(63.6%)이다.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건수, 1968–2024(N = 928). 2023–2024년의 감소는 공개 시차 때문이다.</w:t>
      </w:r>
    </w:p>
    <w:p>
      <w:pPr>
        <w:pStyle w:val="BodyText"/>
      </w:pPr>
      <w:r>
        <w:t xml:space="preserve">표 3은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유형 열의 괄호는 행 비중, 기술범위 열의 괄호는 표준편차).</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72"/>
        <w:gridCol w:w="461"/>
        <w:gridCol w:w="1246"/>
        <w:gridCol w:w="1246"/>
        <w:gridCol w:w="1246"/>
        <w:gridCol w:w="954"/>
        <w:gridCol w:w="1803"/>
        <w:gridCol w:w="1145"/>
      </w:tblGrid>
      <w:tr>
        <w:trPr>
          <w:tblHeader w:val="on"/>
          <w:cantSplit/>
        </w:trPr>
        <w:tc>
          <w:tcPr>
            <w:tcW w:type="dxa" w:w="972"/>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46"/>
            <w:tcBorders>
              <w:bottom w:val="single" w:sz="4" w:space="0" w:color="000000"/>
            </w:tcBorders>
          </w:tcPr>
          <w:p>
            <w:pPr>
              <w:pStyle w:val="Compact"/>
              <w:spacing w:before="20" w:after="20" w:line="240" w:lineRule="auto"/>
              <w:keepNext/>
            </w:pPr>
            <w:r>
              <w:rPr>
                <w:sz w:val="13"/>
                <w:szCs w:val="13"/>
              </w:rPr>
              <w:t xml:space="preserve">통합형</w:t>
            </w:r>
          </w:p>
        </w:tc>
        <w:tc>
          <w:tcPr>
            <w:tcW w:type="dxa" w:w="124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54"/>
            <w:tcBorders>
              <w:bottom w:val="single" w:sz="4" w:space="0" w:color="000000"/>
            </w:tcBorders>
          </w:tcPr>
          <w:p>
            <w:pPr>
              <w:pStyle w:val="Compact"/>
              <w:spacing w:before="20" w:after="20" w:line="240" w:lineRule="auto"/>
              <w:jc w:val="right"/>
              <w:keepNext/>
            </w:pPr>
            <w:r>
              <w:rPr>
                <w:sz w:val="13"/>
                <w:szCs w:val="13"/>
              </w:rPr>
              <w:t xml:space="preserve">전공정 청구(%)</w:t>
            </w:r>
          </w:p>
        </w:tc>
        <w:tc>
          <w:tcPr>
            <w:tcW w:type="dxa" w:w="1803"/>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4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72"/>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46"/>
          </w:tcPr>
          <w:p>
            <w:pPr>
              <w:pStyle w:val="Compact"/>
              <w:spacing w:before="20" w:after="20" w:line="240" w:lineRule="auto"/>
              <w:keepNext/>
            </w:pPr>
            <w:r>
              <w:rPr>
                <w:sz w:val="13"/>
                <w:szCs w:val="13"/>
              </w:rPr>
              <w:t xml:space="preserve">148 (38.7%)</w:t>
            </w:r>
          </w:p>
        </w:tc>
        <w:tc>
          <w:tcPr>
            <w:tcW w:type="dxa" w:w="1246"/>
          </w:tcPr>
          <w:p>
            <w:pPr>
              <w:pStyle w:val="Compact"/>
              <w:spacing w:before="20" w:after="20" w:line="240" w:lineRule="auto"/>
              <w:keepNext/>
            </w:pPr>
            <w:r>
              <w:rPr>
                <w:sz w:val="13"/>
                <w:szCs w:val="13"/>
              </w:rPr>
              <w:t xml:space="preserve">181 (47.4%)</w:t>
            </w:r>
          </w:p>
        </w:tc>
        <w:tc>
          <w:tcPr>
            <w:tcW w:type="dxa" w:w="1246"/>
          </w:tcPr>
          <w:p>
            <w:pPr>
              <w:pStyle w:val="Compact"/>
              <w:spacing w:before="20" w:after="20" w:line="240" w:lineRule="auto"/>
              <w:keepNext/>
            </w:pPr>
            <w:r>
              <w:rPr>
                <w:sz w:val="13"/>
                <w:szCs w:val="13"/>
              </w:rPr>
              <w:t xml:space="preserve">53 (13.9%)</w:t>
            </w:r>
          </w:p>
        </w:tc>
        <w:tc>
          <w:tcPr>
            <w:tcW w:type="dxa" w:w="954"/>
          </w:tcPr>
          <w:p>
            <w:pPr>
              <w:pStyle w:val="Compact"/>
              <w:spacing w:before="20" w:after="20" w:line="240" w:lineRule="auto"/>
              <w:jc w:val="right"/>
              <w:keepNext/>
            </w:pPr>
            <w:r>
              <w:rPr>
                <w:sz w:val="13"/>
                <w:szCs w:val="13"/>
              </w:rPr>
              <w:t xml:space="preserve">61.3</w:t>
            </w:r>
          </w:p>
        </w:tc>
        <w:tc>
          <w:tcPr>
            <w:tcW w:type="dxa" w:w="1803"/>
          </w:tcPr>
          <w:p>
            <w:pPr>
              <w:pStyle w:val="Compact"/>
              <w:spacing w:before="20" w:after="20" w:line="240" w:lineRule="auto"/>
              <w:keepNext/>
            </w:pPr>
            <w:r>
              <w:rPr>
                <w:sz w:val="13"/>
                <w:szCs w:val="13"/>
              </w:rPr>
              <w:t xml:space="preserve">5.99 (4.02)</w:t>
            </w:r>
          </w:p>
        </w:tc>
        <w:tc>
          <w:tcPr>
            <w:tcW w:type="dxa" w:w="1145"/>
          </w:tcPr>
          <w:p>
            <w:pPr>
              <w:pStyle w:val="Compact"/>
              <w:spacing w:before="20" w:after="20" w:line="240" w:lineRule="auto"/>
              <w:jc w:val="right"/>
              <w:keepNext/>
            </w:pPr>
            <w:r>
              <w:rPr>
                <w:sz w:val="13"/>
                <w:szCs w:val="13"/>
              </w:rPr>
              <w:t xml:space="preserve">2020</w:t>
            </w:r>
          </w:p>
        </w:tc>
      </w:tr>
      <w:tr>
        <w:trPr>
          <w:cantSplit/>
        </w:trPr>
        <w:tc>
          <w:tcPr>
            <w:tcW w:type="dxa" w:w="972"/>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46"/>
          </w:tcPr>
          <w:p>
            <w:pPr>
              <w:pStyle w:val="Compact"/>
              <w:spacing w:before="20" w:after="20" w:line="240" w:lineRule="auto"/>
              <w:keepNext/>
            </w:pPr>
            <w:r>
              <w:rPr>
                <w:sz w:val="13"/>
                <w:szCs w:val="13"/>
              </w:rPr>
              <w:t xml:space="preserve">63 (36.0%)</w:t>
            </w:r>
          </w:p>
        </w:tc>
        <w:tc>
          <w:tcPr>
            <w:tcW w:type="dxa" w:w="1246"/>
          </w:tcPr>
          <w:p>
            <w:pPr>
              <w:pStyle w:val="Compact"/>
              <w:spacing w:before="20" w:after="20" w:line="240" w:lineRule="auto"/>
              <w:keepNext/>
            </w:pPr>
            <w:r>
              <w:rPr>
                <w:sz w:val="13"/>
                <w:szCs w:val="13"/>
              </w:rPr>
              <w:t xml:space="preserve">69 (39.4%)</w:t>
            </w:r>
          </w:p>
        </w:tc>
        <w:tc>
          <w:tcPr>
            <w:tcW w:type="dxa" w:w="1246"/>
          </w:tcPr>
          <w:p>
            <w:pPr>
              <w:pStyle w:val="Compact"/>
              <w:spacing w:before="20" w:after="20" w:line="240" w:lineRule="auto"/>
              <w:keepNext/>
            </w:pPr>
            <w:r>
              <w:rPr>
                <w:sz w:val="13"/>
                <w:szCs w:val="13"/>
              </w:rPr>
              <w:t xml:space="preserve">43 (24.6%)</w:t>
            </w:r>
          </w:p>
        </w:tc>
        <w:tc>
          <w:tcPr>
            <w:tcW w:type="dxa" w:w="954"/>
          </w:tcPr>
          <w:p>
            <w:pPr>
              <w:pStyle w:val="Compact"/>
              <w:spacing w:before="20" w:after="20" w:line="240" w:lineRule="auto"/>
              <w:jc w:val="right"/>
              <w:keepNext/>
            </w:pPr>
            <w:r>
              <w:rPr>
                <w:sz w:val="13"/>
                <w:szCs w:val="13"/>
              </w:rPr>
              <w:t xml:space="preserve">64.0</w:t>
            </w:r>
          </w:p>
        </w:tc>
        <w:tc>
          <w:tcPr>
            <w:tcW w:type="dxa" w:w="1803"/>
          </w:tcPr>
          <w:p>
            <w:pPr>
              <w:pStyle w:val="Compact"/>
              <w:spacing w:before="20" w:after="20" w:line="240" w:lineRule="auto"/>
              <w:keepNext/>
            </w:pPr>
            <w:r>
              <w:rPr>
                <w:sz w:val="13"/>
                <w:szCs w:val="13"/>
              </w:rPr>
              <w:t xml:space="preserve">4.83 (3.39)</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46"/>
          </w:tcPr>
          <w:p>
            <w:pPr>
              <w:pStyle w:val="Compact"/>
              <w:spacing w:before="20" w:after="20" w:line="240" w:lineRule="auto"/>
              <w:keepNext/>
            </w:pPr>
            <w:r>
              <w:rPr>
                <w:sz w:val="13"/>
                <w:szCs w:val="13"/>
              </w:rPr>
              <w:t xml:space="preserve">43 (38.1%)</w:t>
            </w:r>
          </w:p>
        </w:tc>
        <w:tc>
          <w:tcPr>
            <w:tcW w:type="dxa" w:w="1246"/>
          </w:tcPr>
          <w:p>
            <w:pPr>
              <w:pStyle w:val="Compact"/>
              <w:spacing w:before="20" w:after="20" w:line="240" w:lineRule="auto"/>
              <w:keepNext/>
            </w:pPr>
            <w:r>
              <w:rPr>
                <w:sz w:val="13"/>
                <w:szCs w:val="13"/>
              </w:rPr>
              <w:t xml:space="preserve">46 (40.7%)</w:t>
            </w:r>
          </w:p>
        </w:tc>
        <w:tc>
          <w:tcPr>
            <w:tcW w:type="dxa" w:w="1246"/>
          </w:tcPr>
          <w:p>
            <w:pPr>
              <w:pStyle w:val="Compact"/>
              <w:spacing w:before="20" w:after="20" w:line="240" w:lineRule="auto"/>
              <w:keepNext/>
            </w:pPr>
            <w:r>
              <w:rPr>
                <w:sz w:val="13"/>
                <w:szCs w:val="13"/>
              </w:rPr>
              <w:t xml:space="preserve">24 (21.2%)</w:t>
            </w:r>
          </w:p>
        </w:tc>
        <w:tc>
          <w:tcPr>
            <w:tcW w:type="dxa" w:w="954"/>
          </w:tcPr>
          <w:p>
            <w:pPr>
              <w:pStyle w:val="Compact"/>
              <w:spacing w:before="20" w:after="20" w:line="240" w:lineRule="auto"/>
              <w:jc w:val="right"/>
              <w:keepNext/>
            </w:pPr>
            <w:r>
              <w:rPr>
                <w:sz w:val="13"/>
                <w:szCs w:val="13"/>
              </w:rPr>
              <w:t xml:space="preserve">61.9</w:t>
            </w:r>
          </w:p>
        </w:tc>
        <w:tc>
          <w:tcPr>
            <w:tcW w:type="dxa" w:w="1803"/>
          </w:tcPr>
          <w:p>
            <w:pPr>
              <w:pStyle w:val="Compact"/>
              <w:spacing w:before="20" w:after="20" w:line="240" w:lineRule="auto"/>
              <w:keepNext/>
            </w:pPr>
            <w:r>
              <w:rPr>
                <w:sz w:val="13"/>
                <w:szCs w:val="13"/>
              </w:rPr>
              <w:t xml:space="preserve">5.04 (3.57)</w:t>
            </w:r>
          </w:p>
        </w:tc>
        <w:tc>
          <w:tcPr>
            <w:tcW w:type="dxa" w:w="1145"/>
          </w:tcPr>
          <w:p>
            <w:pPr>
              <w:pStyle w:val="Compact"/>
              <w:spacing w:before="20" w:after="20" w:line="240" w:lineRule="auto"/>
              <w:jc w:val="right"/>
              <w:keepNext/>
            </w:pPr>
            <w:r>
              <w:rPr>
                <w:sz w:val="13"/>
                <w:szCs w:val="13"/>
              </w:rPr>
              <w:t xml:space="preserve">2022</w:t>
            </w:r>
          </w:p>
        </w:tc>
      </w:tr>
      <w:tr>
        <w:trPr>
          <w:cantSplit/>
        </w:trPr>
        <w:tc>
          <w:tcPr>
            <w:tcW w:type="dxa" w:w="972"/>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46"/>
          </w:tcPr>
          <w:p>
            <w:pPr>
              <w:pStyle w:val="Compact"/>
              <w:spacing w:before="20" w:after="20" w:line="240" w:lineRule="auto"/>
              <w:keepNext/>
            </w:pPr>
            <w:r>
              <w:rPr>
                <w:sz w:val="13"/>
                <w:szCs w:val="13"/>
              </w:rPr>
              <w:t xml:space="preserve">29 (34.9%)</w:t>
            </w:r>
          </w:p>
        </w:tc>
        <w:tc>
          <w:tcPr>
            <w:tcW w:type="dxa" w:w="1246"/>
          </w:tcPr>
          <w:p>
            <w:pPr>
              <w:pStyle w:val="Compact"/>
              <w:spacing w:before="20" w:after="20" w:line="240" w:lineRule="auto"/>
              <w:keepNext/>
            </w:pPr>
            <w:r>
              <w:rPr>
                <w:sz w:val="13"/>
                <w:szCs w:val="13"/>
              </w:rPr>
              <w:t xml:space="preserve">44 (53.0%)</w:t>
            </w:r>
          </w:p>
        </w:tc>
        <w:tc>
          <w:tcPr>
            <w:tcW w:type="dxa" w:w="1246"/>
          </w:tcPr>
          <w:p>
            <w:pPr>
              <w:pStyle w:val="Compact"/>
              <w:spacing w:before="20" w:after="20" w:line="240" w:lineRule="auto"/>
              <w:keepNext/>
            </w:pPr>
            <w:r>
              <w:rPr>
                <w:sz w:val="13"/>
                <w:szCs w:val="13"/>
              </w:rPr>
              <w:t xml:space="preserve">10 (12.0%)</w:t>
            </w:r>
          </w:p>
        </w:tc>
        <w:tc>
          <w:tcPr>
            <w:tcW w:type="dxa" w:w="954"/>
          </w:tcPr>
          <w:p>
            <w:pPr>
              <w:pStyle w:val="Compact"/>
              <w:spacing w:before="20" w:after="20" w:line="240" w:lineRule="auto"/>
              <w:jc w:val="right"/>
              <w:keepNext/>
            </w:pPr>
            <w:r>
              <w:rPr>
                <w:sz w:val="13"/>
                <w:szCs w:val="13"/>
              </w:rPr>
              <w:t xml:space="preserve">65.1</w:t>
            </w:r>
          </w:p>
        </w:tc>
        <w:tc>
          <w:tcPr>
            <w:tcW w:type="dxa" w:w="1803"/>
          </w:tcPr>
          <w:p>
            <w:pPr>
              <w:pStyle w:val="Compact"/>
              <w:spacing w:before="20" w:after="20" w:line="240" w:lineRule="auto"/>
              <w:keepNext/>
            </w:pPr>
            <w:r>
              <w:rPr>
                <w:sz w:val="13"/>
                <w:szCs w:val="13"/>
              </w:rPr>
              <w:t xml:space="preserve">5.94 (3.75)</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46"/>
          </w:tcPr>
          <w:p>
            <w:pPr>
              <w:pStyle w:val="Compact"/>
              <w:spacing w:before="20" w:after="20" w:line="240" w:lineRule="auto"/>
              <w:keepNext/>
            </w:pPr>
            <w:r>
              <w:rPr>
                <w:sz w:val="13"/>
                <w:szCs w:val="13"/>
              </w:rPr>
              <w:t xml:space="preserve">24 (32.0%)</w:t>
            </w:r>
          </w:p>
        </w:tc>
        <w:tc>
          <w:tcPr>
            <w:tcW w:type="dxa" w:w="1246"/>
          </w:tcPr>
          <w:p>
            <w:pPr>
              <w:pStyle w:val="Compact"/>
              <w:spacing w:before="20" w:after="20" w:line="240" w:lineRule="auto"/>
              <w:keepNext/>
            </w:pPr>
            <w:r>
              <w:rPr>
                <w:sz w:val="13"/>
                <w:szCs w:val="13"/>
              </w:rPr>
              <w:t xml:space="preserve">39 (52.0%)</w:t>
            </w:r>
          </w:p>
        </w:tc>
        <w:tc>
          <w:tcPr>
            <w:tcW w:type="dxa" w:w="1246"/>
          </w:tcPr>
          <w:p>
            <w:pPr>
              <w:pStyle w:val="Compact"/>
              <w:spacing w:before="20" w:after="20" w:line="240" w:lineRule="auto"/>
              <w:keepNext/>
            </w:pPr>
            <w:r>
              <w:rPr>
                <w:sz w:val="13"/>
                <w:szCs w:val="13"/>
              </w:rPr>
              <w:t xml:space="preserve">12 (16.0%)</w:t>
            </w:r>
          </w:p>
        </w:tc>
        <w:tc>
          <w:tcPr>
            <w:tcW w:type="dxa" w:w="954"/>
          </w:tcPr>
          <w:p>
            <w:pPr>
              <w:pStyle w:val="Compact"/>
              <w:spacing w:before="20" w:after="20" w:line="240" w:lineRule="auto"/>
              <w:jc w:val="right"/>
              <w:keepNext/>
            </w:pPr>
            <w:r>
              <w:rPr>
                <w:sz w:val="13"/>
                <w:szCs w:val="13"/>
              </w:rPr>
              <w:t xml:space="preserve">68.0</w:t>
            </w:r>
          </w:p>
        </w:tc>
        <w:tc>
          <w:tcPr>
            <w:tcW w:type="dxa" w:w="1803"/>
          </w:tcPr>
          <w:p>
            <w:pPr>
              <w:pStyle w:val="Compact"/>
              <w:spacing w:before="20" w:after="20" w:line="240" w:lineRule="auto"/>
              <w:keepNext/>
            </w:pPr>
            <w:r>
              <w:rPr>
                <w:sz w:val="13"/>
                <w:szCs w:val="13"/>
              </w:rPr>
              <w:t xml:space="preserve">6.27 (4.23)</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46"/>
          </w:tcPr>
          <w:p>
            <w:pPr>
              <w:pStyle w:val="Compact"/>
              <w:spacing w:before="20" w:after="20" w:line="240" w:lineRule="auto"/>
              <w:keepNext/>
            </w:pPr>
            <w:r>
              <w:rPr>
                <w:sz w:val="13"/>
                <w:szCs w:val="13"/>
              </w:rPr>
              <w:t xml:space="preserve">17 (29.3%)</w:t>
            </w:r>
          </w:p>
        </w:tc>
        <w:tc>
          <w:tcPr>
            <w:tcW w:type="dxa" w:w="1246"/>
          </w:tcPr>
          <w:p>
            <w:pPr>
              <w:pStyle w:val="Compact"/>
              <w:spacing w:before="20" w:after="20" w:line="240" w:lineRule="auto"/>
              <w:keepNext/>
            </w:pPr>
            <w:r>
              <w:rPr>
                <w:sz w:val="13"/>
                <w:szCs w:val="13"/>
              </w:rPr>
              <w:t xml:space="preserve">25 (43.1%)</w:t>
            </w:r>
          </w:p>
        </w:tc>
        <w:tc>
          <w:tcPr>
            <w:tcW w:type="dxa" w:w="1246"/>
          </w:tcPr>
          <w:p>
            <w:pPr>
              <w:pStyle w:val="Compact"/>
              <w:spacing w:before="20" w:after="20" w:line="240" w:lineRule="auto"/>
              <w:keepNext/>
            </w:pPr>
            <w:r>
              <w:rPr>
                <w:sz w:val="13"/>
                <w:szCs w:val="13"/>
              </w:rPr>
              <w:t xml:space="preserve">16 (27.6%)</w:t>
            </w:r>
          </w:p>
        </w:tc>
        <w:tc>
          <w:tcPr>
            <w:tcW w:type="dxa" w:w="954"/>
          </w:tcPr>
          <w:p>
            <w:pPr>
              <w:pStyle w:val="Compact"/>
              <w:spacing w:before="20" w:after="20" w:line="240" w:lineRule="auto"/>
              <w:jc w:val="right"/>
              <w:keepNext/>
            </w:pPr>
            <w:r>
              <w:rPr>
                <w:sz w:val="13"/>
                <w:szCs w:val="13"/>
              </w:rPr>
              <w:t xml:space="preserve">70.7</w:t>
            </w:r>
          </w:p>
        </w:tc>
        <w:tc>
          <w:tcPr>
            <w:tcW w:type="dxa" w:w="1803"/>
          </w:tcPr>
          <w:p>
            <w:pPr>
              <w:pStyle w:val="Compact"/>
              <w:spacing w:before="20" w:after="20" w:line="240" w:lineRule="auto"/>
              <w:keepNext/>
            </w:pPr>
            <w:r>
              <w:rPr>
                <w:sz w:val="13"/>
                <w:szCs w:val="13"/>
              </w:rPr>
              <w:t xml:space="preserve">5.84 (4.64)</w:t>
            </w:r>
          </w:p>
        </w:tc>
        <w:tc>
          <w:tcPr>
            <w:tcW w:type="dxa" w:w="1145"/>
          </w:tcPr>
          <w:p>
            <w:pPr>
              <w:pStyle w:val="Compact"/>
              <w:spacing w:before="20" w:after="20" w:line="240" w:lineRule="auto"/>
              <w:jc w:val="right"/>
              <w:keepNext/>
            </w:pPr>
            <w:r>
              <w:rPr>
                <w:sz w:val="13"/>
                <w:szCs w:val="13"/>
              </w:rPr>
              <w:t xml:space="preserve">2018</w:t>
            </w:r>
          </w:p>
        </w:tc>
      </w:tr>
      <w:tr>
        <w:trPr>
          <w:cantSplit/>
        </w:trPr>
        <w:tc>
          <w:tcPr>
            <w:tcW w:type="dxa" w:w="972"/>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46"/>
          </w:tcPr>
          <w:p>
            <w:pPr>
              <w:pStyle w:val="Compact"/>
              <w:spacing w:before="20" w:after="20" w:line="240" w:lineRule="auto"/>
              <w:keepNext/>
            </w:pPr>
            <w:r>
              <w:rPr>
                <w:sz w:val="13"/>
                <w:szCs w:val="13"/>
              </w:rPr>
              <w:t xml:space="preserve">10 (38.5%)</w:t>
            </w:r>
          </w:p>
        </w:tc>
        <w:tc>
          <w:tcPr>
            <w:tcW w:type="dxa" w:w="1246"/>
          </w:tcPr>
          <w:p>
            <w:pPr>
              <w:pStyle w:val="Compact"/>
              <w:spacing w:before="20" w:after="20" w:line="240" w:lineRule="auto"/>
              <w:keepNext/>
            </w:pPr>
            <w:r>
              <w:rPr>
                <w:sz w:val="13"/>
                <w:szCs w:val="13"/>
              </w:rPr>
              <w:t xml:space="preserve">13 (50.0%)</w:t>
            </w:r>
          </w:p>
        </w:tc>
        <w:tc>
          <w:tcPr>
            <w:tcW w:type="dxa" w:w="1246"/>
          </w:tcPr>
          <w:p>
            <w:pPr>
              <w:pStyle w:val="Compact"/>
              <w:spacing w:before="20" w:after="20" w:line="240" w:lineRule="auto"/>
              <w:keepNext/>
            </w:pPr>
            <w:r>
              <w:rPr>
                <w:sz w:val="13"/>
                <w:szCs w:val="13"/>
              </w:rPr>
              <w:t xml:space="preserve">3 (11.5%)</w:t>
            </w:r>
          </w:p>
        </w:tc>
        <w:tc>
          <w:tcPr>
            <w:tcW w:type="dxa" w:w="954"/>
          </w:tcPr>
          <w:p>
            <w:pPr>
              <w:pStyle w:val="Compact"/>
              <w:spacing w:before="20" w:after="20" w:line="240" w:lineRule="auto"/>
              <w:jc w:val="right"/>
              <w:keepNext/>
            </w:pPr>
            <w:r>
              <w:rPr>
                <w:sz w:val="13"/>
                <w:szCs w:val="13"/>
              </w:rPr>
              <w:t xml:space="preserve">61.5</w:t>
            </w:r>
          </w:p>
        </w:tc>
        <w:tc>
          <w:tcPr>
            <w:tcW w:type="dxa" w:w="1803"/>
          </w:tcPr>
          <w:p>
            <w:pPr>
              <w:pStyle w:val="Compact"/>
              <w:spacing w:before="20" w:after="20" w:line="240" w:lineRule="auto"/>
              <w:keepNext/>
            </w:pPr>
            <w:r>
              <w:rPr>
                <w:sz w:val="13"/>
                <w:szCs w:val="13"/>
              </w:rPr>
              <w:t xml:space="preserve">6.88 (7.00)</w:t>
            </w:r>
          </w:p>
        </w:tc>
        <w:tc>
          <w:tcPr>
            <w:tcW w:type="dxa" w:w="1145"/>
          </w:tcPr>
          <w:p>
            <w:pPr>
              <w:pStyle w:val="Compact"/>
              <w:spacing w:before="20" w:after="20" w:line="240" w:lineRule="auto"/>
              <w:jc w:val="right"/>
              <w:keepNext/>
            </w:pPr>
            <w:r>
              <w:rPr>
                <w:sz w:val="13"/>
                <w:szCs w:val="13"/>
              </w:rPr>
              <w:t xml:space="preserve">2011.5</w:t>
            </w:r>
          </w:p>
        </w:tc>
      </w:tr>
      <w:tr>
        <w:trPr>
          <w:cantSplit/>
        </w:trPr>
        <w:tc>
          <w:tcPr>
            <w:tcW w:type="dxa" w:w="972"/>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46"/>
          </w:tcPr>
          <w:p>
            <w:pPr>
              <w:pStyle w:val="Compact"/>
              <w:spacing w:before="20" w:after="20" w:line="240" w:lineRule="auto"/>
              <w:keepNext/>
            </w:pPr>
            <w:r>
              <w:rPr>
                <w:sz w:val="13"/>
                <w:szCs w:val="13"/>
              </w:rPr>
              <w:t xml:space="preserve">4 (25.0%)</w:t>
            </w:r>
          </w:p>
        </w:tc>
        <w:tc>
          <w:tcPr>
            <w:tcW w:type="dxa" w:w="1246"/>
          </w:tcPr>
          <w:p>
            <w:pPr>
              <w:pStyle w:val="Compact"/>
              <w:spacing w:before="20" w:after="20" w:line="240" w:lineRule="auto"/>
              <w:keepNext/>
            </w:pPr>
            <w:r>
              <w:rPr>
                <w:sz w:val="13"/>
                <w:szCs w:val="13"/>
              </w:rPr>
              <w:t xml:space="preserve">8 (50.0%)</w:t>
            </w:r>
          </w:p>
        </w:tc>
        <w:tc>
          <w:tcPr>
            <w:tcW w:type="dxa" w:w="1246"/>
          </w:tcPr>
          <w:p>
            <w:pPr>
              <w:pStyle w:val="Compact"/>
              <w:spacing w:before="20" w:after="20" w:line="240" w:lineRule="auto"/>
              <w:keepNext/>
            </w:pPr>
            <w:r>
              <w:rPr>
                <w:sz w:val="13"/>
                <w:szCs w:val="13"/>
              </w:rPr>
              <w:t xml:space="preserve">4 (25.0%)</w:t>
            </w:r>
          </w:p>
        </w:tc>
        <w:tc>
          <w:tcPr>
            <w:tcW w:type="dxa" w:w="954"/>
          </w:tcPr>
          <w:p>
            <w:pPr>
              <w:pStyle w:val="Compact"/>
              <w:spacing w:before="20" w:after="20" w:line="240" w:lineRule="auto"/>
              <w:jc w:val="right"/>
              <w:keepNext/>
            </w:pPr>
            <w:r>
              <w:rPr>
                <w:sz w:val="13"/>
                <w:szCs w:val="13"/>
              </w:rPr>
              <w:t xml:space="preserve">75.0</w:t>
            </w:r>
          </w:p>
        </w:tc>
        <w:tc>
          <w:tcPr>
            <w:tcW w:type="dxa" w:w="1803"/>
          </w:tcPr>
          <w:p>
            <w:pPr>
              <w:pStyle w:val="Compact"/>
              <w:spacing w:before="20" w:after="20" w:line="240" w:lineRule="auto"/>
              <w:keepNext/>
            </w:pPr>
            <w:r>
              <w:rPr>
                <w:sz w:val="13"/>
                <w:szCs w:val="13"/>
              </w:rPr>
              <w:t xml:space="preserve">5.81 (6.23)</w:t>
            </w:r>
          </w:p>
        </w:tc>
        <w:tc>
          <w:tcPr>
            <w:tcW w:type="dxa" w:w="1145"/>
          </w:tcPr>
          <w:p>
            <w:pPr>
              <w:pStyle w:val="Compact"/>
              <w:spacing w:before="20" w:after="20" w:line="240" w:lineRule="auto"/>
              <w:jc w:val="right"/>
              <w:keepNext/>
            </w:pPr>
            <w:r>
              <w:rPr>
                <w:sz w:val="13"/>
                <w:szCs w:val="13"/>
              </w:rPr>
              <w:t xml:space="preserve">2015.5</w:t>
            </w:r>
          </w:p>
        </w:tc>
      </w:tr>
      <w:tr>
        <w:trPr>
          <w:cantSplit/>
        </w:trPr>
        <w:tc>
          <w:tcPr>
            <w:tcW w:type="dxa" w:w="972"/>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46"/>
          </w:tcPr>
          <w:p>
            <w:pPr>
              <w:pStyle w:val="Compact"/>
              <w:spacing w:before="20" w:after="20" w:line="240" w:lineRule="auto"/>
              <w:keepNext/>
            </w:pPr>
            <w:r>
              <w:rPr>
                <w:sz w:val="13"/>
                <w:szCs w:val="13"/>
              </w:rPr>
              <w:t xml:space="preserve">338 (36.4%)</w:t>
            </w:r>
          </w:p>
        </w:tc>
        <w:tc>
          <w:tcPr>
            <w:tcW w:type="dxa" w:w="1246"/>
          </w:tcPr>
          <w:p>
            <w:pPr>
              <w:pStyle w:val="Compact"/>
              <w:spacing w:before="20" w:after="20" w:line="240" w:lineRule="auto"/>
              <w:keepNext/>
            </w:pPr>
            <w:r>
              <w:rPr>
                <w:sz w:val="13"/>
                <w:szCs w:val="13"/>
              </w:rPr>
              <w:t xml:space="preserve">425 (45.8%)</w:t>
            </w:r>
          </w:p>
        </w:tc>
        <w:tc>
          <w:tcPr>
            <w:tcW w:type="dxa" w:w="1246"/>
          </w:tcPr>
          <w:p>
            <w:pPr>
              <w:pStyle w:val="Compact"/>
              <w:spacing w:before="20" w:after="20" w:line="240" w:lineRule="auto"/>
              <w:keepNext/>
            </w:pPr>
            <w:r>
              <w:rPr>
                <w:sz w:val="13"/>
                <w:szCs w:val="13"/>
              </w:rPr>
              <w:t xml:space="preserve">165 (17.8%)</w:t>
            </w:r>
          </w:p>
        </w:tc>
        <w:tc>
          <w:tcPr>
            <w:tcW w:type="dxa" w:w="954"/>
          </w:tcPr>
          <w:p>
            <w:pPr>
              <w:pStyle w:val="Compact"/>
              <w:spacing w:before="20" w:after="20" w:line="240" w:lineRule="auto"/>
              <w:jc w:val="right"/>
              <w:keepNext/>
            </w:pPr>
            <w:r>
              <w:rPr>
                <w:sz w:val="13"/>
                <w:szCs w:val="13"/>
              </w:rPr>
              <w:t xml:space="preserve">63.6</w:t>
            </w:r>
          </w:p>
        </w:tc>
        <w:tc>
          <w:tcPr>
            <w:tcW w:type="dxa" w:w="1803"/>
          </w:tcPr>
          <w:p>
            <w:pPr>
              <w:pStyle w:val="Compact"/>
              <w:spacing w:before="20" w:after="20" w:line="240" w:lineRule="auto"/>
              <w:keepNext/>
            </w:pPr>
            <w:r>
              <w:rPr>
                <w:sz w:val="13"/>
                <w:szCs w:val="13"/>
              </w:rPr>
              <w:t xml:space="preserve">5.69 (4.07)</w:t>
            </w:r>
          </w:p>
        </w:tc>
        <w:tc>
          <w:tcPr>
            <w:tcW w:type="dxa" w:w="1145"/>
          </w:tcPr>
          <w:p>
            <w:pPr>
              <w:pStyle w:val="Compact"/>
              <w:spacing w:before="20" w:after="20" w:line="240" w:lineRule="auto"/>
              <w:jc w:val="right"/>
              <w:keepNext/>
            </w:pPr>
            <w:r>
              <w:rPr>
                <w:sz w:val="13"/>
                <w:szCs w:val="13"/>
              </w:rPr>
              <w:t xml:space="preserve">2021</w:t>
            </w:r>
          </w:p>
        </w:tc>
      </w:tr>
    </w:tbl>
    <w:p>
      <w:pPr>
        <w:pStyle w:val="BodyText"/>
      </w:pPr>
      <w:r>
        <w:t xml:space="preserve">출원청은 출원이 제출된 특허청이며, WO와 EP는 국제·지역 출원 경로다. 자료에 출원인 정보가 없으므로 출원청 간 차이는 출원인의 국적이 아니라, 각 관할권에서 어떤 발명이 보호할 가치가 있다고 판단되었는가, 곧 출원 전략의 차이로 해석한다.</w:t>
      </w:r>
    </w:p>
    <w:bookmarkEnd w:id="25"/>
    <w:bookmarkStart w:id="26" w:name="분석-방법"/>
    <w:p>
      <w:pPr>
        <w:pStyle w:val="Heading3"/>
      </w:pPr>
      <w:r>
        <w:t xml:space="preserve">4.3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전공정 청구 여부는 이항 로짓으로 추정하고 승산비(OR)로 보고한다. 셋째, 세 전략 유형은 조립 단독형을 기준으로 하는 다항 로짓(McFadden, 1974)으로 추정하고 상대위험비(RRR)로 보고한다. 다항 로짓이 H1과 H2의 본 검정이며, H3는 음이항(범위)과 다항 로짓(공정 단독형)으로 검정한다. 모든 모형의 설명변수는 출원연도와 출원청 더미이고, 로짓 모형에는 기술범위가 추가된다. 가설 판정에는 5% 유의수준을 쓴다. 표본의 한계(무관 용법, 패밀리 중복, 최근 출원의 공개 시차, H01L21의 정의)에 따라 결과가 달라지는지는 제5.4절에서 표본과 변수를 바꾸어 다시 추정하는 방식으로 확인한다.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4는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H3의 범위 부분을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4.</w:t>
      </w:r>
      <w:r>
        <w:t xml:space="preserve"> </w:t>
      </w:r>
      <w:r>
        <w:t xml:space="preserve">기술범위의 결정요인: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29" name="Picture"/>
            <a:graphic>
              <a:graphicData uri="http://schemas.openxmlformats.org/drawingml/2006/picture">
                <pic:pic>
                  <pic:nvPicPr>
                    <pic:cNvPr descr="figures/fig4_predicted_breadth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1"/>
    <w:bookmarkStart w:id="32" w:name="전공정-기술의-청구-여부"/>
    <w:p>
      <w:pPr>
        <w:pStyle w:val="Heading3"/>
      </w:pPr>
      <w:r>
        <w:t xml:space="preserve">5.2 전공정 기술의 청구 여부</w:t>
      </w:r>
    </w:p>
    <w:p>
      <w:pPr>
        <w:pStyle w:val="FirstParagraph"/>
      </w:pPr>
      <w:r>
        <w:t xml:space="preserve">표 5는 출원이 제조공정 기술(H01L21)을 청구하는지에 대한 이항 로짓이다. 기술범위가 가장 강한 예측변수다. 세부 분류가 하나 늘 때마다 제조공정 기술을 청구할 승산이 약 27% 높아진다(OR 1.267, p &lt; 0.01). 출원연도의 승산비는 1보다 작다(연간 OR 0.946, p &lt; 0.01). 접합 구조 발명이 분야의 주류가 되면서 제조공정을 청구하는 출원의 비중이 줄어든 것이다. 출원청 가운데는 중국만 미국과 유의하게 달라서, 제조공정 기술을 청구할 승산이 65% 높다(OR 1.650, p &lt; 0.05). 모형의 판별력을 나타내는 ROC 곡선 하면적은 0.707로, Hosmer et al.(2013)의 기준에서 받아들일 만한 수준의 하한에 해당한다. 이 모형은 제조공정 기술이 청구되는지만을 묻는다. 경계를 넘는 통합형과 제조공정만 청구하는 공정 단독형을 가르는 것은 다음 절의 다항 로짓이다.</w:t>
      </w:r>
    </w:p>
    <w:p>
      <w:pPr>
        <w:pStyle w:val="BodyText"/>
        <w:keepNext/>
      </w:pPr>
      <w:r>
        <w:rPr>
          <w:b/>
          <w:bCs/>
        </w:rPr>
        <w:t xml:space="preserve">표 5.</w:t>
      </w:r>
      <w:r>
        <w:t xml:space="preserve"> </w:t>
      </w:r>
      <w:r>
        <w:t xml:space="preserve">전공정 기술 청구 여부의 이항 로짓(종속변수 has_process; N = 928; 출원청 기준 = 미국; 로그우도 −547.6;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2"/>
    <w:bookmarkStart w:id="39" w:name="세-가지-전략-유형"/>
    <w:p>
      <w:pPr>
        <w:pStyle w:val="Heading3"/>
      </w:pPr>
      <w:r>
        <w:t xml:space="preserve">5.3 세 가지 전략 유형</w:t>
      </w:r>
    </w:p>
    <w:p>
      <w:pPr>
        <w:pStyle w:val="FirstParagraph"/>
      </w:pPr>
      <w:r>
        <w:t xml:space="preserve">표 6은 조립 단독형을 기준으로 통합형과 공정 단독형의 상대위험비를 보고하는 다항 로짓이다. 이것이 경계 넘기에 대한 본 검정이다.</w:t>
      </w:r>
    </w:p>
    <w:p>
      <w:pPr>
        <w:pStyle w:val="BodyText"/>
      </w:pPr>
      <w:r>
        <w:rPr>
          <w:b/>
          <w:bCs/>
        </w:rPr>
        <w:t xml:space="preserve">기술범위(H1).</w:t>
      </w:r>
      <w:r>
        <w:t xml:space="preserve"> </w:t>
      </w:r>
      <w:r>
        <w:t xml:space="preserve">세부 분류가 하나 늘 때마다 조립 단독형 대비 통합형일 상대위험은 40% 높아지고(RRR 1.403, p &lt; 0.01), 공정 단독형일 상대위험은 10% 낮아진다(RRR 0.905, p &lt; 0.05). 넓은 특허는 두 단계에 걸치고, 좁은 특허는 한 단계에 머문다. H1은 지지된다.</w:t>
      </w:r>
    </w:p>
    <w:p>
      <w:pPr>
        <w:pStyle w:val="BodyText"/>
      </w:pPr>
      <w:r>
        <w:rPr>
          <w:b/>
          <w:bCs/>
        </w:rPr>
        <w:t xml:space="preserve">출원 시점(H2).</w:t>
      </w:r>
      <w:r>
        <w:t xml:space="preserve"> </w:t>
      </w:r>
      <w:r>
        <w:t xml:space="preserve">공정 단독형의 상대위험은 해마다 약 8.7%씩 떨어지는 반면(RRR 0.913, p &lt; 0.01), 통합형의 상대위험은 전 기간의 선형 추세로는 변하지 않는다(RRR 0.993, 비유의). 표 5에서 본 제조공정 청구의 감소는 주로 공정 단독형의 감소에서 온 것이다. H2는 지지된다.</w:t>
      </w:r>
    </w:p>
    <w:p>
      <w:pPr>
        <w:pStyle w:val="BodyText"/>
      </w:pPr>
      <w:r>
        <w:rPr>
          <w:b/>
          <w:bCs/>
        </w:rPr>
        <w:t xml:space="preserve">출원청(H3).</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특허를 낼 성향 자체는 출원청 사이에 다르지 않다. 관할권의 차이는 한 단계에 머무는 특허, 특히 공정 단독형에서 나타난다. 그림 4는 각 출원청에 출원되었을 때 공정 단독형으로 예측되는 평균 확률이다. 중국 출원청은 4건 중 1건(0.255), 미국 출원청은 7건 중 1건(0.143), 일본 출원청은 50건 중 1건(0.021) 꼴이다. H3의 공정 단독형 부분은 지지된다.</w:t>
      </w:r>
    </w:p>
    <w:p>
      <w:pPr>
        <w:pStyle w:val="BodyText"/>
        <w:keepNext/>
      </w:pPr>
      <w:r>
        <w:rPr>
          <w:b/>
          <w:bCs/>
        </w:rPr>
        <w:t xml:space="preserve">표 6.</w:t>
      </w:r>
      <w:r>
        <w:t xml:space="preserve"> </w:t>
      </w:r>
      <w:r>
        <w:t xml:space="preserve">전략 유형의 다항 로짓(기준 범주 = 조립 단독형; N = 928; 출원청 기준 = 미국; 로그우도 −774.5;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4" name="Picture"/>
            <a:graphic>
              <a:graphicData uri="http://schemas.openxmlformats.org/drawingml/2006/picture">
                <pic:pic>
                  <pic:nvPicPr>
                    <pic:cNvPr descr="figures/fig6_predicted_process_only_ko.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7과 그림 5는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7.</w:t>
      </w:r>
      <w:r>
        <w:t xml:space="preserve"> </w:t>
      </w:r>
      <w:r>
        <w:t xml:space="preserve">기간별 전략 유형 분포(N = 928; 괄호 안은 행 비중).</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9"/>
        <w:gridCol w:w="1819"/>
        <w:gridCol w:w="1819"/>
        <w:gridCol w:w="1616"/>
        <w:gridCol w:w="606"/>
        <w:gridCol w:w="1389"/>
      </w:tblGrid>
      <w:tr>
        <w:trPr>
          <w:tblHeader w:val="on"/>
          <w:cantSplit/>
        </w:trPr>
        <w:tc>
          <w:tcPr>
            <w:tcW w:type="dxa" w:w="1819"/>
            <w:tcBorders>
              <w:bottom w:val="single" w:sz="4" w:space="0" w:color="000000"/>
            </w:tcBorders>
          </w:tcPr>
          <w:p>
            <w:pPr>
              <w:pStyle w:val="Compact"/>
              <w:spacing w:before="20" w:after="20" w:line="240" w:lineRule="auto"/>
              <w:keepNext/>
            </w:pPr>
            <w:r>
              <w:rPr>
                <w:sz w:val="17"/>
                <w:szCs w:val="17"/>
              </w:rPr>
              <w:t xml:space="preserve">출원 기간</w:t>
            </w:r>
          </w:p>
        </w:tc>
        <w:tc>
          <w:tcPr>
            <w:tcW w:type="dxa" w:w="1819"/>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819"/>
            <w:tcBorders>
              <w:bottom w:val="single" w:sz="4" w:space="0" w:color="000000"/>
            </w:tcBorders>
          </w:tcPr>
          <w:p>
            <w:pPr>
              <w:pStyle w:val="Compact"/>
              <w:spacing w:before="20" w:after="20" w:line="240" w:lineRule="auto"/>
              <w:keepNext/>
            </w:pPr>
            <w:r>
              <w:rPr>
                <w:sz w:val="17"/>
                <w:szCs w:val="17"/>
              </w:rPr>
              <w:t xml:space="preserve">통합형</w:t>
            </w:r>
          </w:p>
        </w:tc>
        <w:tc>
          <w:tcPr>
            <w:tcW w:type="dxa" w:w="1616"/>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0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89"/>
            <w:tcBorders>
              <w:bottom w:val="single" w:sz="4" w:space="0" w:color="000000"/>
            </w:tcBorders>
          </w:tcPr>
          <w:p>
            <w:pPr>
              <w:pStyle w:val="Compact"/>
              <w:spacing w:before="20" w:after="20" w:line="240" w:lineRule="auto"/>
              <w:jc w:val="right"/>
              <w:keepNext/>
            </w:pPr>
            <w:r>
              <w:rPr>
                <w:sz w:val="17"/>
                <w:szCs w:val="17"/>
              </w:rPr>
              <w:t xml:space="preserve">전공정 청구(%)</w:t>
            </w:r>
          </w:p>
        </w:tc>
      </w:tr>
      <w:tr>
        <w:trPr>
          <w:cantSplit/>
        </w:trPr>
        <w:tc>
          <w:tcPr>
            <w:tcW w:type="dxa" w:w="1819"/>
          </w:tcPr>
          <w:p>
            <w:pPr>
              <w:pStyle w:val="Compact"/>
              <w:spacing w:before="20" w:after="20" w:line="240" w:lineRule="auto"/>
              <w:keepNext/>
            </w:pPr>
            <w:r>
              <w:rPr>
                <w:sz w:val="17"/>
                <w:szCs w:val="17"/>
              </w:rPr>
              <w:t xml:space="preserve">–2014</w:t>
            </w:r>
          </w:p>
        </w:tc>
        <w:tc>
          <w:tcPr>
            <w:tcW w:type="dxa" w:w="1819"/>
          </w:tcPr>
          <w:p>
            <w:pPr>
              <w:pStyle w:val="Compact"/>
              <w:spacing w:before="20" w:after="20" w:line="240" w:lineRule="auto"/>
              <w:keepNext/>
            </w:pPr>
            <w:r>
              <w:rPr>
                <w:sz w:val="17"/>
                <w:szCs w:val="17"/>
              </w:rPr>
              <w:t xml:space="preserve">45 (25.1%)</w:t>
            </w:r>
          </w:p>
        </w:tc>
        <w:tc>
          <w:tcPr>
            <w:tcW w:type="dxa" w:w="1819"/>
          </w:tcPr>
          <w:p>
            <w:pPr>
              <w:pStyle w:val="Compact"/>
              <w:spacing w:before="20" w:after="20" w:line="240" w:lineRule="auto"/>
              <w:keepNext/>
            </w:pPr>
            <w:r>
              <w:rPr>
                <w:sz w:val="17"/>
                <w:szCs w:val="17"/>
              </w:rPr>
              <w:t xml:space="preserve">56 (31.3%)</w:t>
            </w:r>
          </w:p>
        </w:tc>
        <w:tc>
          <w:tcPr>
            <w:tcW w:type="dxa" w:w="1616"/>
          </w:tcPr>
          <w:p>
            <w:pPr>
              <w:pStyle w:val="Compact"/>
              <w:spacing w:before="20" w:after="20" w:line="240" w:lineRule="auto"/>
              <w:keepNext/>
            </w:pPr>
            <w:r>
              <w:rPr>
                <w:sz w:val="17"/>
                <w:szCs w:val="17"/>
              </w:rPr>
              <w:t xml:space="preserve">78 (43.6%)</w:t>
            </w:r>
          </w:p>
        </w:tc>
        <w:tc>
          <w:tcPr>
            <w:tcW w:type="dxa" w:w="606"/>
          </w:tcPr>
          <w:p>
            <w:pPr>
              <w:pStyle w:val="Compact"/>
              <w:spacing w:before="20" w:after="20" w:line="240" w:lineRule="auto"/>
              <w:jc w:val="right"/>
              <w:keepNext/>
            </w:pPr>
            <w:r>
              <w:rPr>
                <w:sz w:val="17"/>
                <w:szCs w:val="17"/>
              </w:rPr>
              <w:t xml:space="preserve">179</w:t>
            </w:r>
          </w:p>
        </w:tc>
        <w:tc>
          <w:tcPr>
            <w:tcW w:type="dxa" w:w="1389"/>
          </w:tcPr>
          <w:p>
            <w:pPr>
              <w:pStyle w:val="Compact"/>
              <w:spacing w:before="20" w:after="20" w:line="240" w:lineRule="auto"/>
              <w:jc w:val="right"/>
              <w:keepNext/>
            </w:pPr>
            <w:r>
              <w:rPr>
                <w:sz w:val="17"/>
                <w:szCs w:val="17"/>
              </w:rPr>
              <w:t xml:space="preserve">74.9</w:t>
            </w:r>
          </w:p>
        </w:tc>
      </w:tr>
      <w:tr>
        <w:trPr>
          <w:cantSplit/>
        </w:trPr>
        <w:tc>
          <w:tcPr>
            <w:tcW w:type="dxa" w:w="1819"/>
          </w:tcPr>
          <w:p>
            <w:pPr>
              <w:pStyle w:val="Compact"/>
              <w:spacing w:before="20" w:after="20" w:line="240" w:lineRule="auto"/>
              <w:keepNext/>
            </w:pPr>
            <w:r>
              <w:rPr>
                <w:sz w:val="17"/>
                <w:szCs w:val="17"/>
              </w:rPr>
              <w:t xml:space="preserve">2015–2019</w:t>
            </w:r>
          </w:p>
        </w:tc>
        <w:tc>
          <w:tcPr>
            <w:tcW w:type="dxa" w:w="1819"/>
          </w:tcPr>
          <w:p>
            <w:pPr>
              <w:pStyle w:val="Compact"/>
              <w:spacing w:before="20" w:after="20" w:line="240" w:lineRule="auto"/>
              <w:keepNext/>
            </w:pPr>
            <w:r>
              <w:rPr>
                <w:sz w:val="17"/>
                <w:szCs w:val="17"/>
              </w:rPr>
              <w:t xml:space="preserve">48 (23.0%)</w:t>
            </w:r>
          </w:p>
        </w:tc>
        <w:tc>
          <w:tcPr>
            <w:tcW w:type="dxa" w:w="1819"/>
          </w:tcPr>
          <w:p>
            <w:pPr>
              <w:pStyle w:val="Compact"/>
              <w:spacing w:before="20" w:after="20" w:line="240" w:lineRule="auto"/>
              <w:keepNext/>
            </w:pPr>
            <w:r>
              <w:rPr>
                <w:sz w:val="17"/>
                <w:szCs w:val="17"/>
              </w:rPr>
              <w:t xml:space="preserve">130 (62.2%)</w:t>
            </w:r>
          </w:p>
        </w:tc>
        <w:tc>
          <w:tcPr>
            <w:tcW w:type="dxa" w:w="1616"/>
          </w:tcPr>
          <w:p>
            <w:pPr>
              <w:pStyle w:val="Compact"/>
              <w:spacing w:before="20" w:after="20" w:line="240" w:lineRule="auto"/>
              <w:keepNext/>
            </w:pPr>
            <w:r>
              <w:rPr>
                <w:sz w:val="17"/>
                <w:szCs w:val="17"/>
              </w:rPr>
              <w:t xml:space="preserve">31 (14.8%)</w:t>
            </w:r>
          </w:p>
        </w:tc>
        <w:tc>
          <w:tcPr>
            <w:tcW w:type="dxa" w:w="606"/>
          </w:tcPr>
          <w:p>
            <w:pPr>
              <w:pStyle w:val="Compact"/>
              <w:spacing w:before="20" w:after="20" w:line="240" w:lineRule="auto"/>
              <w:jc w:val="right"/>
              <w:keepNext/>
            </w:pPr>
            <w:r>
              <w:rPr>
                <w:sz w:val="17"/>
                <w:szCs w:val="17"/>
              </w:rPr>
              <w:t xml:space="preserve">209</w:t>
            </w:r>
          </w:p>
        </w:tc>
        <w:tc>
          <w:tcPr>
            <w:tcW w:type="dxa" w:w="1389"/>
          </w:tcPr>
          <w:p>
            <w:pPr>
              <w:pStyle w:val="Compact"/>
              <w:spacing w:before="20" w:after="20" w:line="240" w:lineRule="auto"/>
              <w:jc w:val="right"/>
              <w:keepNext/>
            </w:pPr>
            <w:r>
              <w:rPr>
                <w:sz w:val="17"/>
                <w:szCs w:val="17"/>
              </w:rPr>
              <w:t xml:space="preserve">77.0</w:t>
            </w:r>
          </w:p>
        </w:tc>
      </w:tr>
      <w:tr>
        <w:trPr>
          <w:cantSplit/>
        </w:trPr>
        <w:tc>
          <w:tcPr>
            <w:tcW w:type="dxa" w:w="1819"/>
          </w:tcPr>
          <w:p>
            <w:pPr>
              <w:pStyle w:val="Compact"/>
              <w:spacing w:before="20" w:after="20" w:line="240" w:lineRule="auto"/>
              <w:keepNext/>
            </w:pPr>
            <w:r>
              <w:rPr>
                <w:sz w:val="17"/>
                <w:szCs w:val="17"/>
              </w:rPr>
              <w:t xml:space="preserve">2020–2024</w:t>
            </w:r>
          </w:p>
        </w:tc>
        <w:tc>
          <w:tcPr>
            <w:tcW w:type="dxa" w:w="1819"/>
          </w:tcPr>
          <w:p>
            <w:pPr>
              <w:pStyle w:val="Compact"/>
              <w:spacing w:before="20" w:after="20" w:line="240" w:lineRule="auto"/>
              <w:keepNext/>
            </w:pPr>
            <w:r>
              <w:rPr>
                <w:sz w:val="17"/>
                <w:szCs w:val="17"/>
              </w:rPr>
              <w:t xml:space="preserve">245 (45.4%)</w:t>
            </w:r>
          </w:p>
        </w:tc>
        <w:tc>
          <w:tcPr>
            <w:tcW w:type="dxa" w:w="1819"/>
          </w:tcPr>
          <w:p>
            <w:pPr>
              <w:pStyle w:val="Compact"/>
              <w:spacing w:before="20" w:after="20" w:line="240" w:lineRule="auto"/>
              <w:keepNext/>
            </w:pPr>
            <w:r>
              <w:rPr>
                <w:sz w:val="17"/>
                <w:szCs w:val="17"/>
              </w:rPr>
              <w:t xml:space="preserve">239 (44.3%)</w:t>
            </w:r>
          </w:p>
        </w:tc>
        <w:tc>
          <w:tcPr>
            <w:tcW w:type="dxa" w:w="1616"/>
          </w:tcPr>
          <w:p>
            <w:pPr>
              <w:pStyle w:val="Compact"/>
              <w:spacing w:before="20" w:after="20" w:line="240" w:lineRule="auto"/>
              <w:keepNext/>
            </w:pPr>
            <w:r>
              <w:rPr>
                <w:sz w:val="17"/>
                <w:szCs w:val="17"/>
              </w:rPr>
              <w:t xml:space="preserve">56 (10.4%)</w:t>
            </w:r>
          </w:p>
        </w:tc>
        <w:tc>
          <w:tcPr>
            <w:tcW w:type="dxa" w:w="606"/>
          </w:tcPr>
          <w:p>
            <w:pPr>
              <w:pStyle w:val="Compact"/>
              <w:spacing w:before="20" w:after="20" w:line="240" w:lineRule="auto"/>
              <w:jc w:val="right"/>
              <w:keepNext/>
            </w:pPr>
            <w:r>
              <w:rPr>
                <w:sz w:val="17"/>
                <w:szCs w:val="17"/>
              </w:rPr>
              <w:t xml:space="preserve">540</w:t>
            </w:r>
          </w:p>
        </w:tc>
        <w:tc>
          <w:tcPr>
            <w:tcW w:type="dxa" w:w="1389"/>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ko.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bookmarkEnd w:id="39"/>
    <w:bookmarkStart w:id="40" w:name="가설-판정과-강건성"/>
    <w:p>
      <w:pPr>
        <w:pStyle w:val="Heading3"/>
      </w:pPr>
      <w:r>
        <w:t xml:space="preserve">5.4 가설 판정과 강건성</w:t>
      </w:r>
    </w:p>
    <w:p>
      <w:pPr>
        <w:pStyle w:val="FirstParagraph"/>
      </w:pPr>
      <w:r>
        <w:t xml:space="preserve">표 8은 가설 검정 결과를 요약한다. 판정은 기준 모형(표 4·6)과 아래의 재추정 결과(표 9)를 함께 고려하였다. 재추정은 원자료에서 표본과 변수를 바꾸어 다시 추정하는 방식으로 하였고, 전체 추정 결과는 부록 B에 실었다.</w:t>
      </w:r>
    </w:p>
    <w:p>
      <w:pPr>
        <w:pStyle w:val="BodyText"/>
        <w:keepNext/>
      </w:pPr>
      <w:r>
        <w:rPr>
          <w:b/>
          <w:bCs/>
        </w:rPr>
        <w:t xml:space="preserve">표 8.</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62"/>
        <w:gridCol w:w="3093"/>
        <w:gridCol w:w="3093"/>
        <w:gridCol w:w="2320"/>
      </w:tblGrid>
      <w:tr>
        <w:trPr>
          <w:tblHeader w:val="on"/>
          <w:cantSplit/>
        </w:trPr>
        <w:tc>
          <w:tcPr>
            <w:tcW w:type="dxa" w:w="562"/>
            <w:tcBorders>
              <w:bottom w:val="single" w:sz="4" w:space="0" w:color="000000"/>
            </w:tcBorders>
          </w:tcPr>
          <w:p>
            <w:pPr>
              <w:pStyle w:val="Compact"/>
              <w:spacing w:before="20" w:after="20" w:line="240" w:lineRule="auto"/>
              <w:keepNext/>
            </w:pPr>
            <w:r>
              <w:rPr>
                <w:sz w:val="13"/>
                <w:szCs w:val="13"/>
              </w:rPr>
              <w:t xml:space="preserve">가설</w:t>
            </w:r>
          </w:p>
        </w:tc>
        <w:tc>
          <w:tcPr>
            <w:tcW w:type="dxa" w:w="3093"/>
            <w:tcBorders>
              <w:bottom w:val="single" w:sz="4" w:space="0" w:color="000000"/>
            </w:tcBorders>
          </w:tcPr>
          <w:p>
            <w:pPr>
              <w:pStyle w:val="Compact"/>
              <w:spacing w:before="20" w:after="20" w:line="240" w:lineRule="auto"/>
              <w:keepNext/>
            </w:pPr>
            <w:r>
              <w:rPr>
                <w:sz w:val="13"/>
                <w:szCs w:val="13"/>
              </w:rPr>
              <w:t xml:space="preserve">예측</w:t>
            </w:r>
          </w:p>
        </w:tc>
        <w:tc>
          <w:tcPr>
            <w:tcW w:type="dxa" w:w="3093"/>
            <w:tcBorders>
              <w:bottom w:val="single" w:sz="4" w:space="0" w:color="000000"/>
            </w:tcBorders>
          </w:tcPr>
          <w:p>
            <w:pPr>
              <w:pStyle w:val="Compact"/>
              <w:spacing w:before="20" w:after="20" w:line="240" w:lineRule="auto"/>
              <w:keepNext/>
            </w:pPr>
            <w:r>
              <w:rPr>
                <w:sz w:val="13"/>
                <w:szCs w:val="13"/>
              </w:rPr>
              <w:t xml:space="preserve">주요 증거</w:t>
            </w:r>
          </w:p>
        </w:tc>
        <w:tc>
          <w:tcPr>
            <w:tcW w:type="dxa" w:w="2320"/>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62"/>
          </w:tcPr>
          <w:p>
            <w:pPr>
              <w:pStyle w:val="Compact"/>
              <w:spacing w:before="20" w:after="20" w:line="240" w:lineRule="auto"/>
              <w:keepNext/>
            </w:pPr>
            <w:r>
              <w:rPr>
                <w:sz w:val="13"/>
                <w:szCs w:val="13"/>
              </w:rPr>
              <w:t xml:space="preserve">H1</w:t>
            </w:r>
          </w:p>
        </w:tc>
        <w:tc>
          <w:tcPr>
            <w:tcW w:type="dxa" w:w="3093"/>
          </w:tcPr>
          <w:p>
            <w:pPr>
              <w:pStyle w:val="Compact"/>
              <w:spacing w:before="20" w:after="20" w:line="240" w:lineRule="auto"/>
              <w:keepNext/>
            </w:pPr>
            <w:r>
              <w:rPr>
                <w:sz w:val="13"/>
                <w:szCs w:val="13"/>
              </w:rPr>
              <w:t xml:space="preserve">범위가 넓을수록 통합형</w:t>
            </w:r>
          </w:p>
        </w:tc>
        <w:tc>
          <w:tcPr>
            <w:tcW w:type="dxa" w:w="3093"/>
          </w:tcPr>
          <w:p>
            <w:pPr>
              <w:pStyle w:val="Compact"/>
              <w:spacing w:before="20" w:after="20" w:line="240" w:lineRule="auto"/>
              <w:keepNext/>
            </w:pPr>
            <w:r>
              <w:rPr>
                <w:sz w:val="13"/>
                <w:szCs w:val="13"/>
              </w:rPr>
              <w:t xml:space="preserve">RRR 1.403***(표 6); 조정 범위 1.262***; 모든 재추정에서 1.295–1.418***(표 9)</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H2</w:t>
            </w:r>
          </w:p>
        </w:tc>
        <w:tc>
          <w:tcPr>
            <w:tcW w:type="dxa" w:w="3093"/>
          </w:tcPr>
          <w:p>
            <w:pPr>
              <w:pStyle w:val="Compact"/>
              <w:spacing w:before="20" w:after="20" w:line="240" w:lineRule="auto"/>
              <w:keepNext/>
            </w:pPr>
            <w:r>
              <w:rPr>
                <w:sz w:val="13"/>
                <w:szCs w:val="13"/>
              </w:rPr>
              <w:t xml:space="preserve">공정 단독형은 시간이 갈수록 감소</w:t>
            </w:r>
          </w:p>
        </w:tc>
        <w:tc>
          <w:tcPr>
            <w:tcW w:type="dxa" w:w="3093"/>
          </w:tcPr>
          <w:p>
            <w:pPr>
              <w:pStyle w:val="Compact"/>
              <w:spacing w:before="20" w:after="20" w:line="240" w:lineRule="auto"/>
              <w:keepNext/>
            </w:pPr>
            <w:r>
              <w:rPr>
                <w:sz w:val="13"/>
                <w:szCs w:val="13"/>
              </w:rPr>
              <w:t xml:space="preserve">RRR 0.913***(표 6); 모든 재추정에서 0.820–0.935***(표 9); 기간별 비중 43.6% → 14.8% → 10.4%(표 7)</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H3</w:t>
            </w:r>
          </w:p>
        </w:tc>
        <w:tc>
          <w:tcPr>
            <w:tcW w:type="dxa" w:w="3093"/>
          </w:tcPr>
          <w:p>
            <w:pPr>
              <w:pStyle w:val="Compact"/>
              <w:spacing w:before="20" w:after="20" w:line="240" w:lineRule="auto"/>
              <w:keepNext/>
            </w:pPr>
            <w:r>
              <w:rPr>
                <w:sz w:val="13"/>
                <w:szCs w:val="13"/>
              </w:rPr>
              <w:t xml:space="preserve">중국 출원청 출원은 범위가 좁고 공정 단독형이 많음</w:t>
            </w:r>
          </w:p>
        </w:tc>
        <w:tc>
          <w:tcPr>
            <w:tcW w:type="dxa" w:w="3093"/>
          </w:tcPr>
          <w:p>
            <w:pPr>
              <w:pStyle w:val="Compact"/>
              <w:spacing w:before="20" w:after="20" w:line="240" w:lineRule="auto"/>
              <w:keepNext/>
            </w:pPr>
            <w:r>
              <w:rPr>
                <w:sz w:val="13"/>
                <w:szCs w:val="13"/>
              </w:rPr>
              <w:t xml:space="preserve">범위 IRR 0.785***(표 4), 모든 재추정에서 유지. 공정 단독형 RRR 2.687***(표 6), 2.720–3.299***(표 9); 다만 2023–2024년 제외 시 1.651(비유의)</w:t>
            </w:r>
          </w:p>
        </w:tc>
        <w:tc>
          <w:tcPr>
            <w:tcW w:type="dxa" w:w="2320"/>
          </w:tcPr>
          <w:p>
            <w:pPr>
              <w:pStyle w:val="Compact"/>
              <w:spacing w:before="20" w:after="20" w:line="240" w:lineRule="auto"/>
              <w:keepNext/>
            </w:pPr>
            <w:r>
              <w:rPr>
                <w:sz w:val="13"/>
                <w:szCs w:val="13"/>
              </w:rPr>
              <w:t xml:space="preserve">지지(공정 단독형 부분은 최근 2년 출원에 의존)</w:t>
            </w:r>
          </w:p>
        </w:tc>
      </w:tr>
    </w:tbl>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4·6)</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패밀리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조정 범위와 좁은 전공정 정의는 기술범위 변수를 바꾸므로 마지막 열은 기준과 같거나 정의되지 않는다. 표준오차와 나머지 계수는 부록 B에 있다.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H1은 기계적 부분을 걷어낸 뒤에도 성립한다.</w:t>
      </w:r>
    </w:p>
    <w:p>
      <w:pPr>
        <w:pStyle w:val="BodyText"/>
      </w:pPr>
      <w:r>
        <w:rPr>
          <w:b/>
          <w:bCs/>
        </w:rPr>
        <w:t xml:space="preserve">패밀리 중복.</w:t>
      </w:r>
      <w:r>
        <w:t xml:space="preserve"> </w:t>
      </w:r>
      <w:r>
        <w:t xml:space="preserve">제목이 같은 출원을 같은 패밀리로 보고 제목당 가장 이른 출원 1건만 남기면 표본은 473건이 된다. 세 가설의 핵심 계수는 모두 1% 수준에서 유지된다. 같은 제목의 미국–중국 출원 쌍 37개를 보면 기술범위는 34쌍, 유형은 36쌍에서 같다. 따라서 출원청 간 차이는 같은 발명을 다르게 청구해서가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전공정 청구는 52.0%로 낮아지고, 유형 분포는 조립 단독형 46.8%, 통합형 37.2%, 공정 단독형 16.0%로 바뀌어 조립 단독형이 가장 많아진다. 즉 통합형이 최다 유형이라는 기술통계는 정의에 따라 달라진다. 그러나 세 가설의 계수는 부호와 유의성이 그대로다.</w:t>
      </w:r>
    </w:p>
    <w:p>
      <w:pPr>
        <w:pStyle w:val="BodyText"/>
      </w:pPr>
      <w:r>
        <w:rPr>
          <w:b/>
          <w:bCs/>
        </w:rPr>
        <w:t xml:space="preserve">무관 용법.</w:t>
      </w:r>
      <w:r>
        <w:t xml:space="preserve"> </w:t>
      </w:r>
      <w:r>
        <w:t xml:space="preserve">직접 접합의 무관한 용법 68건을 빼면(N = 860) 유형 분포는 통합형 47.4%, 조립 단독형 35.4%, 공정 단독형 17.2%이며, 핵심 계수는 모두 유지된다.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중국 출원청의 공정 단독형 편중은 최근 2년의 출원에 상당 부분 의존하며, H3의 판정에 이 점을 명시한다.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좌우된다(부록 B). 일본에 관한 결과는 방향만 참고할 수 있는 잠정적 결과로 본다.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산업과 산업 사이의 일로 다루어 왔다(Hacklin et al., 2009; Curran and Leker, 2011). 본 연구의 결과는 같은 개념이 한 산업을 가로지르는 경계, 곧 반도체 제조의 전공정과 후공정 사이에도 적용되며, 그 경계 넘기를 개별 특허에서 관찰할 수 있음을 보여준다. 하이브리드 본딩 특허의 45.8%는 두 단계의 기술을 한 발명 안에 담고 있고, 63.6%는 제조공정 기술을 청구한다. Jacobides et al.(2006)의 말대로 산업 아키텍처가 분업의 틀이라면, 이런 산업 내 융합은 그 틀이 다시 짜이는 메커니즘이다. 단계 사이의 인터페이스가 흔들리면 발명이 그 양쪽을 함께 청구하기 시작한다. Kapoor(2013)가 보인 것이 분업 속에서도 조직적 통합이 이어졌다는 사실이라면, 본 연구가 보인 것은 그 통합의 기술적 바탕, 곧 두 단계의 지식이 개별 발명 안에서 결합되고 있다는 사실이다. 융합의 단계 논리(Hacklin et al., 2009)에 따르면 기술의 결합이 조직의 결합에 앞서므로, 경계를 넘는 특허의 분포는 산업 아키텍처가 어디서 바뀔지를 미리 알려주는 지표가 될 수 있다.</w:t>
      </w:r>
    </w:p>
    <w:p>
      <w:pPr>
        <w:pStyle w:val="BodyText"/>
      </w:pPr>
      <w:r>
        <w:rPr>
          <w:b/>
          <w:bCs/>
        </w:rPr>
        <w:t xml:space="preserve">융합의 미시 메커니즘으로서의 범위.</w:t>
      </w:r>
      <w:r>
        <w:t xml:space="preserve"> </w:t>
      </w:r>
      <w:r>
        <w:t xml:space="preserve">Kodama(1992)의 융합은 기업의 연구개발 조직 수준에서, 융합 지수는 분야 수준에서 정의되었다. 본 연구의 특허 수준 증거는 그 메커니즘을 개별 발명의 범위에 놓는다. 더 많은 세부 기술에 걸치는 특허가 전공정과 후공정을 함께 청구하는 특허이고, 좁은 특허는 한 단계에 머문다. 이는 범위가 가치를 지닌다는 Lerner(1994)의 발견, 잘게 나뉜 기술 시장에서 넓은 포트폴리오가 유리하다는 Ziedonis(2004)의 설명과 맞닿아 있다. 수율이 이웃 단계의 역량에 달린 기술에서 넓은 범위는 보호 전략일 뿐 아니라 융합이 청구항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7). 2014년 이전에서 2015–2019년으로 가면서 공정 단독형은 43.6%에서 14.8%로 줄고 통합형은 31.3%에서 62.2%로 늘었다. 초기에 중요했던 평탄화, 표면 활성화, 어닐링 같은 공정 발명이 성숙기에는 홀로 특허의 대상이 되기보다 접합 구조와 함께 청구되기 시작한 것이다. 2020–2024년에는 통합형이 44.3%로 낮아지고 조립 단독형이 45.4%로 늘었다. 웨이퍼 단위에서 다이 단위 접합으로 옮겨 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청구에 남기는 흔적.</w:t>
      </w:r>
      <w:r>
        <w:t xml:space="preserve"> </w:t>
      </w:r>
      <w:r>
        <w:t xml:space="preserve">출원청 간 차이는 통합형이 아니라 공정 단독형에서 나타났다. 중국 출원청 출원은 범위가 좁고 공정 단독형에 치우쳐 있다. 이는 적층 전체를 청구하기 전에 특정 제조 단계를 먼저 확보하는 추격 단계의 출원 양상으로, 단계별 추격의 논리(Lee and Lim, 2001)와 들어맞고, 중국 특허의 양적 팽창과 보조금 정책에 관한 증거(Hu and Jefferson, 2009; Dang and Motohashi, 2015)와도 일관된다. 출원청은 어느 시장에서 무엇을 보호할 가치가 있다고 판단되었는가를 보여주는 변수다. 특정 제조 단계를 확보하려는 출원과 그 단계를 선점하려는 출원은 같은 관할권 프로필을 만들며, 둘 다 추격 동학의 양면이다. 범위와 시점을 통제하면 통합형을 낼 성향 자체는 출원청 간에 다르지 않으므로, 관할권의 흔적은 경계를 넘는 발명이 아니라 한 단계에 머무는 발명에 남는다. 이는 기업의 통합 선택이 산업 아키텍처를 만든다는 Kapoor(2013)의 주장을 청구항 수준으로 옮긴 것이다. 한국과 대만은 범위와 통합형에서 미국과 비슷하며, 이는 미국 출원인과 정면으로 경쟁하는 메모리 제조사와 파운드리의 위치를 생각하면 자연스럽다.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경고다. 전통적 조립·테스트 사업은 제조와의 안정된 인터페이스에 기대어 왔으나, 하이브리드 본딩에서 그 인터페이스는 무너졌고 기술을 정의하는 특허는 전공정에 닿는다. 독립적 산업 분석이 파운드리, 종합반도체기업, 라이선싱 기업을 주요 출원인으로 꼽는 점(Yole Group, 2024)을 보면, 평탄화와 표면 화학 역량이 없는 조립 전문기업은 통합형 청구를 둘러싼 경쟁에서 불리할 가능성이 크다. 경계 넘기가 범위와 관련된다는 결과는 필요한 역량이 하나의 공정 단계가 아니라 웨이퍼 준비에서 접합된 적층까지의 흐름 전체를 청구할 수 있는 능력임을 시사한다.</w:t>
      </w:r>
    </w:p>
    <w:p>
      <w:pPr>
        <w:pStyle w:val="BodyText"/>
      </w:pPr>
      <w:r>
        <w:t xml:space="preserve">파운드리와 종합반도체기업에게 첨단 패키징의 내재화는 생산능력의 문제가 아니라 Kapoor와 Adner(2012)가 말한 지식 경계의 문제다. 지식의 범위가 공정 단계를 넘어 넓은 기업일수록 통합형 청구를 쓰기 쉽다.</w:t>
      </w:r>
    </w:p>
    <w:p>
      <w:pPr>
        <w:pStyle w:val="BodyText"/>
      </w:pPr>
      <w:r>
        <w:t xml:space="preserve">정책에 대해서는 관할권 비교가 시사적이다. 중국 관할권의 프로필은 전공정의 개별 공정 단계를 둘러싼 경쟁이 그곳에 집중되어 있음을 보여주며, 특허 건수를 보상하는 정책(Dang and Motohashi, 2015)은 이 양상을 강화할 것이다.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전공정 역량과 이를 하나의 청구항으로 묶는 능력에 달려 있다는 점이다.</w:t>
      </w:r>
    </w:p>
    <w:bookmarkEnd w:id="43"/>
    <w:bookmarkStart w:id="44" w:name="한계와-향후-연구"/>
    <w:p>
      <w:pPr>
        <w:pStyle w:val="Heading3"/>
      </w:pPr>
      <w:r>
        <w:t xml:space="preserve">6.3 한계와 향후 연구</w:t>
      </w:r>
    </w:p>
    <w:p>
      <w:pPr>
        <w:pStyle w:val="FirstParagraph"/>
      </w:pPr>
      <w:r>
        <w:t xml:space="preserve">본 연구의 한계는 세 가지다. 첫째, 본 연구는 출원청 단위로 분석하였고 출원인 정보는 결합하지 않았다. 따라서 중국 출원청의 프로필이 어떤 출원인 집단에서 비롯되는지는 가리지 않으며, PATSTAT의 출원인 국적과 유형을 결합해 기업 수준에서 확인하는 것이 다음 단계다. 둘째, 추정치는 상관관계다. 범위와 전략은 함께 결정될 가능성이 높고 적절한 도구변수가 없으므로 인과관계는 주장하지 않는다. 기술범위도 H01L21·H01L24 두 클래스 안에서만 잰 것이어서, 반도체 밖으로 뻗는 본래 의미의 범위(Lerner, 1994)를 보려면 전체 CPC 기호가 필요하다. 셋째,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4"/>
    <w:bookmarkEnd w:id="45"/>
    <w:bookmarkStart w:id="46" w:name="결론"/>
    <w:p>
      <w:pPr>
        <w:pStyle w:val="Heading2"/>
      </w:pPr>
      <w:r>
        <w:t xml:space="preserve">7. 결론</w:t>
      </w:r>
    </w:p>
    <w:p>
      <w:pPr>
        <w:pStyle w:val="FirstParagraph"/>
      </w:pPr>
      <w:r>
        <w:t xml:space="preserve">기술융합은 그동안 거의 산업과 산업의 만남으로만 연구되어 왔다. 본 연구는 융합이 한 산업의 공정 단계 사이에서도 일어나며, 개별 특허에서 관찰되고, 그 결정요인을 추정할 수 있음을 보였다. 성능이 전공정 역량에 달린 후공정 기술인 하이브리드 본딩에서, 출원의 45.8%는 두 단계의 기술을 한 발명 안에 담고 있고 63.6%는 제조공정 기술을 청구한다. 경계 넘기는 기술범위와 강하게 연관되고, 공정 단독형 청구는 시간이 갈수록 줄었으며, 중국 출원청 출원은 범위가 좁고 공정 단독형에 치우쳐 있다. 이 세 결과는 표본과 변수 정의를 바꾸어도 유지된다. 다만 중국 출원청의 공정 단독형 편중은 최근 2년 출원에 상당 부분 의존하며, 통합형이 늘었다가 줄어든 움직임은 탐색적 해석으로 남긴다. 오랫동안 나뉘어 있던 전공정과 후공정이 한 발명 안에서 결합된 흔적은 발명의 기록 속에 뚜렷하며, 그 구조는 산업 내 사례로 넓힌 융합 이론과 산업 아키텍처 문헌으로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Yole Group, 2024. Hybrid Bonding Patent Landscape Analysis 2024 [Industry report]. KnowMade (Yole Group), Sophia Antipolis.</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47"/>
    <w:bookmarkStart w:id="51" w:name="부록"/>
    <w:p>
      <w:pPr>
        <w:pStyle w:val="Heading2"/>
      </w:pPr>
      <w:r>
        <w:t xml:space="preserve">부록</w:t>
      </w:r>
    </w:p>
    <w:bookmarkStart w:id="48" w:name="부록-a.-기술범위-모형의-비교"/>
    <w:p>
      <w:pPr>
        <w:pStyle w:val="Heading3"/>
      </w:pPr>
      <w:r>
        <w:t xml:space="preserve">부록 A. 기술범위 모형의 비교</w:t>
      </w:r>
    </w:p>
    <w:p>
      <w:pPr>
        <w:pStyle w:val="FirstParagraph"/>
      </w:pPr>
      <w:r>
        <w:t xml:space="preserve">표 A1은 본문 표 4의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결정요인: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48"/>
    <w:bookmarkStart w:id="49" w:name="부록-b.-재추정-결과-전체"/>
    <w:p>
      <w:pPr>
        <w:pStyle w:val="Heading3"/>
      </w:pPr>
      <w:r>
        <w:t xml:space="preserve">부록 B. 재추정 결과 전체</w:t>
      </w:r>
    </w:p>
    <w:p>
      <w:pPr>
        <w:pStyle w:val="FirstParagraph"/>
      </w:pPr>
      <w:r>
        <w:t xml:space="preserve">표 B1과 B2는 본문 표 9에 요약한 재추정의 전체 계수다. 각 열은 표본 또는 변수 정의를 하나씩 바꾼 다항 로짓이며, 기준 열은 본문 표 6과 같다. 조정 범위는 각 클래스의 첫 기호를 뺀 기술범위를, 패밀리 중복 제거는 같은 제목의 출원 가운데 가장 이른 1건만 남긴 표본을, 좁은 전공정 정의는 H01L21의 조립 단계 공정 기호를 제조공정으로 세지 않은 변수를, 무관 용법 제외는 부록 C의 68건을 뺀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0.993 (0.015)</w:t>
            </w:r>
          </w:p>
        </w:tc>
        <w:tc>
          <w:tcPr>
            <w:tcW w:type="dxa" w:w="1136"/>
          </w:tcPr>
          <w:p>
            <w:pPr>
              <w:pStyle w:val="Compact"/>
              <w:spacing w:before="20" w:after="20" w:line="240" w:lineRule="auto"/>
              <w:jc w:val="center"/>
              <w:keepNext/>
            </w:pPr>
            <w:r>
              <w:rPr>
                <w:sz w:val="13"/>
                <w:szCs w:val="13"/>
              </w:rPr>
              <w:t xml:space="preserve">1.002 (0.014)</w:t>
            </w:r>
          </w:p>
        </w:tc>
        <w:tc>
          <w:tcPr>
            <w:tcW w:type="dxa" w:w="1136"/>
          </w:tcPr>
          <w:p>
            <w:pPr>
              <w:pStyle w:val="Compact"/>
              <w:spacing w:before="20" w:after="20" w:line="240" w:lineRule="auto"/>
              <w:jc w:val="center"/>
              <w:keepNext/>
            </w:pPr>
            <w:r>
              <w:rPr>
                <w:sz w:val="13"/>
                <w:szCs w:val="13"/>
              </w:rPr>
              <w:t xml:space="preserve">0.997 (0.018)</w:t>
            </w:r>
          </w:p>
        </w:tc>
        <w:tc>
          <w:tcPr>
            <w:tcW w:type="dxa" w:w="1136"/>
          </w:tcPr>
          <w:p>
            <w:pPr>
              <w:pStyle w:val="Compact"/>
              <w:spacing w:before="20" w:after="20" w:line="240" w:lineRule="auto"/>
              <w:jc w:val="center"/>
              <w:keepNext/>
            </w:pPr>
            <w:r>
              <w:rPr>
                <w:sz w:val="13"/>
                <w:szCs w:val="13"/>
              </w:rPr>
              <w:t xml:space="preserve">0.967** (0.015)</w:t>
            </w:r>
          </w:p>
        </w:tc>
        <w:tc>
          <w:tcPr>
            <w:tcW w:type="dxa" w:w="1136"/>
          </w:tcPr>
          <w:p>
            <w:pPr>
              <w:pStyle w:val="Compact"/>
              <w:spacing w:before="20" w:after="20" w:line="240" w:lineRule="auto"/>
              <w:jc w:val="center"/>
              <w:keepNext/>
            </w:pPr>
            <w:r>
              <w:rPr>
                <w:sz w:val="13"/>
                <w:szCs w:val="13"/>
              </w:rPr>
              <w:t xml:space="preserve">0.949** (0.022)</w:t>
            </w:r>
          </w:p>
        </w:tc>
        <w:tc>
          <w:tcPr>
            <w:tcW w:type="dxa" w:w="1150"/>
          </w:tcPr>
          <w:p>
            <w:pPr>
              <w:pStyle w:val="Compact"/>
              <w:spacing w:before="20" w:after="20" w:line="240" w:lineRule="auto"/>
              <w:jc w:val="center"/>
              <w:keepNext/>
            </w:pPr>
            <w:r>
              <w:rPr>
                <w:sz w:val="13"/>
                <w:szCs w:val="13"/>
              </w:rPr>
              <w:t xml:space="preserve">0.989 (0.018)</w:t>
            </w:r>
          </w:p>
        </w:tc>
        <w:tc>
          <w:tcPr>
            <w:tcW w:type="dxa" w:w="1136"/>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1.403*** (0.031)</w:t>
            </w:r>
          </w:p>
        </w:tc>
        <w:tc>
          <w:tcPr>
            <w:tcW w:type="dxa" w:w="1136"/>
          </w:tcPr>
          <w:p>
            <w:pPr>
              <w:pStyle w:val="Compact"/>
              <w:spacing w:before="20" w:after="20" w:line="240" w:lineRule="auto"/>
              <w:jc w:val="center"/>
              <w:keepNext/>
            </w:pPr>
            <w:r>
              <w:rPr>
                <w:sz w:val="13"/>
                <w:szCs w:val="13"/>
              </w:rPr>
              <w:t xml:space="preserve">1.262*** (0.027)</w:t>
            </w:r>
          </w:p>
        </w:tc>
        <w:tc>
          <w:tcPr>
            <w:tcW w:type="dxa" w:w="1136"/>
          </w:tcPr>
          <w:p>
            <w:pPr>
              <w:pStyle w:val="Compact"/>
              <w:spacing w:before="20" w:after="20" w:line="240" w:lineRule="auto"/>
              <w:jc w:val="center"/>
              <w:keepNext/>
            </w:pPr>
            <w:r>
              <w:rPr>
                <w:sz w:val="13"/>
                <w:szCs w:val="13"/>
              </w:rPr>
              <w:t xml:space="preserve">1.295*** (0.039)</w:t>
            </w:r>
          </w:p>
        </w:tc>
        <w:tc>
          <w:tcPr>
            <w:tcW w:type="dxa" w:w="1136"/>
          </w:tcPr>
          <w:p>
            <w:pPr>
              <w:pStyle w:val="Compact"/>
              <w:spacing w:before="20" w:after="20" w:line="240" w:lineRule="auto"/>
              <w:jc w:val="center"/>
              <w:keepNext/>
            </w:pPr>
            <w:r>
              <w:rPr>
                <w:sz w:val="13"/>
                <w:szCs w:val="13"/>
              </w:rPr>
              <w:t xml:space="preserve">1.352*** (0.028)</w:t>
            </w:r>
          </w:p>
        </w:tc>
        <w:tc>
          <w:tcPr>
            <w:tcW w:type="dxa" w:w="1136"/>
          </w:tcPr>
          <w:p>
            <w:pPr>
              <w:pStyle w:val="Compact"/>
              <w:spacing w:before="20" w:after="20" w:line="240" w:lineRule="auto"/>
              <w:jc w:val="center"/>
              <w:keepNext/>
            </w:pPr>
            <w:r>
              <w:rPr>
                <w:sz w:val="13"/>
                <w:szCs w:val="13"/>
              </w:rPr>
              <w:t xml:space="preserve">1.384*** (0.031)</w:t>
            </w:r>
          </w:p>
        </w:tc>
        <w:tc>
          <w:tcPr>
            <w:tcW w:type="dxa" w:w="1150"/>
          </w:tcPr>
          <w:p>
            <w:pPr>
              <w:pStyle w:val="Compact"/>
              <w:spacing w:before="20" w:after="20" w:line="240" w:lineRule="auto"/>
              <w:jc w:val="center"/>
              <w:keepNext/>
            </w:pPr>
            <w:r>
              <w:rPr>
                <w:sz w:val="13"/>
                <w:szCs w:val="13"/>
              </w:rPr>
              <w:t xml:space="preserve">1.418*** (0.034)</w:t>
            </w:r>
          </w:p>
        </w:tc>
        <w:tc>
          <w:tcPr>
            <w:tcW w:type="dxa" w:w="1136"/>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1.205 (0.233)</w:t>
            </w:r>
          </w:p>
        </w:tc>
        <w:tc>
          <w:tcPr>
            <w:tcW w:type="dxa" w:w="1136"/>
          </w:tcPr>
          <w:p>
            <w:pPr>
              <w:pStyle w:val="Compact"/>
              <w:spacing w:before="20" w:after="20" w:line="240" w:lineRule="auto"/>
              <w:jc w:val="center"/>
              <w:keepNext/>
            </w:pPr>
            <w:r>
              <w:rPr>
                <w:sz w:val="13"/>
                <w:szCs w:val="13"/>
              </w:rPr>
              <w:t xml:space="preserve">1.096 (0.220)</w:t>
            </w:r>
          </w:p>
        </w:tc>
        <w:tc>
          <w:tcPr>
            <w:tcW w:type="dxa" w:w="1136"/>
          </w:tcPr>
          <w:p>
            <w:pPr>
              <w:pStyle w:val="Compact"/>
              <w:spacing w:before="20" w:after="20" w:line="240" w:lineRule="auto"/>
              <w:jc w:val="center"/>
              <w:keepNext/>
            </w:pPr>
            <w:r>
              <w:rPr>
                <w:sz w:val="13"/>
                <w:szCs w:val="13"/>
              </w:rPr>
              <w:t xml:space="preserve">1.366 (0.288)</w:t>
            </w:r>
          </w:p>
        </w:tc>
        <w:tc>
          <w:tcPr>
            <w:tcW w:type="dxa" w:w="1136"/>
          </w:tcPr>
          <w:p>
            <w:pPr>
              <w:pStyle w:val="Compact"/>
              <w:spacing w:before="20" w:after="20" w:line="240" w:lineRule="auto"/>
              <w:jc w:val="center"/>
              <w:keepNext/>
            </w:pPr>
            <w:r>
              <w:rPr>
                <w:sz w:val="13"/>
                <w:szCs w:val="13"/>
              </w:rPr>
              <w:t xml:space="preserve">1.401 (0.235)</w:t>
            </w:r>
          </w:p>
        </w:tc>
        <w:tc>
          <w:tcPr>
            <w:tcW w:type="dxa" w:w="1136"/>
          </w:tcPr>
          <w:p>
            <w:pPr>
              <w:pStyle w:val="Compact"/>
              <w:spacing w:before="20" w:after="20" w:line="240" w:lineRule="auto"/>
              <w:jc w:val="center"/>
              <w:keepNext/>
            </w:pPr>
            <w:r>
              <w:rPr>
                <w:sz w:val="13"/>
                <w:szCs w:val="13"/>
              </w:rPr>
              <w:t xml:space="preserve">1.350 (0.241)</w:t>
            </w:r>
          </w:p>
        </w:tc>
        <w:tc>
          <w:tcPr>
            <w:tcW w:type="dxa" w:w="1150"/>
          </w:tcPr>
          <w:p>
            <w:pPr>
              <w:pStyle w:val="Compact"/>
              <w:spacing w:before="20" w:after="20" w:line="240" w:lineRule="auto"/>
              <w:jc w:val="center"/>
              <w:keepNext/>
            </w:pPr>
            <w:r>
              <w:rPr>
                <w:sz w:val="13"/>
                <w:szCs w:val="13"/>
              </w:rPr>
              <w:t xml:space="preserve">1.231 (0.258)</w:t>
            </w:r>
          </w:p>
        </w:tc>
        <w:tc>
          <w:tcPr>
            <w:tcW w:type="dxa" w:w="1136"/>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1.166 (0.381)</w:t>
            </w:r>
          </w:p>
        </w:tc>
        <w:tc>
          <w:tcPr>
            <w:tcW w:type="dxa" w:w="1136"/>
          </w:tcPr>
          <w:p>
            <w:pPr>
              <w:pStyle w:val="Compact"/>
              <w:spacing w:before="20" w:after="20" w:line="240" w:lineRule="auto"/>
              <w:jc w:val="center"/>
              <w:keepNext/>
            </w:pPr>
            <w:r>
              <w:rPr>
                <w:sz w:val="13"/>
                <w:szCs w:val="13"/>
              </w:rPr>
              <w:t xml:space="preserve">1.161 (0.360)</w:t>
            </w:r>
          </w:p>
        </w:tc>
        <w:tc>
          <w:tcPr>
            <w:tcW w:type="dxa" w:w="1136"/>
          </w:tcPr>
          <w:p>
            <w:pPr>
              <w:pStyle w:val="Compact"/>
              <w:spacing w:before="20" w:after="20" w:line="240" w:lineRule="auto"/>
              <w:jc w:val="center"/>
              <w:keepNext/>
            </w:pPr>
            <w:r>
              <w:rPr>
                <w:sz w:val="13"/>
                <w:szCs w:val="13"/>
              </w:rPr>
              <w:t xml:space="preserve">1.429 (0.485)</w:t>
            </w:r>
          </w:p>
        </w:tc>
        <w:tc>
          <w:tcPr>
            <w:tcW w:type="dxa" w:w="1136"/>
          </w:tcPr>
          <w:p>
            <w:pPr>
              <w:pStyle w:val="Compact"/>
              <w:spacing w:before="20" w:after="20" w:line="240" w:lineRule="auto"/>
              <w:jc w:val="center"/>
              <w:keepNext/>
            </w:pPr>
            <w:r>
              <w:rPr>
                <w:sz w:val="13"/>
                <w:szCs w:val="13"/>
              </w:rPr>
              <w:t xml:space="preserve">1.684 (0.371)</w:t>
            </w:r>
          </w:p>
        </w:tc>
        <w:tc>
          <w:tcPr>
            <w:tcW w:type="dxa" w:w="1136"/>
          </w:tcPr>
          <w:p>
            <w:pPr>
              <w:pStyle w:val="Compact"/>
              <w:spacing w:before="20" w:after="20" w:line="240" w:lineRule="auto"/>
              <w:jc w:val="center"/>
              <w:keepNext/>
            </w:pPr>
            <w:r>
              <w:rPr>
                <w:sz w:val="13"/>
                <w:szCs w:val="13"/>
              </w:rPr>
              <w:t xml:space="preserve">1.128 (0.385)</w:t>
            </w:r>
          </w:p>
        </w:tc>
        <w:tc>
          <w:tcPr>
            <w:tcW w:type="dxa" w:w="1150"/>
          </w:tcPr>
          <w:p>
            <w:pPr>
              <w:pStyle w:val="Compact"/>
              <w:spacing w:before="20" w:after="20" w:line="240" w:lineRule="auto"/>
              <w:jc w:val="center"/>
              <w:keepNext/>
            </w:pPr>
            <w:r>
              <w:rPr>
                <w:sz w:val="13"/>
                <w:szCs w:val="13"/>
              </w:rPr>
              <w:t xml:space="preserve">1.095 (0.396)</w:t>
            </w:r>
          </w:p>
        </w:tc>
        <w:tc>
          <w:tcPr>
            <w:tcW w:type="dxa" w:w="1136"/>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1.312 (0.322)</w:t>
            </w:r>
          </w:p>
        </w:tc>
        <w:tc>
          <w:tcPr>
            <w:tcW w:type="dxa" w:w="1136"/>
          </w:tcPr>
          <w:p>
            <w:pPr>
              <w:pStyle w:val="Compact"/>
              <w:spacing w:before="20" w:after="20" w:line="240" w:lineRule="auto"/>
              <w:jc w:val="center"/>
              <w:keepNext/>
            </w:pPr>
            <w:r>
              <w:rPr>
                <w:sz w:val="13"/>
                <w:szCs w:val="13"/>
              </w:rPr>
              <w:t xml:space="preserve">1.297 (0.302)</w:t>
            </w:r>
          </w:p>
        </w:tc>
        <w:tc>
          <w:tcPr>
            <w:tcW w:type="dxa" w:w="1136"/>
          </w:tcPr>
          <w:p>
            <w:pPr>
              <w:pStyle w:val="Compact"/>
              <w:spacing w:before="20" w:after="20" w:line="240" w:lineRule="auto"/>
              <w:jc w:val="center"/>
              <w:keepNext/>
            </w:pPr>
            <w:r>
              <w:rPr>
                <w:sz w:val="13"/>
                <w:szCs w:val="13"/>
              </w:rPr>
              <w:t xml:space="preserve">1.267 (0.633)</w:t>
            </w:r>
          </w:p>
        </w:tc>
        <w:tc>
          <w:tcPr>
            <w:tcW w:type="dxa" w:w="1136"/>
          </w:tcPr>
          <w:p>
            <w:pPr>
              <w:pStyle w:val="Compact"/>
              <w:spacing w:before="20" w:after="20" w:line="240" w:lineRule="auto"/>
              <w:jc w:val="center"/>
              <w:keepNext/>
            </w:pPr>
            <w:r>
              <w:rPr>
                <w:sz w:val="13"/>
                <w:szCs w:val="13"/>
              </w:rPr>
              <w:t xml:space="preserve">1.763* (0.315)</w:t>
            </w:r>
          </w:p>
        </w:tc>
        <w:tc>
          <w:tcPr>
            <w:tcW w:type="dxa" w:w="1136"/>
          </w:tcPr>
          <w:p>
            <w:pPr>
              <w:pStyle w:val="Compact"/>
              <w:spacing w:before="20" w:after="20" w:line="240" w:lineRule="auto"/>
              <w:jc w:val="center"/>
              <w:keepNext/>
            </w:pPr>
            <w:r>
              <w:rPr>
                <w:sz w:val="13"/>
                <w:szCs w:val="13"/>
              </w:rPr>
              <w:t xml:space="preserve">1.402 (0.323)</w:t>
            </w:r>
          </w:p>
        </w:tc>
        <w:tc>
          <w:tcPr>
            <w:tcW w:type="dxa" w:w="1150"/>
          </w:tcPr>
          <w:p>
            <w:pPr>
              <w:pStyle w:val="Compact"/>
              <w:spacing w:before="20" w:after="20" w:line="240" w:lineRule="auto"/>
              <w:jc w:val="center"/>
              <w:keepNext/>
            </w:pPr>
            <w:r>
              <w:rPr>
                <w:sz w:val="13"/>
                <w:szCs w:val="13"/>
              </w:rPr>
              <w:t xml:space="preserve">1.480 (0.381)</w:t>
            </w:r>
          </w:p>
        </w:tc>
        <w:tc>
          <w:tcPr>
            <w:tcW w:type="dxa" w:w="1136"/>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1.046 (0.557)</w:t>
            </w:r>
          </w:p>
        </w:tc>
        <w:tc>
          <w:tcPr>
            <w:tcW w:type="dxa" w:w="1136"/>
          </w:tcPr>
          <w:p>
            <w:pPr>
              <w:pStyle w:val="Compact"/>
              <w:spacing w:before="20" w:after="20" w:line="240" w:lineRule="auto"/>
              <w:jc w:val="center"/>
              <w:keepNext/>
            </w:pPr>
            <w:r>
              <w:rPr>
                <w:sz w:val="13"/>
                <w:szCs w:val="13"/>
              </w:rPr>
              <w:t xml:space="preserve">1.053 (0.526)</w:t>
            </w:r>
          </w:p>
        </w:tc>
        <w:tc>
          <w:tcPr>
            <w:tcW w:type="dxa" w:w="1136"/>
          </w:tcPr>
          <w:p>
            <w:pPr>
              <w:pStyle w:val="Compact"/>
              <w:spacing w:before="20" w:after="20" w:line="240" w:lineRule="auto"/>
              <w:jc w:val="center"/>
              <w:keepNext/>
            </w:pPr>
            <w:r>
              <w:rPr>
                <w:sz w:val="13"/>
                <w:szCs w:val="13"/>
              </w:rPr>
              <w:t xml:space="preserve">1.572 (0.673)</w:t>
            </w:r>
          </w:p>
        </w:tc>
        <w:tc>
          <w:tcPr>
            <w:tcW w:type="dxa" w:w="1136"/>
          </w:tcPr>
          <w:p>
            <w:pPr>
              <w:pStyle w:val="Compact"/>
              <w:spacing w:before="20" w:after="20" w:line="240" w:lineRule="auto"/>
              <w:jc w:val="center"/>
              <w:keepNext/>
            </w:pPr>
            <w:r>
              <w:rPr>
                <w:sz w:val="13"/>
                <w:szCs w:val="13"/>
              </w:rPr>
              <w:t xml:space="preserve">1.401 (0.536)</w:t>
            </w:r>
          </w:p>
        </w:tc>
        <w:tc>
          <w:tcPr>
            <w:tcW w:type="dxa" w:w="1136"/>
          </w:tcPr>
          <w:p>
            <w:pPr>
              <w:pStyle w:val="Compact"/>
              <w:spacing w:before="20" w:after="20" w:line="240" w:lineRule="auto"/>
              <w:jc w:val="center"/>
              <w:keepNext/>
            </w:pPr>
            <w:r>
              <w:rPr>
                <w:sz w:val="13"/>
                <w:szCs w:val="13"/>
              </w:rPr>
              <w:t xml:space="preserve">1.643 (0.654)</w:t>
            </w:r>
          </w:p>
        </w:tc>
        <w:tc>
          <w:tcPr>
            <w:tcW w:type="dxa" w:w="1150"/>
          </w:tcPr>
          <w:p>
            <w:pPr>
              <w:pStyle w:val="Compact"/>
              <w:spacing w:before="20" w:after="20" w:line="240" w:lineRule="auto"/>
              <w:jc w:val="center"/>
              <w:keepNext/>
            </w:pPr>
            <w:r>
              <w:rPr>
                <w:sz w:val="13"/>
                <w:szCs w:val="13"/>
              </w:rPr>
              <w:t xml:space="preserve">0.400 (0.748)</w:t>
            </w:r>
          </w:p>
        </w:tc>
        <w:tc>
          <w:tcPr>
            <w:tcW w:type="dxa" w:w="1136"/>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1.307 (0.291)</w:t>
            </w:r>
          </w:p>
        </w:tc>
        <w:tc>
          <w:tcPr>
            <w:tcW w:type="dxa" w:w="1136"/>
          </w:tcPr>
          <w:p>
            <w:pPr>
              <w:pStyle w:val="Compact"/>
              <w:spacing w:before="20" w:after="20" w:line="240" w:lineRule="auto"/>
              <w:jc w:val="center"/>
              <w:keepNext/>
            </w:pPr>
            <w:r>
              <w:rPr>
                <w:sz w:val="13"/>
                <w:szCs w:val="13"/>
              </w:rPr>
              <w:t xml:space="preserve">1.302 (0.278)</w:t>
            </w:r>
          </w:p>
        </w:tc>
        <w:tc>
          <w:tcPr>
            <w:tcW w:type="dxa" w:w="1136"/>
          </w:tcPr>
          <w:p>
            <w:pPr>
              <w:pStyle w:val="Compact"/>
              <w:spacing w:before="20" w:after="20" w:line="240" w:lineRule="auto"/>
              <w:jc w:val="center"/>
              <w:keepNext/>
            </w:pPr>
            <w:r>
              <w:rPr>
                <w:sz w:val="13"/>
                <w:szCs w:val="13"/>
              </w:rPr>
              <w:t xml:space="preserve">2.412* (0.480)</w:t>
            </w:r>
          </w:p>
        </w:tc>
        <w:tc>
          <w:tcPr>
            <w:tcW w:type="dxa" w:w="1136"/>
          </w:tcPr>
          <w:p>
            <w:pPr>
              <w:pStyle w:val="Compact"/>
              <w:spacing w:before="20" w:after="20" w:line="240" w:lineRule="auto"/>
              <w:jc w:val="center"/>
              <w:keepNext/>
            </w:pPr>
            <w:r>
              <w:rPr>
                <w:sz w:val="13"/>
                <w:szCs w:val="13"/>
              </w:rPr>
              <w:t xml:space="preserve">1.215 (0.288)</w:t>
            </w:r>
          </w:p>
        </w:tc>
        <w:tc>
          <w:tcPr>
            <w:tcW w:type="dxa" w:w="1136"/>
          </w:tcPr>
          <w:p>
            <w:pPr>
              <w:pStyle w:val="Compact"/>
              <w:spacing w:before="20" w:after="20" w:line="240" w:lineRule="auto"/>
              <w:jc w:val="center"/>
              <w:keepNext/>
            </w:pPr>
            <w:r>
              <w:rPr>
                <w:sz w:val="13"/>
                <w:szCs w:val="13"/>
              </w:rPr>
              <w:t xml:space="preserve">1.522 (0.306)</w:t>
            </w:r>
          </w:p>
        </w:tc>
        <w:tc>
          <w:tcPr>
            <w:tcW w:type="dxa" w:w="1150"/>
          </w:tcPr>
          <w:p>
            <w:pPr>
              <w:pStyle w:val="Compact"/>
              <w:spacing w:before="20" w:after="20" w:line="240" w:lineRule="auto"/>
              <w:jc w:val="center"/>
              <w:keepNext/>
            </w:pPr>
            <w:r>
              <w:rPr>
                <w:sz w:val="13"/>
                <w:szCs w:val="13"/>
              </w:rPr>
              <w:t xml:space="preserve">1.078 (0.313)</w:t>
            </w:r>
          </w:p>
        </w:tc>
        <w:tc>
          <w:tcPr>
            <w:tcW w:type="dxa" w:w="1136"/>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1.126 (0.268)</w:t>
            </w:r>
          </w:p>
        </w:tc>
        <w:tc>
          <w:tcPr>
            <w:tcW w:type="dxa" w:w="1136"/>
          </w:tcPr>
          <w:p>
            <w:pPr>
              <w:pStyle w:val="Compact"/>
              <w:spacing w:before="20" w:after="20" w:line="240" w:lineRule="auto"/>
              <w:jc w:val="center"/>
              <w:keepNext/>
            </w:pPr>
            <w:r>
              <w:rPr>
                <w:sz w:val="13"/>
                <w:szCs w:val="13"/>
              </w:rPr>
              <w:t xml:space="preserve">1.031 (0.254)</w:t>
            </w:r>
          </w:p>
        </w:tc>
        <w:tc>
          <w:tcPr>
            <w:tcW w:type="dxa" w:w="1136"/>
          </w:tcPr>
          <w:p>
            <w:pPr>
              <w:pStyle w:val="Compact"/>
              <w:spacing w:before="20" w:after="20" w:line="240" w:lineRule="auto"/>
              <w:jc w:val="center"/>
              <w:keepNext/>
            </w:pPr>
            <w:r>
              <w:rPr>
                <w:sz w:val="13"/>
                <w:szCs w:val="13"/>
              </w:rPr>
              <w:t xml:space="preserve">1.042 (0.489)</w:t>
            </w:r>
          </w:p>
        </w:tc>
        <w:tc>
          <w:tcPr>
            <w:tcW w:type="dxa" w:w="1136"/>
          </w:tcPr>
          <w:p>
            <w:pPr>
              <w:pStyle w:val="Compact"/>
              <w:spacing w:before="20" w:after="20" w:line="240" w:lineRule="auto"/>
              <w:jc w:val="center"/>
              <w:keepNext/>
            </w:pPr>
            <w:r>
              <w:rPr>
                <w:sz w:val="13"/>
                <w:szCs w:val="13"/>
              </w:rPr>
              <w:t xml:space="preserve">1.193 (0.274)</w:t>
            </w:r>
          </w:p>
        </w:tc>
        <w:tc>
          <w:tcPr>
            <w:tcW w:type="dxa" w:w="1136"/>
          </w:tcPr>
          <w:p>
            <w:pPr>
              <w:pStyle w:val="Compact"/>
              <w:spacing w:before="20" w:after="20" w:line="240" w:lineRule="auto"/>
              <w:jc w:val="center"/>
              <w:keepNext/>
            </w:pPr>
            <w:r>
              <w:rPr>
                <w:sz w:val="13"/>
                <w:szCs w:val="13"/>
              </w:rPr>
              <w:t xml:space="preserve">1.145 (0.274)</w:t>
            </w:r>
          </w:p>
        </w:tc>
        <w:tc>
          <w:tcPr>
            <w:tcW w:type="dxa" w:w="1150"/>
          </w:tcPr>
          <w:p>
            <w:pPr>
              <w:pStyle w:val="Compact"/>
              <w:spacing w:before="20" w:after="20" w:line="240" w:lineRule="auto"/>
              <w:jc w:val="center"/>
              <w:keepNext/>
            </w:pPr>
            <w:r>
              <w:rPr>
                <w:sz w:val="13"/>
                <w:szCs w:val="13"/>
              </w:rPr>
              <w:t xml:space="preserve">1.387 (0.335)</w:t>
            </w:r>
          </w:p>
        </w:tc>
        <w:tc>
          <w:tcPr>
            <w:tcW w:type="dxa" w:w="1136"/>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2.326 (0.681)</w:t>
            </w:r>
          </w:p>
        </w:tc>
        <w:tc>
          <w:tcPr>
            <w:tcW w:type="dxa" w:w="1136"/>
          </w:tcPr>
          <w:p>
            <w:pPr>
              <w:pStyle w:val="Compact"/>
              <w:spacing w:before="20" w:after="20" w:line="240" w:lineRule="auto"/>
              <w:jc w:val="center"/>
              <w:keepNext/>
            </w:pPr>
            <w:r>
              <w:rPr>
                <w:sz w:val="13"/>
                <w:szCs w:val="13"/>
              </w:rPr>
              <w:t xml:space="preserve">2.021 (0.664)</w:t>
            </w:r>
          </w:p>
        </w:tc>
        <w:tc>
          <w:tcPr>
            <w:tcW w:type="dxa" w:w="1136"/>
          </w:tcPr>
          <w:p>
            <w:pPr>
              <w:pStyle w:val="Compact"/>
              <w:spacing w:before="20" w:after="20" w:line="240" w:lineRule="auto"/>
              <w:jc w:val="center"/>
              <w:keepNext/>
            </w:pPr>
            <w:r>
              <w:rPr>
                <w:sz w:val="13"/>
                <w:szCs w:val="13"/>
              </w:rPr>
              <w:t xml:space="preserve">0.167 (2.128)</w:t>
            </w:r>
          </w:p>
        </w:tc>
        <w:tc>
          <w:tcPr>
            <w:tcW w:type="dxa" w:w="1136"/>
          </w:tcPr>
          <w:p>
            <w:pPr>
              <w:pStyle w:val="Compact"/>
              <w:spacing w:before="20" w:after="20" w:line="240" w:lineRule="auto"/>
              <w:jc w:val="center"/>
              <w:keepNext/>
            </w:pPr>
            <w:r>
              <w:rPr>
                <w:sz w:val="13"/>
                <w:szCs w:val="13"/>
              </w:rPr>
              <w:t xml:space="preserve">2.631 (0.663)</w:t>
            </w:r>
          </w:p>
        </w:tc>
        <w:tc>
          <w:tcPr>
            <w:tcW w:type="dxa" w:w="1136"/>
          </w:tcPr>
          <w:p>
            <w:pPr>
              <w:pStyle w:val="Compact"/>
              <w:spacing w:before="20" w:after="20" w:line="240" w:lineRule="auto"/>
              <w:jc w:val="center"/>
              <w:keepNext/>
            </w:pPr>
            <w:r>
              <w:rPr>
                <w:sz w:val="13"/>
                <w:szCs w:val="13"/>
              </w:rPr>
              <w:t xml:space="preserve">2.051 (0.680)</w:t>
            </w:r>
          </w:p>
        </w:tc>
        <w:tc>
          <w:tcPr>
            <w:tcW w:type="dxa" w:w="1150"/>
          </w:tcPr>
          <w:p>
            <w:pPr>
              <w:pStyle w:val="Compact"/>
              <w:spacing w:before="20" w:after="20" w:line="240" w:lineRule="auto"/>
              <w:jc w:val="center"/>
              <w:keepNext/>
            </w:pPr>
            <w:r>
              <w:rPr>
                <w:sz w:val="13"/>
                <w:szCs w:val="13"/>
              </w:rPr>
              <w:t xml:space="preserve">2.979 (0.747)</w:t>
            </w:r>
          </w:p>
        </w:tc>
        <w:tc>
          <w:tcPr>
            <w:tcW w:type="dxa" w:w="1136"/>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0.913*** (0.015)</w:t>
            </w:r>
          </w:p>
        </w:tc>
        <w:tc>
          <w:tcPr>
            <w:tcW w:type="dxa" w:w="1136"/>
          </w:tcPr>
          <w:p>
            <w:pPr>
              <w:pStyle w:val="Compact"/>
              <w:spacing w:before="20" w:after="20" w:line="240" w:lineRule="auto"/>
              <w:jc w:val="center"/>
              <w:keepNext/>
            </w:pPr>
            <w:r>
              <w:rPr>
                <w:sz w:val="13"/>
                <w:szCs w:val="13"/>
              </w:rPr>
              <w:t xml:space="preserve">0.911*** (0.015)</w:t>
            </w:r>
          </w:p>
        </w:tc>
        <w:tc>
          <w:tcPr>
            <w:tcW w:type="dxa" w:w="1136"/>
          </w:tcPr>
          <w:p>
            <w:pPr>
              <w:pStyle w:val="Compact"/>
              <w:spacing w:before="20" w:after="20" w:line="240" w:lineRule="auto"/>
              <w:jc w:val="center"/>
              <w:keepNext/>
            </w:pPr>
            <w:r>
              <w:rPr>
                <w:sz w:val="13"/>
                <w:szCs w:val="13"/>
              </w:rPr>
              <w:t xml:space="preserve">0.935*** (0.016)</w:t>
            </w:r>
          </w:p>
        </w:tc>
        <w:tc>
          <w:tcPr>
            <w:tcW w:type="dxa" w:w="1136"/>
          </w:tcPr>
          <w:p>
            <w:pPr>
              <w:pStyle w:val="Compact"/>
              <w:spacing w:before="20" w:after="20" w:line="240" w:lineRule="auto"/>
              <w:jc w:val="center"/>
              <w:keepNext/>
            </w:pPr>
            <w:r>
              <w:rPr>
                <w:sz w:val="13"/>
                <w:szCs w:val="13"/>
              </w:rPr>
              <w:t xml:space="preserve">0.898*** (0.015)</w:t>
            </w:r>
          </w:p>
        </w:tc>
        <w:tc>
          <w:tcPr>
            <w:tcW w:type="dxa" w:w="1136"/>
          </w:tcPr>
          <w:p>
            <w:pPr>
              <w:pStyle w:val="Compact"/>
              <w:spacing w:before="20" w:after="20" w:line="240" w:lineRule="auto"/>
              <w:jc w:val="center"/>
              <w:keepNext/>
            </w:pPr>
            <w:r>
              <w:rPr>
                <w:sz w:val="13"/>
                <w:szCs w:val="13"/>
              </w:rPr>
              <w:t xml:space="preserve">0.820*** (0.023)</w:t>
            </w:r>
          </w:p>
        </w:tc>
        <w:tc>
          <w:tcPr>
            <w:tcW w:type="dxa" w:w="1150"/>
          </w:tcPr>
          <w:p>
            <w:pPr>
              <w:pStyle w:val="Compact"/>
              <w:spacing w:before="20" w:after="20" w:line="240" w:lineRule="auto"/>
              <w:jc w:val="center"/>
              <w:keepNext/>
            </w:pPr>
            <w:r>
              <w:rPr>
                <w:sz w:val="13"/>
                <w:szCs w:val="13"/>
              </w:rPr>
              <w:t xml:space="preserve">0.909*** (0.016)</w:t>
            </w:r>
          </w:p>
        </w:tc>
        <w:tc>
          <w:tcPr>
            <w:tcW w:type="dxa" w:w="113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0.905** (0.048)</w:t>
            </w:r>
          </w:p>
        </w:tc>
        <w:tc>
          <w:tcPr>
            <w:tcW w:type="dxa" w:w="1136"/>
          </w:tcPr>
          <w:p>
            <w:pPr>
              <w:pStyle w:val="Compact"/>
              <w:spacing w:before="20" w:after="20" w:line="240" w:lineRule="auto"/>
              <w:jc w:val="center"/>
              <w:keepNext/>
            </w:pPr>
            <w:r>
              <w:rPr>
                <w:sz w:val="13"/>
                <w:szCs w:val="13"/>
              </w:rPr>
              <w:t xml:space="preserve">0.915** (0.044)</w:t>
            </w:r>
          </w:p>
        </w:tc>
        <w:tc>
          <w:tcPr>
            <w:tcW w:type="dxa" w:w="1136"/>
          </w:tcPr>
          <w:p>
            <w:pPr>
              <w:pStyle w:val="Compact"/>
              <w:spacing w:before="20" w:after="20" w:line="240" w:lineRule="auto"/>
              <w:jc w:val="center"/>
              <w:keepNext/>
            </w:pPr>
            <w:r>
              <w:rPr>
                <w:sz w:val="13"/>
                <w:szCs w:val="13"/>
              </w:rPr>
              <w:t xml:space="preserve">0.826*** (0.061)</w:t>
            </w:r>
          </w:p>
        </w:tc>
        <w:tc>
          <w:tcPr>
            <w:tcW w:type="dxa" w:w="1136"/>
          </w:tcPr>
          <w:p>
            <w:pPr>
              <w:pStyle w:val="Compact"/>
              <w:spacing w:before="20" w:after="20" w:line="240" w:lineRule="auto"/>
              <w:jc w:val="center"/>
              <w:keepNext/>
            </w:pPr>
            <w:r>
              <w:rPr>
                <w:sz w:val="13"/>
                <w:szCs w:val="13"/>
              </w:rPr>
              <w:t xml:space="preserve">0.923* (0.045)</w:t>
            </w:r>
          </w:p>
        </w:tc>
        <w:tc>
          <w:tcPr>
            <w:tcW w:type="dxa" w:w="1136"/>
          </w:tcPr>
          <w:p>
            <w:pPr>
              <w:pStyle w:val="Compact"/>
              <w:spacing w:before="20" w:after="20" w:line="240" w:lineRule="auto"/>
              <w:jc w:val="center"/>
              <w:keepNext/>
            </w:pPr>
            <w:r>
              <w:rPr>
                <w:sz w:val="13"/>
                <w:szCs w:val="13"/>
              </w:rPr>
              <w:t xml:space="preserve">0.916* (0.050)</w:t>
            </w:r>
          </w:p>
        </w:tc>
        <w:tc>
          <w:tcPr>
            <w:tcW w:type="dxa" w:w="1150"/>
          </w:tcPr>
          <w:p>
            <w:pPr>
              <w:pStyle w:val="Compact"/>
              <w:spacing w:before="20" w:after="20" w:line="240" w:lineRule="auto"/>
              <w:jc w:val="center"/>
              <w:keepNext/>
            </w:pPr>
            <w:r>
              <w:rPr>
                <w:sz w:val="13"/>
                <w:szCs w:val="13"/>
              </w:rPr>
              <w:t xml:space="preserve">0.908* (0.054)</w:t>
            </w:r>
          </w:p>
        </w:tc>
        <w:tc>
          <w:tcPr>
            <w:tcW w:type="dxa" w:w="113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2.687*** (0.276)</w:t>
            </w:r>
          </w:p>
        </w:tc>
        <w:tc>
          <w:tcPr>
            <w:tcW w:type="dxa" w:w="1136"/>
          </w:tcPr>
          <w:p>
            <w:pPr>
              <w:pStyle w:val="Compact"/>
              <w:spacing w:before="20" w:after="20" w:line="240" w:lineRule="auto"/>
              <w:jc w:val="center"/>
              <w:keepNext/>
            </w:pPr>
            <w:r>
              <w:rPr>
                <w:sz w:val="13"/>
                <w:szCs w:val="13"/>
              </w:rPr>
              <w:t xml:space="preserve">2.720*** (0.274)</w:t>
            </w:r>
          </w:p>
        </w:tc>
        <w:tc>
          <w:tcPr>
            <w:tcW w:type="dxa" w:w="1136"/>
          </w:tcPr>
          <w:p>
            <w:pPr>
              <w:pStyle w:val="Compact"/>
              <w:spacing w:before="20" w:after="20" w:line="240" w:lineRule="auto"/>
              <w:jc w:val="center"/>
              <w:keepNext/>
            </w:pPr>
            <w:r>
              <w:rPr>
                <w:sz w:val="13"/>
                <w:szCs w:val="13"/>
              </w:rPr>
              <w:t xml:space="preserve">2.721*** (0.320)</w:t>
            </w:r>
          </w:p>
        </w:tc>
        <w:tc>
          <w:tcPr>
            <w:tcW w:type="dxa" w:w="1136"/>
          </w:tcPr>
          <w:p>
            <w:pPr>
              <w:pStyle w:val="Compact"/>
              <w:spacing w:before="20" w:after="20" w:line="240" w:lineRule="auto"/>
              <w:jc w:val="center"/>
              <w:keepNext/>
            </w:pPr>
            <w:r>
              <w:rPr>
                <w:sz w:val="13"/>
                <w:szCs w:val="13"/>
              </w:rPr>
              <w:t xml:space="preserve">3.299*** (0.285)</w:t>
            </w:r>
          </w:p>
        </w:tc>
        <w:tc>
          <w:tcPr>
            <w:tcW w:type="dxa" w:w="1136"/>
          </w:tcPr>
          <w:p>
            <w:pPr>
              <w:pStyle w:val="Compact"/>
              <w:spacing w:before="20" w:after="20" w:line="240" w:lineRule="auto"/>
              <w:jc w:val="center"/>
              <w:keepNext/>
            </w:pPr>
            <w:r>
              <w:rPr>
                <w:sz w:val="13"/>
                <w:szCs w:val="13"/>
              </w:rPr>
              <w:t xml:space="preserve">3.235*** (0.303)</w:t>
            </w:r>
          </w:p>
        </w:tc>
        <w:tc>
          <w:tcPr>
            <w:tcW w:type="dxa" w:w="1150"/>
          </w:tcPr>
          <w:p>
            <w:pPr>
              <w:pStyle w:val="Compact"/>
              <w:spacing w:before="20" w:after="20" w:line="240" w:lineRule="auto"/>
              <w:jc w:val="center"/>
              <w:keepNext/>
            </w:pPr>
            <w:r>
              <w:rPr>
                <w:sz w:val="13"/>
                <w:szCs w:val="13"/>
              </w:rPr>
              <w:t xml:space="preserve">1.651 (0.319)</w:t>
            </w:r>
          </w:p>
        </w:tc>
        <w:tc>
          <w:tcPr>
            <w:tcW w:type="dxa" w:w="1136"/>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1.906 (0.419)</w:t>
            </w:r>
          </w:p>
        </w:tc>
        <w:tc>
          <w:tcPr>
            <w:tcW w:type="dxa" w:w="1136"/>
          </w:tcPr>
          <w:p>
            <w:pPr>
              <w:pStyle w:val="Compact"/>
              <w:spacing w:before="20" w:after="20" w:line="240" w:lineRule="auto"/>
              <w:jc w:val="center"/>
              <w:keepNext/>
            </w:pPr>
            <w:r>
              <w:rPr>
                <w:sz w:val="13"/>
                <w:szCs w:val="13"/>
              </w:rPr>
              <w:t xml:space="preserve">1.913 (0.419)</w:t>
            </w:r>
          </w:p>
        </w:tc>
        <w:tc>
          <w:tcPr>
            <w:tcW w:type="dxa" w:w="1136"/>
          </w:tcPr>
          <w:p>
            <w:pPr>
              <w:pStyle w:val="Compact"/>
              <w:spacing w:before="20" w:after="20" w:line="240" w:lineRule="auto"/>
              <w:jc w:val="center"/>
              <w:keepNext/>
            </w:pPr>
            <w:r>
              <w:rPr>
                <w:sz w:val="13"/>
                <w:szCs w:val="13"/>
              </w:rPr>
              <w:t xml:space="preserve">1.807 (0.499)</w:t>
            </w:r>
          </w:p>
        </w:tc>
        <w:tc>
          <w:tcPr>
            <w:tcW w:type="dxa" w:w="1136"/>
          </w:tcPr>
          <w:p>
            <w:pPr>
              <w:pStyle w:val="Compact"/>
              <w:spacing w:before="20" w:after="20" w:line="240" w:lineRule="auto"/>
              <w:jc w:val="center"/>
              <w:keepNext/>
            </w:pPr>
            <w:r>
              <w:rPr>
                <w:sz w:val="13"/>
                <w:szCs w:val="13"/>
              </w:rPr>
              <w:t xml:space="preserve">2.636** (0.422)</w:t>
            </w:r>
          </w:p>
        </w:tc>
        <w:tc>
          <w:tcPr>
            <w:tcW w:type="dxa" w:w="1136"/>
          </w:tcPr>
          <w:p>
            <w:pPr>
              <w:pStyle w:val="Compact"/>
              <w:spacing w:before="20" w:after="20" w:line="240" w:lineRule="auto"/>
              <w:jc w:val="center"/>
              <w:keepNext/>
            </w:pPr>
            <w:r>
              <w:rPr>
                <w:sz w:val="13"/>
                <w:szCs w:val="13"/>
              </w:rPr>
              <w:t xml:space="preserve">1.175 (0.510)</w:t>
            </w:r>
          </w:p>
        </w:tc>
        <w:tc>
          <w:tcPr>
            <w:tcW w:type="dxa" w:w="1150"/>
          </w:tcPr>
          <w:p>
            <w:pPr>
              <w:pStyle w:val="Compact"/>
              <w:spacing w:before="20" w:after="20" w:line="240" w:lineRule="auto"/>
              <w:jc w:val="center"/>
              <w:keepNext/>
            </w:pPr>
            <w:r>
              <w:rPr>
                <w:sz w:val="13"/>
                <w:szCs w:val="13"/>
              </w:rPr>
              <w:t xml:space="preserve">1.808 (0.430)</w:t>
            </w:r>
          </w:p>
        </w:tc>
        <w:tc>
          <w:tcPr>
            <w:tcW w:type="dxa" w:w="1136"/>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2.102* (0.407)</w:t>
            </w:r>
          </w:p>
        </w:tc>
        <w:tc>
          <w:tcPr>
            <w:tcW w:type="dxa" w:w="1136"/>
          </w:tcPr>
          <w:p>
            <w:pPr>
              <w:pStyle w:val="Compact"/>
              <w:spacing w:before="20" w:after="20" w:line="240" w:lineRule="auto"/>
              <w:jc w:val="center"/>
              <w:keepNext/>
            </w:pPr>
            <w:r>
              <w:rPr>
                <w:sz w:val="13"/>
                <w:szCs w:val="13"/>
              </w:rPr>
              <w:t xml:space="preserve">2.131* (0.406)</w:t>
            </w:r>
          </w:p>
        </w:tc>
        <w:tc>
          <w:tcPr>
            <w:tcW w:type="dxa" w:w="1136"/>
          </w:tcPr>
          <w:p>
            <w:pPr>
              <w:pStyle w:val="Compact"/>
              <w:spacing w:before="20" w:after="20" w:line="240" w:lineRule="auto"/>
              <w:jc w:val="center"/>
              <w:keepNext/>
            </w:pPr>
            <w:r>
              <w:rPr>
                <w:sz w:val="13"/>
                <w:szCs w:val="13"/>
              </w:rPr>
              <w:t xml:space="preserve">3.485** (0.636)</w:t>
            </w:r>
          </w:p>
        </w:tc>
        <w:tc>
          <w:tcPr>
            <w:tcW w:type="dxa" w:w="1136"/>
          </w:tcPr>
          <w:p>
            <w:pPr>
              <w:pStyle w:val="Compact"/>
              <w:spacing w:before="20" w:after="20" w:line="240" w:lineRule="auto"/>
              <w:jc w:val="center"/>
              <w:keepNext/>
            </w:pPr>
            <w:r>
              <w:rPr>
                <w:sz w:val="13"/>
                <w:szCs w:val="13"/>
              </w:rPr>
              <w:t xml:space="preserve">2.683** (0.416)</w:t>
            </w:r>
          </w:p>
        </w:tc>
        <w:tc>
          <w:tcPr>
            <w:tcW w:type="dxa" w:w="1136"/>
          </w:tcPr>
          <w:p>
            <w:pPr>
              <w:pStyle w:val="Compact"/>
              <w:spacing w:before="20" w:after="20" w:line="240" w:lineRule="auto"/>
              <w:jc w:val="center"/>
              <w:keepNext/>
            </w:pPr>
            <w:r>
              <w:rPr>
                <w:sz w:val="13"/>
                <w:szCs w:val="13"/>
              </w:rPr>
              <w:t xml:space="preserve">2.294* (0.445)</w:t>
            </w:r>
          </w:p>
        </w:tc>
        <w:tc>
          <w:tcPr>
            <w:tcW w:type="dxa" w:w="1150"/>
          </w:tcPr>
          <w:p>
            <w:pPr>
              <w:pStyle w:val="Compact"/>
              <w:spacing w:before="20" w:after="20" w:line="240" w:lineRule="auto"/>
              <w:jc w:val="center"/>
              <w:keepNext/>
            </w:pPr>
            <w:r>
              <w:rPr>
                <w:sz w:val="13"/>
                <w:szCs w:val="13"/>
              </w:rPr>
              <w:t xml:space="preserve">1.876 (0.492)</w:t>
            </w:r>
          </w:p>
        </w:tc>
        <w:tc>
          <w:tcPr>
            <w:tcW w:type="dxa" w:w="1136"/>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0.086*** (0.816)</w:t>
            </w:r>
          </w:p>
        </w:tc>
        <w:tc>
          <w:tcPr>
            <w:tcW w:type="dxa" w:w="1136"/>
          </w:tcPr>
          <w:p>
            <w:pPr>
              <w:pStyle w:val="Compact"/>
              <w:spacing w:before="20" w:after="20" w:line="240" w:lineRule="auto"/>
              <w:jc w:val="center"/>
              <w:keepNext/>
            </w:pPr>
            <w:r>
              <w:rPr>
                <w:sz w:val="13"/>
                <w:szCs w:val="13"/>
              </w:rPr>
              <w:t xml:space="preserve">0.087*** (0.817)</w:t>
            </w:r>
          </w:p>
        </w:tc>
        <w:tc>
          <w:tcPr>
            <w:tcW w:type="dxa" w:w="1136"/>
          </w:tcPr>
          <w:p>
            <w:pPr>
              <w:pStyle w:val="Compact"/>
              <w:spacing w:before="20" w:after="20" w:line="240" w:lineRule="auto"/>
              <w:jc w:val="center"/>
              <w:keepNext/>
            </w:pPr>
            <w:r>
              <w:rPr>
                <w:sz w:val="13"/>
                <w:szCs w:val="13"/>
              </w:rPr>
              <w:t xml:space="preserve">0.061** (1.222)</w:t>
            </w:r>
          </w:p>
        </w:tc>
        <w:tc>
          <w:tcPr>
            <w:tcW w:type="dxa" w:w="1136"/>
          </w:tcPr>
          <w:p>
            <w:pPr>
              <w:pStyle w:val="Compact"/>
              <w:spacing w:before="20" w:after="20" w:line="240" w:lineRule="auto"/>
              <w:jc w:val="center"/>
              <w:keepNext/>
            </w:pPr>
            <w:r>
              <w:rPr>
                <w:sz w:val="13"/>
                <w:szCs w:val="13"/>
              </w:rPr>
              <w:t xml:space="preserve">0.103*** (0.833)</w:t>
            </w:r>
          </w:p>
        </w:tc>
        <w:tc>
          <w:tcPr>
            <w:tcW w:type="dxa" w:w="1136"/>
          </w:tcPr>
          <w:p>
            <w:pPr>
              <w:pStyle w:val="Compact"/>
              <w:spacing w:before="20" w:after="20" w:line="240" w:lineRule="auto"/>
              <w:jc w:val="center"/>
              <w:keepNext/>
            </w:pPr>
            <w:r>
              <w:rPr>
                <w:sz w:val="13"/>
                <w:szCs w:val="13"/>
              </w:rPr>
              <w:t xml:space="preserve">0.015*** (1.466)</w:t>
            </w:r>
          </w:p>
        </w:tc>
        <w:tc>
          <w:tcPr>
            <w:tcW w:type="dxa" w:w="1150"/>
          </w:tcPr>
          <w:p>
            <w:pPr>
              <w:pStyle w:val="Compact"/>
              <w:spacing w:before="20" w:after="20" w:line="240" w:lineRule="auto"/>
              <w:jc w:val="center"/>
              <w:keepNext/>
            </w:pPr>
            <w:r>
              <w:rPr>
                <w:sz w:val="13"/>
                <w:szCs w:val="13"/>
              </w:rPr>
              <w:t xml:space="preserve">0.061*** (0.836)</w:t>
            </w:r>
          </w:p>
        </w:tc>
        <w:tc>
          <w:tcPr>
            <w:tcW w:type="dxa" w:w="1136"/>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0.858 (0.438)</w:t>
            </w:r>
          </w:p>
        </w:tc>
        <w:tc>
          <w:tcPr>
            <w:tcW w:type="dxa" w:w="1136"/>
          </w:tcPr>
          <w:p>
            <w:pPr>
              <w:pStyle w:val="Compact"/>
              <w:spacing w:before="20" w:after="20" w:line="240" w:lineRule="auto"/>
              <w:jc w:val="center"/>
              <w:keepNext/>
            </w:pPr>
            <w:r>
              <w:rPr>
                <w:sz w:val="13"/>
                <w:szCs w:val="13"/>
              </w:rPr>
              <w:t xml:space="preserve">0.868 (0.435)</w:t>
            </w:r>
          </w:p>
        </w:tc>
        <w:tc>
          <w:tcPr>
            <w:tcW w:type="dxa" w:w="1136"/>
          </w:tcPr>
          <w:p>
            <w:pPr>
              <w:pStyle w:val="Compact"/>
              <w:spacing w:before="20" w:after="20" w:line="240" w:lineRule="auto"/>
              <w:jc w:val="center"/>
              <w:keepNext/>
            </w:pPr>
            <w:r>
              <w:rPr>
                <w:sz w:val="13"/>
                <w:szCs w:val="13"/>
              </w:rPr>
              <w:t xml:space="preserve">0.699 (0.764)</w:t>
            </w:r>
          </w:p>
        </w:tc>
        <w:tc>
          <w:tcPr>
            <w:tcW w:type="dxa" w:w="1136"/>
          </w:tcPr>
          <w:p>
            <w:pPr>
              <w:pStyle w:val="Compact"/>
              <w:spacing w:before="20" w:after="20" w:line="240" w:lineRule="auto"/>
              <w:jc w:val="center"/>
              <w:keepNext/>
            </w:pPr>
            <w:r>
              <w:rPr>
                <w:sz w:val="13"/>
                <w:szCs w:val="13"/>
              </w:rPr>
              <w:t xml:space="preserve">0.956 (0.443)</w:t>
            </w:r>
          </w:p>
        </w:tc>
        <w:tc>
          <w:tcPr>
            <w:tcW w:type="dxa" w:w="1136"/>
          </w:tcPr>
          <w:p>
            <w:pPr>
              <w:pStyle w:val="Compact"/>
              <w:spacing w:before="20" w:after="20" w:line="240" w:lineRule="auto"/>
              <w:jc w:val="center"/>
              <w:keepNext/>
            </w:pPr>
            <w:r>
              <w:rPr>
                <w:sz w:val="13"/>
                <w:szCs w:val="13"/>
              </w:rPr>
              <w:t xml:space="preserve">1.089 (0.494)</w:t>
            </w:r>
          </w:p>
        </w:tc>
        <w:tc>
          <w:tcPr>
            <w:tcW w:type="dxa" w:w="1150"/>
          </w:tcPr>
          <w:p>
            <w:pPr>
              <w:pStyle w:val="Compact"/>
              <w:spacing w:before="20" w:after="20" w:line="240" w:lineRule="auto"/>
              <w:jc w:val="center"/>
              <w:keepNext/>
            </w:pPr>
            <w:r>
              <w:rPr>
                <w:sz w:val="13"/>
                <w:szCs w:val="13"/>
              </w:rPr>
              <w:t xml:space="preserve">0.804 (0.449)</w:t>
            </w:r>
          </w:p>
        </w:tc>
        <w:tc>
          <w:tcPr>
            <w:tcW w:type="dxa" w:w="1136"/>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1.997** (0.323)</w:t>
            </w:r>
          </w:p>
        </w:tc>
        <w:tc>
          <w:tcPr>
            <w:tcW w:type="dxa" w:w="1136"/>
          </w:tcPr>
          <w:p>
            <w:pPr>
              <w:pStyle w:val="Compact"/>
              <w:spacing w:before="20" w:after="20" w:line="240" w:lineRule="auto"/>
              <w:jc w:val="center"/>
              <w:keepNext/>
            </w:pPr>
            <w:r>
              <w:rPr>
                <w:sz w:val="13"/>
                <w:szCs w:val="13"/>
              </w:rPr>
              <w:t xml:space="preserve">2.016** (0.322)</w:t>
            </w:r>
          </w:p>
        </w:tc>
        <w:tc>
          <w:tcPr>
            <w:tcW w:type="dxa" w:w="1136"/>
          </w:tcPr>
          <w:p>
            <w:pPr>
              <w:pStyle w:val="Compact"/>
              <w:spacing w:before="20" w:after="20" w:line="240" w:lineRule="auto"/>
              <w:jc w:val="center"/>
              <w:keepNext/>
            </w:pPr>
            <w:r>
              <w:rPr>
                <w:sz w:val="13"/>
                <w:szCs w:val="13"/>
              </w:rPr>
              <w:t xml:space="preserve">1.636 (0.496)</w:t>
            </w:r>
          </w:p>
        </w:tc>
        <w:tc>
          <w:tcPr>
            <w:tcW w:type="dxa" w:w="1136"/>
          </w:tcPr>
          <w:p>
            <w:pPr>
              <w:pStyle w:val="Compact"/>
              <w:spacing w:before="20" w:after="20" w:line="240" w:lineRule="auto"/>
              <w:jc w:val="center"/>
              <w:keepNext/>
            </w:pPr>
            <w:r>
              <w:rPr>
                <w:sz w:val="13"/>
                <w:szCs w:val="13"/>
              </w:rPr>
              <w:t xml:space="preserve">2.170** (0.339)</w:t>
            </w:r>
          </w:p>
        </w:tc>
        <w:tc>
          <w:tcPr>
            <w:tcW w:type="dxa" w:w="1136"/>
          </w:tcPr>
          <w:p>
            <w:pPr>
              <w:pStyle w:val="Compact"/>
              <w:spacing w:before="20" w:after="20" w:line="240" w:lineRule="auto"/>
              <w:jc w:val="center"/>
              <w:keepNext/>
            </w:pPr>
            <w:r>
              <w:rPr>
                <w:sz w:val="13"/>
                <w:szCs w:val="13"/>
              </w:rPr>
              <w:t xml:space="preserve">2.046* (0.366)</w:t>
            </w:r>
          </w:p>
        </w:tc>
        <w:tc>
          <w:tcPr>
            <w:tcW w:type="dxa" w:w="1150"/>
          </w:tcPr>
          <w:p>
            <w:pPr>
              <w:pStyle w:val="Compact"/>
              <w:spacing w:before="20" w:after="20" w:line="240" w:lineRule="auto"/>
              <w:jc w:val="center"/>
              <w:keepNext/>
            </w:pPr>
            <w:r>
              <w:rPr>
                <w:sz w:val="13"/>
                <w:szCs w:val="13"/>
              </w:rPr>
              <w:t xml:space="preserve">2.167** (0.385)</w:t>
            </w:r>
          </w:p>
        </w:tc>
        <w:tc>
          <w:tcPr>
            <w:tcW w:type="dxa" w:w="1136"/>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1.901 (0.779)</w:t>
            </w:r>
          </w:p>
        </w:tc>
        <w:tc>
          <w:tcPr>
            <w:tcW w:type="dxa" w:w="1136"/>
          </w:tcPr>
          <w:p>
            <w:pPr>
              <w:pStyle w:val="Compact"/>
              <w:spacing w:before="20" w:after="20" w:line="240" w:lineRule="auto"/>
              <w:jc w:val="center"/>
              <w:keepNext/>
            </w:pPr>
            <w:r>
              <w:rPr>
                <w:sz w:val="13"/>
                <w:szCs w:val="13"/>
              </w:rPr>
              <w:t xml:space="preserve">1.923 (0.775)</w:t>
            </w:r>
          </w:p>
        </w:tc>
        <w:tc>
          <w:tcPr>
            <w:tcW w:type="dxa" w:w="1136"/>
          </w:tcPr>
          <w:p>
            <w:pPr>
              <w:pStyle w:val="Compact"/>
              <w:spacing w:before="20" w:after="20" w:line="240" w:lineRule="auto"/>
              <w:jc w:val="center"/>
              <w:keepNext/>
            </w:pPr>
            <w:r>
              <w:rPr>
                <w:sz w:val="13"/>
                <w:szCs w:val="13"/>
              </w:rPr>
              <w:t xml:space="preserve">1.847 (1.010)</w:t>
            </w:r>
          </w:p>
        </w:tc>
        <w:tc>
          <w:tcPr>
            <w:tcW w:type="dxa" w:w="1136"/>
          </w:tcPr>
          <w:p>
            <w:pPr>
              <w:pStyle w:val="Compact"/>
              <w:spacing w:before="20" w:after="20" w:line="240" w:lineRule="auto"/>
              <w:jc w:val="center"/>
              <w:keepNext/>
            </w:pPr>
            <w:r>
              <w:rPr>
                <w:sz w:val="13"/>
                <w:szCs w:val="13"/>
              </w:rPr>
              <w:t xml:space="preserve">2.385 (0.758)</w:t>
            </w:r>
          </w:p>
        </w:tc>
        <w:tc>
          <w:tcPr>
            <w:tcW w:type="dxa" w:w="1136"/>
          </w:tcPr>
          <w:p>
            <w:pPr>
              <w:pStyle w:val="Compact"/>
              <w:spacing w:before="20" w:after="20" w:line="240" w:lineRule="auto"/>
              <w:jc w:val="center"/>
              <w:keepNext/>
            </w:pPr>
            <w:r>
              <w:rPr>
                <w:sz w:val="13"/>
                <w:szCs w:val="13"/>
              </w:rPr>
              <w:t xml:space="preserve">0.996 (0.914)</w:t>
            </w:r>
          </w:p>
        </w:tc>
        <w:tc>
          <w:tcPr>
            <w:tcW w:type="dxa" w:w="1150"/>
          </w:tcPr>
          <w:p>
            <w:pPr>
              <w:pStyle w:val="Compact"/>
              <w:spacing w:before="20" w:after="20" w:line="240" w:lineRule="auto"/>
              <w:jc w:val="center"/>
              <w:keepNext/>
            </w:pPr>
            <w:r>
              <w:rPr>
                <w:sz w:val="13"/>
                <w:szCs w:val="13"/>
              </w:rPr>
              <w:t xml:space="preserve">2.172 (0.837)</w:t>
            </w:r>
          </w:p>
        </w:tc>
        <w:tc>
          <w:tcPr>
            <w:tcW w:type="dxa" w:w="1136"/>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1542"/>
        <w:gridCol w:w="1542"/>
        <w:gridCol w:w="1542"/>
        <w:gridCol w:w="1542"/>
        <w:gridCol w:w="1542"/>
      </w:tblGrid>
      <w:tr>
        <w:trPr>
          <w:tblHeader w:val="on"/>
          <w:cantSplit/>
        </w:trPr>
        <w:tc>
          <w:tcPr>
            <w:tcW w:type="dxa" w:w="1357"/>
            <w:tcBorders>
              <w:bottom w:val="single" w:sz="4" w:space="0" w:color="000000"/>
            </w:tcBorders>
          </w:tcPr>
          <w:p>
            <w:pPr>
              <w:pStyle w:val="Compact"/>
              <w:spacing w:before="20" w:after="20" w:line="240" w:lineRule="auto"/>
              <w:keepNext/>
            </w:pPr>
          </w:p>
        </w:tc>
        <w:tc>
          <w:tcPr>
            <w:tcW w:type="dxa" w:w="1542"/>
            <w:tcBorders>
              <w:bottom w:val="single" w:sz="4" w:space="0" w:color="000000"/>
            </w:tcBorders>
          </w:tcPr>
          <w:p>
            <w:pPr>
              <w:pStyle w:val="Compact"/>
              <w:spacing w:before="20" w:after="20" w:line="240" w:lineRule="auto"/>
              <w:jc w:val="center"/>
              <w:keepNext/>
            </w:pPr>
            <w:r>
              <w:rPr>
                <w:sz w:val="16"/>
                <w:szCs w:val="16"/>
              </w:rPr>
              <w:t xml:space="preserve">기준</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패밀리 중복 제거</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무관 용법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2023–2024년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2010년 이후</w:t>
            </w:r>
          </w:p>
        </w:tc>
      </w:tr>
      <w:tr>
        <w:trPr>
          <w:cantSplit/>
        </w:trPr>
        <w:tc>
          <w:tcPr>
            <w:tcW w:type="dxa" w:w="1357"/>
          </w:tcPr>
          <w:p>
            <w:pPr>
              <w:pStyle w:val="Compact"/>
              <w:spacing w:before="20" w:after="20" w:line="240" w:lineRule="auto"/>
              <w:keepNext/>
            </w:pPr>
            <w:r>
              <w:rPr>
                <w:sz w:val="16"/>
                <w:szCs w:val="16"/>
              </w:rPr>
              <w:t xml:space="preserve">출원연도(yc)</w:t>
            </w:r>
          </w:p>
        </w:tc>
        <w:tc>
          <w:tcPr>
            <w:tcW w:type="dxa" w:w="1542"/>
          </w:tcPr>
          <w:p>
            <w:pPr>
              <w:pStyle w:val="Compact"/>
              <w:spacing w:before="20" w:after="20" w:line="240" w:lineRule="auto"/>
              <w:jc w:val="center"/>
              <w:keepNext/>
            </w:pPr>
            <w:r>
              <w:rPr>
                <w:sz w:val="16"/>
                <w:szCs w:val="16"/>
              </w:rPr>
              <w:t xml:space="preserve">1.015*** (0.003)</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1.001 (0.004)</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0.970*** (0.006)</w:t>
            </w:r>
          </w:p>
        </w:tc>
      </w:tr>
      <w:tr>
        <w:trPr>
          <w:cantSplit/>
        </w:trPr>
        <w:tc>
          <w:tcPr>
            <w:tcW w:type="dxa" w:w="1357"/>
          </w:tcPr>
          <w:p>
            <w:pPr>
              <w:pStyle w:val="Compact"/>
              <w:spacing w:before="20" w:after="20" w:line="240" w:lineRule="auto"/>
              <w:keepNext/>
            </w:pPr>
            <w:r>
              <w:rPr>
                <w:sz w:val="16"/>
                <w:szCs w:val="16"/>
              </w:rPr>
              <w:t xml:space="preserve">중국(CN)</w:t>
            </w:r>
          </w:p>
        </w:tc>
        <w:tc>
          <w:tcPr>
            <w:tcW w:type="dxa" w:w="1542"/>
          </w:tcPr>
          <w:p>
            <w:pPr>
              <w:pStyle w:val="Compact"/>
              <w:spacing w:before="20" w:after="20" w:line="240" w:lineRule="auto"/>
              <w:jc w:val="center"/>
              <w:keepNext/>
            </w:pPr>
            <w:r>
              <w:rPr>
                <w:sz w:val="16"/>
                <w:szCs w:val="16"/>
              </w:rPr>
              <w:t xml:space="preserve">0.785*** (0.062)</w:t>
            </w:r>
          </w:p>
        </w:tc>
        <w:tc>
          <w:tcPr>
            <w:tcW w:type="dxa" w:w="1542"/>
          </w:tcPr>
          <w:p>
            <w:pPr>
              <w:pStyle w:val="Compact"/>
              <w:spacing w:before="20" w:after="20" w:line="240" w:lineRule="auto"/>
              <w:jc w:val="center"/>
              <w:keepNext/>
            </w:pPr>
            <w:r>
              <w:rPr>
                <w:sz w:val="16"/>
                <w:szCs w:val="16"/>
              </w:rPr>
              <w:t xml:space="preserve">0.792*** (0.077)</w:t>
            </w:r>
          </w:p>
        </w:tc>
        <w:tc>
          <w:tcPr>
            <w:tcW w:type="dxa" w:w="1542"/>
          </w:tcPr>
          <w:p>
            <w:pPr>
              <w:pStyle w:val="Compact"/>
              <w:spacing w:before="20" w:after="20" w:line="240" w:lineRule="auto"/>
              <w:jc w:val="center"/>
              <w:keepNext/>
            </w:pPr>
            <w:r>
              <w:rPr>
                <w:sz w:val="16"/>
                <w:szCs w:val="16"/>
              </w:rPr>
              <w:t xml:space="preserve">0.785*** (0.063)</w:t>
            </w:r>
          </w:p>
        </w:tc>
        <w:tc>
          <w:tcPr>
            <w:tcW w:type="dxa" w:w="1542"/>
          </w:tcPr>
          <w:p>
            <w:pPr>
              <w:pStyle w:val="Compact"/>
              <w:spacing w:before="20" w:after="20" w:line="240" w:lineRule="auto"/>
              <w:jc w:val="center"/>
              <w:keepNext/>
            </w:pPr>
            <w:r>
              <w:rPr>
                <w:sz w:val="16"/>
                <w:szCs w:val="16"/>
              </w:rPr>
              <w:t xml:space="preserve">0.808*** (0.071)</w:t>
            </w:r>
          </w:p>
        </w:tc>
        <w:tc>
          <w:tcPr>
            <w:tcW w:type="dxa" w:w="1542"/>
          </w:tcPr>
          <w:p>
            <w:pPr>
              <w:pStyle w:val="Compact"/>
              <w:spacing w:before="20" w:after="20" w:line="240" w:lineRule="auto"/>
              <w:jc w:val="center"/>
              <w:keepNext/>
            </w:pPr>
            <w:r>
              <w:rPr>
                <w:sz w:val="16"/>
                <w:szCs w:val="16"/>
              </w:rPr>
              <w:t xml:space="preserve">0.794*** (0.057)</w:t>
            </w:r>
          </w:p>
        </w:tc>
      </w:tr>
      <w:tr>
        <w:trPr>
          <w:cantSplit/>
        </w:trPr>
        <w:tc>
          <w:tcPr>
            <w:tcW w:type="dxa" w:w="1357"/>
          </w:tcPr>
          <w:p>
            <w:pPr>
              <w:pStyle w:val="Compact"/>
              <w:spacing w:before="20" w:after="20" w:line="240" w:lineRule="auto"/>
              <w:keepNext/>
            </w:pPr>
            <w:r>
              <w:rPr>
                <w:sz w:val="16"/>
                <w:szCs w:val="16"/>
              </w:rPr>
              <w:t xml:space="preserve">한국(KR)</w:t>
            </w:r>
          </w:p>
        </w:tc>
        <w:tc>
          <w:tcPr>
            <w:tcW w:type="dxa" w:w="1542"/>
          </w:tcPr>
          <w:p>
            <w:pPr>
              <w:pStyle w:val="Compact"/>
              <w:spacing w:before="20" w:after="20" w:line="240" w:lineRule="auto"/>
              <w:jc w:val="center"/>
              <w:keepNext/>
            </w:pPr>
            <w:r>
              <w:rPr>
                <w:sz w:val="16"/>
                <w:szCs w:val="16"/>
              </w:rPr>
              <w:t xml:space="preserve">1.018 (0.094)</w:t>
            </w:r>
          </w:p>
        </w:tc>
        <w:tc>
          <w:tcPr>
            <w:tcW w:type="dxa" w:w="1542"/>
          </w:tcPr>
          <w:p>
            <w:pPr>
              <w:pStyle w:val="Compact"/>
              <w:spacing w:before="20" w:after="20" w:line="240" w:lineRule="auto"/>
              <w:jc w:val="center"/>
              <w:keepNext/>
            </w:pPr>
            <w:r>
              <w:rPr>
                <w:sz w:val="16"/>
                <w:szCs w:val="16"/>
              </w:rPr>
              <w:t xml:space="preserve">0.919 (0.127)</w:t>
            </w:r>
          </w:p>
        </w:tc>
        <w:tc>
          <w:tcPr>
            <w:tcW w:type="dxa" w:w="1542"/>
          </w:tcPr>
          <w:p>
            <w:pPr>
              <w:pStyle w:val="Compact"/>
              <w:spacing w:before="20" w:after="20" w:line="240" w:lineRule="auto"/>
              <w:jc w:val="center"/>
              <w:keepNext/>
            </w:pPr>
            <w:r>
              <w:rPr>
                <w:sz w:val="16"/>
                <w:szCs w:val="16"/>
              </w:rPr>
              <w:t xml:space="preserve">0.961 (0.094)</w:t>
            </w:r>
          </w:p>
        </w:tc>
        <w:tc>
          <w:tcPr>
            <w:tcW w:type="dxa" w:w="1542"/>
          </w:tcPr>
          <w:p>
            <w:pPr>
              <w:pStyle w:val="Compact"/>
              <w:spacing w:before="20" w:after="20" w:line="240" w:lineRule="auto"/>
              <w:jc w:val="center"/>
              <w:keepNext/>
            </w:pPr>
            <w:r>
              <w:rPr>
                <w:sz w:val="16"/>
                <w:szCs w:val="16"/>
              </w:rPr>
              <w:t xml:space="preserve">1.017 (0.099)</w:t>
            </w:r>
          </w:p>
        </w:tc>
        <w:tc>
          <w:tcPr>
            <w:tcW w:type="dxa" w:w="1542"/>
          </w:tcPr>
          <w:p>
            <w:pPr>
              <w:pStyle w:val="Compact"/>
              <w:spacing w:before="20" w:after="20" w:line="240" w:lineRule="auto"/>
              <w:jc w:val="center"/>
              <w:keepNext/>
            </w:pPr>
            <w:r>
              <w:rPr>
                <w:sz w:val="16"/>
                <w:szCs w:val="16"/>
              </w:rPr>
              <w:t xml:space="preserve">0.999 (0.096)</w:t>
            </w:r>
          </w:p>
        </w:tc>
      </w:tr>
      <w:tr>
        <w:trPr>
          <w:cantSplit/>
        </w:trPr>
        <w:tc>
          <w:tcPr>
            <w:tcW w:type="dxa" w:w="1357"/>
          </w:tcPr>
          <w:p>
            <w:pPr>
              <w:pStyle w:val="Compact"/>
              <w:spacing w:before="20" w:after="20" w:line="240" w:lineRule="auto"/>
              <w:keepNext/>
            </w:pPr>
            <w:r>
              <w:rPr>
                <w:sz w:val="16"/>
                <w:szCs w:val="16"/>
              </w:rPr>
              <w:t xml:space="preserve">대만(TW)</w:t>
            </w:r>
          </w:p>
        </w:tc>
        <w:tc>
          <w:tcPr>
            <w:tcW w:type="dxa" w:w="1542"/>
          </w:tcPr>
          <w:p>
            <w:pPr>
              <w:pStyle w:val="Compact"/>
              <w:spacing w:before="20" w:after="20" w:line="240" w:lineRule="auto"/>
              <w:jc w:val="center"/>
              <w:keepNext/>
            </w:pPr>
            <w:r>
              <w:rPr>
                <w:sz w:val="16"/>
                <w:szCs w:val="16"/>
              </w:rPr>
              <w:t xml:space="preserve">1.021 (0.083)</w:t>
            </w:r>
          </w:p>
        </w:tc>
        <w:tc>
          <w:tcPr>
            <w:tcW w:type="dxa" w:w="1542"/>
          </w:tcPr>
          <w:p>
            <w:pPr>
              <w:pStyle w:val="Compact"/>
              <w:spacing w:before="20" w:after="20" w:line="240" w:lineRule="auto"/>
              <w:jc w:val="center"/>
              <w:keepNext/>
            </w:pPr>
            <w:r>
              <w:rPr>
                <w:sz w:val="16"/>
                <w:szCs w:val="16"/>
              </w:rPr>
              <w:t xml:space="preserve">1.111 (0.149)</w:t>
            </w:r>
          </w:p>
        </w:tc>
        <w:tc>
          <w:tcPr>
            <w:tcW w:type="dxa" w:w="1542"/>
          </w:tcPr>
          <w:p>
            <w:pPr>
              <w:pStyle w:val="Compact"/>
              <w:spacing w:before="20" w:after="20" w:line="240" w:lineRule="auto"/>
              <w:jc w:val="center"/>
              <w:keepNext/>
            </w:pPr>
            <w:r>
              <w:rPr>
                <w:sz w:val="16"/>
                <w:szCs w:val="16"/>
              </w:rPr>
              <w:t xml:space="preserve">1.012 (0.082)</w:t>
            </w:r>
          </w:p>
        </w:tc>
        <w:tc>
          <w:tcPr>
            <w:tcW w:type="dxa" w:w="1542"/>
          </w:tcPr>
          <w:p>
            <w:pPr>
              <w:pStyle w:val="Compact"/>
              <w:spacing w:before="20" w:after="20" w:line="240" w:lineRule="auto"/>
              <w:jc w:val="center"/>
              <w:keepNext/>
            </w:pPr>
            <w:r>
              <w:rPr>
                <w:sz w:val="16"/>
                <w:szCs w:val="16"/>
              </w:rPr>
              <w:t xml:space="preserve">1.108 (0.095)</w:t>
            </w:r>
          </w:p>
        </w:tc>
        <w:tc>
          <w:tcPr>
            <w:tcW w:type="dxa" w:w="1542"/>
          </w:tcPr>
          <w:p>
            <w:pPr>
              <w:pStyle w:val="Compact"/>
              <w:spacing w:before="20" w:after="20" w:line="240" w:lineRule="auto"/>
              <w:jc w:val="center"/>
              <w:keepNext/>
            </w:pPr>
            <w:r>
              <w:rPr>
                <w:sz w:val="16"/>
                <w:szCs w:val="16"/>
              </w:rPr>
              <w:t xml:space="preserve">1.021 (0.076)</w:t>
            </w:r>
          </w:p>
        </w:tc>
      </w:tr>
      <w:tr>
        <w:trPr>
          <w:cantSplit/>
        </w:trPr>
        <w:tc>
          <w:tcPr>
            <w:tcW w:type="dxa" w:w="1357"/>
          </w:tcPr>
          <w:p>
            <w:pPr>
              <w:pStyle w:val="Compact"/>
              <w:spacing w:before="20" w:after="20" w:line="240" w:lineRule="auto"/>
              <w:keepNext/>
            </w:pPr>
            <w:r>
              <w:rPr>
                <w:sz w:val="16"/>
                <w:szCs w:val="16"/>
              </w:rPr>
              <w:t xml:space="preserve">일본(JP)</w:t>
            </w:r>
          </w:p>
        </w:tc>
        <w:tc>
          <w:tcPr>
            <w:tcW w:type="dxa" w:w="1542"/>
          </w:tcPr>
          <w:p>
            <w:pPr>
              <w:pStyle w:val="Compact"/>
              <w:spacing w:before="20" w:after="20" w:line="240" w:lineRule="auto"/>
              <w:jc w:val="center"/>
              <w:keepNext/>
            </w:pPr>
            <w:r>
              <w:rPr>
                <w:sz w:val="16"/>
                <w:szCs w:val="16"/>
              </w:rPr>
              <w:t xml:space="preserve">1.270* (0.133)</w:t>
            </w:r>
          </w:p>
        </w:tc>
        <w:tc>
          <w:tcPr>
            <w:tcW w:type="dxa" w:w="1542"/>
          </w:tcPr>
          <w:p>
            <w:pPr>
              <w:pStyle w:val="Compact"/>
              <w:spacing w:before="20" w:after="20" w:line="240" w:lineRule="auto"/>
              <w:jc w:val="center"/>
              <w:keepNext/>
            </w:pPr>
            <w:r>
              <w:rPr>
                <w:sz w:val="16"/>
                <w:szCs w:val="16"/>
              </w:rPr>
              <w:t xml:space="preserve">1.302 (0.183)</w:t>
            </w:r>
          </w:p>
        </w:tc>
        <w:tc>
          <w:tcPr>
            <w:tcW w:type="dxa" w:w="1542"/>
          </w:tcPr>
          <w:p>
            <w:pPr>
              <w:pStyle w:val="Compact"/>
              <w:spacing w:before="20" w:after="20" w:line="240" w:lineRule="auto"/>
              <w:jc w:val="center"/>
              <w:keepNext/>
            </w:pPr>
            <w:r>
              <w:rPr>
                <w:sz w:val="16"/>
                <w:szCs w:val="16"/>
              </w:rPr>
              <w:t xml:space="preserve">1.397** (0.145)</w:t>
            </w:r>
          </w:p>
        </w:tc>
        <w:tc>
          <w:tcPr>
            <w:tcW w:type="dxa" w:w="1542"/>
          </w:tcPr>
          <w:p>
            <w:pPr>
              <w:pStyle w:val="Compact"/>
              <w:spacing w:before="20" w:after="20" w:line="240" w:lineRule="auto"/>
              <w:jc w:val="center"/>
              <w:keepNext/>
            </w:pPr>
            <w:r>
              <w:rPr>
                <w:sz w:val="16"/>
                <w:szCs w:val="16"/>
              </w:rPr>
              <w:t xml:space="preserve">1.388** (0.153)</w:t>
            </w:r>
          </w:p>
        </w:tc>
        <w:tc>
          <w:tcPr>
            <w:tcW w:type="dxa" w:w="1542"/>
          </w:tcPr>
          <w:p>
            <w:pPr>
              <w:pStyle w:val="Compact"/>
              <w:spacing w:before="20" w:after="20" w:line="240" w:lineRule="auto"/>
              <w:jc w:val="center"/>
              <w:keepNext/>
            </w:pPr>
            <w:r>
              <w:rPr>
                <w:sz w:val="16"/>
                <w:szCs w:val="16"/>
              </w:rPr>
              <w:t xml:space="preserve">1.577*** (0.141)</w:t>
            </w:r>
          </w:p>
        </w:tc>
      </w:tr>
      <w:tr>
        <w:trPr>
          <w:cantSplit/>
        </w:trPr>
        <w:tc>
          <w:tcPr>
            <w:tcW w:type="dxa" w:w="1357"/>
          </w:tcPr>
          <w:p>
            <w:pPr>
              <w:pStyle w:val="Compact"/>
              <w:spacing w:before="20" w:after="20" w:line="240" w:lineRule="auto"/>
              <w:keepNext/>
            </w:pPr>
            <w:r>
              <w:rPr>
                <w:sz w:val="16"/>
                <w:szCs w:val="16"/>
              </w:rPr>
              <w:t xml:space="preserve">EPO(EP)</w:t>
            </w:r>
          </w:p>
        </w:tc>
        <w:tc>
          <w:tcPr>
            <w:tcW w:type="dxa" w:w="1542"/>
          </w:tcPr>
          <w:p>
            <w:pPr>
              <w:pStyle w:val="Compact"/>
              <w:spacing w:before="20" w:after="20" w:line="240" w:lineRule="auto"/>
              <w:jc w:val="center"/>
              <w:keepNext/>
            </w:pPr>
            <w:r>
              <w:rPr>
                <w:sz w:val="16"/>
                <w:szCs w:val="16"/>
              </w:rPr>
              <w:t xml:space="preserve">0.993 (0.080)</w:t>
            </w:r>
          </w:p>
        </w:tc>
        <w:tc>
          <w:tcPr>
            <w:tcW w:type="dxa" w:w="1542"/>
          </w:tcPr>
          <w:p>
            <w:pPr>
              <w:pStyle w:val="Compact"/>
              <w:spacing w:before="20" w:after="20" w:line="240" w:lineRule="auto"/>
              <w:jc w:val="center"/>
              <w:keepNext/>
            </w:pPr>
            <w:r>
              <w:rPr>
                <w:sz w:val="16"/>
                <w:szCs w:val="16"/>
              </w:rPr>
              <w:t xml:space="preserve">1.435*** (0.119)</w:t>
            </w:r>
          </w:p>
        </w:tc>
        <w:tc>
          <w:tcPr>
            <w:tcW w:type="dxa" w:w="1542"/>
          </w:tcPr>
          <w:p>
            <w:pPr>
              <w:pStyle w:val="Compact"/>
              <w:spacing w:before="20" w:after="20" w:line="240" w:lineRule="auto"/>
              <w:jc w:val="center"/>
              <w:keepNext/>
            </w:pPr>
            <w:r>
              <w:rPr>
                <w:sz w:val="16"/>
                <w:szCs w:val="16"/>
              </w:rPr>
              <w:t xml:space="preserve">0.989 (0.082)</w:t>
            </w:r>
          </w:p>
        </w:tc>
        <w:tc>
          <w:tcPr>
            <w:tcW w:type="dxa" w:w="1542"/>
          </w:tcPr>
          <w:p>
            <w:pPr>
              <w:pStyle w:val="Compact"/>
              <w:spacing w:before="20" w:after="20" w:line="240" w:lineRule="auto"/>
              <w:jc w:val="center"/>
              <w:keepNext/>
            </w:pPr>
            <w:r>
              <w:rPr>
                <w:sz w:val="16"/>
                <w:szCs w:val="16"/>
              </w:rPr>
              <w:t xml:space="preserve">0.988 (0.087)</w:t>
            </w:r>
          </w:p>
        </w:tc>
        <w:tc>
          <w:tcPr>
            <w:tcW w:type="dxa" w:w="1542"/>
          </w:tcPr>
          <w:p>
            <w:pPr>
              <w:pStyle w:val="Compact"/>
              <w:spacing w:before="20" w:after="20" w:line="240" w:lineRule="auto"/>
              <w:jc w:val="center"/>
              <w:keepNext/>
            </w:pPr>
            <w:r>
              <w:rPr>
                <w:sz w:val="16"/>
                <w:szCs w:val="16"/>
              </w:rPr>
              <w:t xml:space="preserve">1.014 (0.076)</w:t>
            </w:r>
          </w:p>
        </w:tc>
      </w:tr>
      <w:tr>
        <w:trPr>
          <w:cantSplit/>
        </w:trPr>
        <w:tc>
          <w:tcPr>
            <w:tcW w:type="dxa" w:w="1357"/>
          </w:tcPr>
          <w:p>
            <w:pPr>
              <w:pStyle w:val="Compact"/>
              <w:spacing w:before="20" w:after="20" w:line="240" w:lineRule="auto"/>
              <w:keepNext/>
            </w:pPr>
            <w:r>
              <w:rPr>
                <w:sz w:val="16"/>
                <w:szCs w:val="16"/>
              </w:rPr>
              <w:t xml:space="preserve">PCT(WO)</w:t>
            </w:r>
          </w:p>
        </w:tc>
        <w:tc>
          <w:tcPr>
            <w:tcW w:type="dxa" w:w="1542"/>
          </w:tcPr>
          <w:p>
            <w:pPr>
              <w:pStyle w:val="Compact"/>
              <w:spacing w:before="20" w:after="20" w:line="240" w:lineRule="auto"/>
              <w:jc w:val="center"/>
              <w:keepNext/>
            </w:pPr>
            <w:r>
              <w:rPr>
                <w:sz w:val="16"/>
                <w:szCs w:val="16"/>
              </w:rPr>
              <w:t xml:space="preserve">0.826*** (0.073)</w:t>
            </w:r>
          </w:p>
        </w:tc>
        <w:tc>
          <w:tcPr>
            <w:tcW w:type="dxa" w:w="1542"/>
          </w:tcPr>
          <w:p>
            <w:pPr>
              <w:pStyle w:val="Compact"/>
              <w:spacing w:before="20" w:after="20" w:line="240" w:lineRule="auto"/>
              <w:jc w:val="center"/>
              <w:keepNext/>
            </w:pPr>
            <w:r>
              <w:rPr>
                <w:sz w:val="16"/>
                <w:szCs w:val="16"/>
              </w:rPr>
              <w:t xml:space="preserve">0.751** (0.131)</w:t>
            </w:r>
          </w:p>
        </w:tc>
        <w:tc>
          <w:tcPr>
            <w:tcW w:type="dxa" w:w="1542"/>
          </w:tcPr>
          <w:p>
            <w:pPr>
              <w:pStyle w:val="Compact"/>
              <w:spacing w:before="20" w:after="20" w:line="240" w:lineRule="auto"/>
              <w:jc w:val="center"/>
              <w:keepNext/>
            </w:pPr>
            <w:r>
              <w:rPr>
                <w:sz w:val="16"/>
                <w:szCs w:val="16"/>
              </w:rPr>
              <w:t xml:space="preserve">0.820*** (0.073)</w:t>
            </w:r>
          </w:p>
        </w:tc>
        <w:tc>
          <w:tcPr>
            <w:tcW w:type="dxa" w:w="1542"/>
          </w:tcPr>
          <w:p>
            <w:pPr>
              <w:pStyle w:val="Compact"/>
              <w:spacing w:before="20" w:after="20" w:line="240" w:lineRule="auto"/>
              <w:jc w:val="center"/>
              <w:keepNext/>
            </w:pPr>
            <w:r>
              <w:rPr>
                <w:sz w:val="16"/>
                <w:szCs w:val="16"/>
              </w:rPr>
              <w:t xml:space="preserve">0.912 (0.087)</w:t>
            </w:r>
          </w:p>
        </w:tc>
        <w:tc>
          <w:tcPr>
            <w:tcW w:type="dxa" w:w="1542"/>
          </w:tcPr>
          <w:p>
            <w:pPr>
              <w:pStyle w:val="Compact"/>
              <w:spacing w:before="20" w:after="20" w:line="240" w:lineRule="auto"/>
              <w:jc w:val="center"/>
              <w:keepNext/>
            </w:pPr>
            <w:r>
              <w:rPr>
                <w:sz w:val="16"/>
                <w:szCs w:val="16"/>
              </w:rPr>
              <w:t xml:space="preserve">0.842** (0.068)</w:t>
            </w:r>
          </w:p>
        </w:tc>
      </w:tr>
      <w:tr>
        <w:trPr>
          <w:cantSplit/>
        </w:trPr>
        <w:tc>
          <w:tcPr>
            <w:tcW w:type="dxa" w:w="1357"/>
          </w:tcPr>
          <w:p>
            <w:pPr>
              <w:pStyle w:val="Compact"/>
              <w:spacing w:before="20" w:after="20" w:line="240" w:lineRule="auto"/>
              <w:keepNext/>
            </w:pPr>
            <w:r>
              <w:rPr>
                <w:sz w:val="16"/>
                <w:szCs w:val="16"/>
              </w:rPr>
              <w:t xml:space="preserve">기타</w:t>
            </w:r>
          </w:p>
        </w:tc>
        <w:tc>
          <w:tcPr>
            <w:tcW w:type="dxa" w:w="1542"/>
          </w:tcPr>
          <w:p>
            <w:pPr>
              <w:pStyle w:val="Compact"/>
              <w:spacing w:before="20" w:after="20" w:line="240" w:lineRule="auto"/>
              <w:jc w:val="center"/>
              <w:keepNext/>
            </w:pPr>
            <w:r>
              <w:rPr>
                <w:sz w:val="16"/>
                <w:szCs w:val="16"/>
              </w:rPr>
              <w:t xml:space="preserve">1.057 (0.171)</w:t>
            </w:r>
          </w:p>
        </w:tc>
        <w:tc>
          <w:tcPr>
            <w:tcW w:type="dxa" w:w="1542"/>
          </w:tcPr>
          <w:p>
            <w:pPr>
              <w:pStyle w:val="Compact"/>
              <w:spacing w:before="20" w:after="20" w:line="240" w:lineRule="auto"/>
              <w:jc w:val="center"/>
              <w:keepNext/>
            </w:pPr>
            <w:r>
              <w:rPr>
                <w:sz w:val="16"/>
                <w:szCs w:val="16"/>
              </w:rPr>
              <w:t xml:space="preserve">1.342 (0.272)</w:t>
            </w:r>
          </w:p>
        </w:tc>
        <w:tc>
          <w:tcPr>
            <w:tcW w:type="dxa" w:w="1542"/>
          </w:tcPr>
          <w:p>
            <w:pPr>
              <w:pStyle w:val="Compact"/>
              <w:spacing w:before="20" w:after="20" w:line="240" w:lineRule="auto"/>
              <w:jc w:val="center"/>
              <w:keepNext/>
            </w:pPr>
            <w:r>
              <w:rPr>
                <w:sz w:val="16"/>
                <w:szCs w:val="16"/>
              </w:rPr>
              <w:t xml:space="preserve">0.938 (0.169)</w:t>
            </w:r>
          </w:p>
        </w:tc>
        <w:tc>
          <w:tcPr>
            <w:tcW w:type="dxa" w:w="1542"/>
          </w:tcPr>
          <w:p>
            <w:pPr>
              <w:pStyle w:val="Compact"/>
              <w:spacing w:before="20" w:after="20" w:line="240" w:lineRule="auto"/>
              <w:jc w:val="center"/>
              <w:keepNext/>
            </w:pPr>
            <w:r>
              <w:rPr>
                <w:sz w:val="16"/>
                <w:szCs w:val="16"/>
              </w:rPr>
              <w:t xml:space="preserve">1.106 (0.181)</w:t>
            </w:r>
          </w:p>
        </w:tc>
        <w:tc>
          <w:tcPr>
            <w:tcW w:type="dxa" w:w="1542"/>
          </w:tcPr>
          <w:p>
            <w:pPr>
              <w:pStyle w:val="Compact"/>
              <w:spacing w:before="20" w:after="20" w:line="240" w:lineRule="auto"/>
              <w:jc w:val="center"/>
              <w:keepNext/>
            </w:pPr>
            <w:r>
              <w:rPr>
                <w:sz w:val="16"/>
                <w:szCs w:val="16"/>
              </w:rPr>
              <w:t xml:space="preserve">0.716 (0.204)</w:t>
            </w:r>
          </w:p>
        </w:tc>
      </w:tr>
      <w:tr>
        <w:trPr>
          <w:cantSplit/>
        </w:trPr>
        <w:tc>
          <w:tcPr>
            <w:tcW w:type="dxa" w:w="1357"/>
          </w:tcPr>
          <w:p>
            <w:pPr>
              <w:pStyle w:val="Compact"/>
              <w:spacing w:before="20" w:after="20" w:line="240" w:lineRule="auto"/>
              <w:keepNext/>
            </w:pPr>
            <w:r>
              <w:rPr>
                <w:sz w:val="16"/>
                <w:szCs w:val="16"/>
              </w:rPr>
              <w:t xml:space="preserve">N</w:t>
            </w:r>
          </w:p>
        </w:tc>
        <w:tc>
          <w:tcPr>
            <w:tcW w:type="dxa" w:w="1542"/>
          </w:tcPr>
          <w:p>
            <w:pPr>
              <w:pStyle w:val="Compact"/>
              <w:spacing w:before="20" w:after="20" w:line="240" w:lineRule="auto"/>
              <w:jc w:val="center"/>
              <w:keepNext/>
            </w:pPr>
            <w:r>
              <w:rPr>
                <w:sz w:val="16"/>
                <w:szCs w:val="16"/>
              </w:rPr>
              <w:t xml:space="preserve">928</w:t>
            </w:r>
          </w:p>
        </w:tc>
        <w:tc>
          <w:tcPr>
            <w:tcW w:type="dxa" w:w="1542"/>
          </w:tcPr>
          <w:p>
            <w:pPr>
              <w:pStyle w:val="Compact"/>
              <w:spacing w:before="20" w:after="20" w:line="240" w:lineRule="auto"/>
              <w:jc w:val="center"/>
              <w:keepNext/>
            </w:pPr>
            <w:r>
              <w:rPr>
                <w:sz w:val="16"/>
                <w:szCs w:val="16"/>
              </w:rPr>
              <w:t xml:space="preserve">473</w:t>
            </w:r>
          </w:p>
        </w:tc>
        <w:tc>
          <w:tcPr>
            <w:tcW w:type="dxa" w:w="1542"/>
          </w:tcPr>
          <w:p>
            <w:pPr>
              <w:pStyle w:val="Compact"/>
              <w:spacing w:before="20" w:after="20" w:line="240" w:lineRule="auto"/>
              <w:jc w:val="center"/>
              <w:keepNext/>
            </w:pPr>
            <w:r>
              <w:rPr>
                <w:sz w:val="16"/>
                <w:szCs w:val="16"/>
              </w:rPr>
              <w:t xml:space="preserve">860</w:t>
            </w:r>
          </w:p>
        </w:tc>
        <w:tc>
          <w:tcPr>
            <w:tcW w:type="dxa" w:w="1542"/>
          </w:tcPr>
          <w:p>
            <w:pPr>
              <w:pStyle w:val="Compact"/>
              <w:spacing w:before="20" w:after="20" w:line="240" w:lineRule="auto"/>
              <w:jc w:val="center"/>
              <w:keepNext/>
            </w:pPr>
            <w:r>
              <w:rPr>
                <w:sz w:val="16"/>
                <w:szCs w:val="16"/>
              </w:rPr>
              <w:t xml:space="preserve">753</w:t>
            </w:r>
          </w:p>
        </w:tc>
        <w:tc>
          <w:tcPr>
            <w:tcW w:type="dxa" w:w="1542"/>
          </w:tcPr>
          <w:p>
            <w:pPr>
              <w:pStyle w:val="Compact"/>
              <w:spacing w:before="20" w:after="20" w:line="240" w:lineRule="auto"/>
              <w:jc w:val="center"/>
              <w:keepNext/>
            </w:pPr>
            <w:r>
              <w:rPr>
                <w:sz w:val="16"/>
                <w:szCs w:val="16"/>
              </w:rPr>
              <w:t xml:space="preserve">830</w:t>
            </w:r>
          </w:p>
        </w:tc>
      </w:tr>
    </w:tbl>
    <w:p>
      <w:pPr>
        <w:pStyle w:val="BodyText"/>
      </w:pPr>
      <w:r>
        <w:t xml:space="preserve">2010년 이후 표본에서 출원연도의 IRR이 1보다 작아지는 것은 본문 제5.1절에서 언급한 대로다. 2010년 이후 표본의 일본 계수(IRR 1.577)는 기술범위가 21인 같은 패밀리 출원 4건에 좌우되며, 이 4건을 빼면 1.057(p = 0.75)이 된다.</w:t>
      </w:r>
    </w:p>
    <w:bookmarkEnd w:id="49"/>
    <w:bookmarkStart w:id="50"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0"/>
    <w:bookmarkEnd w:id="51"/>
    <w:bookmarkEnd w:id="5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3" Type="http://schemas.openxmlformats.org/officeDocument/2006/relationships/image" Target="media/rId33.png"/><Relationship Id="rId36" Type="http://schemas.openxmlformats.org/officeDocument/2006/relationships/image" Target="media/rId36.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2026-09-24T07:41:40Z</dcterms:created>
  <dcterms:modified xsi:type="dcterms:W3CDTF">2026-09-24T07:41:40Z</dcterms:modified>
</cp:coreProperties>
</file>

<file path=docProps/custom.xml><?xml version="1.0" encoding="utf-8"?>
<Properties xmlns="http://schemas.openxmlformats.org/officeDocument/2006/custom-properties" xmlns:vt="http://schemas.openxmlformats.org/officeDocument/2006/docPropsVTypes"/>
</file>