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X650ffcae1d6ea1d6060868132c2e3fabd7846f5"/>
    <w:p>
      <w:pPr>
        <w:pStyle w:val="Heading1"/>
      </w:pPr>
      <w:r>
        <w:t xml:space="preserve">반도체 하이브리드 본딩 특허에 나타난 공정단계 간 기술융합: 경계를 넘는 특허의 특성과 출원청별 차이</w:t>
      </w:r>
    </w:p>
    <w:p>
      <w:pPr>
        <w:pStyle w:val="FirstParagraph"/>
      </w:pPr>
      <w:r>
        <w:rPr>
          <w:b/>
          <w:bCs/>
        </w:rPr>
        <w:t xml:space="preserve">Cross-stage technological convergence in semiconductor hybrid bonding patents: Characteristics of boundary-spanning patents and differences across filing offices</w:t>
      </w:r>
    </w:p>
    <w:p>
      <w:pPr>
        <w:pStyle w:val="BodyText"/>
      </w:pPr>
      <w:r>
        <w:rPr>
          <w:b/>
          <w:bCs/>
        </w:rPr>
        <w:t xml:space="preserve">이형규</w:t>
      </w:r>
      <w:r>
        <w:t xml:space="preserve"> </w:t>
      </w:r>
      <w:r>
        <w:t xml:space="preserve">(한양대학교 기술경영학과)</w:t>
      </w:r>
    </w:p>
    <w:p>
      <w:pPr>
        <w:pStyle w:val="BodyText"/>
      </w:pPr>
      <w:r>
        <w:t xml:space="preserve">HyungKyu Lee (Department of Management of Technology, Hanyang University)</w:t>
      </w:r>
    </w:p>
    <w:p>
      <w:r>
        <w:pict>
          <v:rect style="width:0;height:1.5pt" o:hralign="center" o:hrstd="t" o:hr="t"/>
        </w:pict>
      </w:r>
    </w:p>
    <w:bookmarkStart w:id="9" w:name="국문-초록"/>
    <w:p>
      <w:pPr>
        <w:pStyle w:val="Heading2"/>
      </w:pPr>
      <w:r>
        <w:t xml:space="preserve">국문 초록</w:t>
      </w:r>
    </w:p>
    <w:p>
      <w:pPr>
        <w:pStyle w:val="FirstParagraph"/>
      </w:pPr>
      <w:r>
        <w:t xml:space="preserve">반도체 제조는 웨이퍼 위에 소자를 만드는 전공정과, 완성된 웨이퍼를 잘라 조립하는 후공정으로 오랫동안 나뉘어 있었다. 하이브리드 본딩은 이 가운데 후공정에 속하는 접합 기술이다. 그런데 이 기술의 성능은 표면 평탄화나 표면 처리처럼 전공정에서 다루어 온 제조공정 기술에 좌우된다. 그렇다면 두 영역의 기술은 실제로 하나의 특허 안에 함께 담기고 있는가, 그리고 어떤 특허가 그러한가. 이 물음에 답하기 위해 유럽특허청 PATSTAT에서 하이브리드 본딩 관련 특허출원 928건을 추출하였다. 각 출원에 부여된 CPC 기호를 보고, 접합 기술 분류(H01L24)만 가진 출원은 조립 단독형, 제조공정 기술 분류(H01L21)만 가진 출원은 공정 단독형, 두 분류가 함께 부여된 출원은 통합형으로 구분하였다. 분석단위는 개별 특허출원이며, 두 클래스의 공동분류는 제조공정과 접합 영역 사이의 경계 넘기를 포착하는 특허 기반 대리측정치로 쓴다. 통합형이 45.8%로 가장 많았고, 조립 단계 공정을 제외한 좁은 정의를 적용해도 37.2%에 이르렀다. 회귀분석에서는 세 가지가 확인된다. 두 클래스 안에서 더 다양한 세부 기술을 포함하는 출원일수록 통합형일 가능성이 높았는데(조립 단독형 대비 상대위험비 1.40), 두 변수가 같은 CPC 정보에서 만들어지는 만큼 이는 통합형 특허의 구성적 특징으로 해석한다. 또한 최근 출원일수록 공정 단독형으로 분류될 상대적 가능성이 낮았다(2014년 이전 43.6%, 2020–2024년 10.4%). 중국 출원청 출원은 미국 출원청 출원보다 기술범위가 좁았고 이 차이는 표본을 바꾸어도 남았지만, 공정 단독형 편중은 최근 출원에 민감하여 제한적인 결과에 머물렀다. 이러한 결과는 기술융합이 산업과 산업 사이에서만이 아니라 한 산업의 공정 단계 사이에서도 일어난다는 견해와 정합적인 특허 수준의 증거이며, 그러한 융합을 개별 출원 단위에서 측정할 수 있음을 보여준다.</w:t>
      </w:r>
    </w:p>
    <w:p>
      <w:pPr>
        <w:pStyle w:val="BodyText"/>
      </w:pPr>
      <w:r>
        <w:rPr>
          <w:b/>
          <w:bCs/>
        </w:rPr>
        <w:t xml:space="preserve">주제어:</w:t>
      </w:r>
      <w:r>
        <w:t xml:space="preserve"> </w:t>
      </w:r>
      <w:r>
        <w:t xml:space="preserve">기술융합; 산업 아키텍처; 하이브리드 본딩; 첨단 패키징; 특허 범위; 다항 로짓</w:t>
      </w:r>
    </w:p>
    <w:bookmarkEnd w:id="9"/>
    <w:bookmarkStart w:id="10" w:name="abstract"/>
    <w:p>
      <w:pPr>
        <w:pStyle w:val="Heading2"/>
      </w:pPr>
      <w:r>
        <w:t xml:space="preserve">Abstract</w:t>
      </w:r>
    </w:p>
    <w:p>
      <w:pPr>
        <w:pStyle w:val="FirstParagraph"/>
      </w:pPr>
      <w:r>
        <w:t xml:space="preserve">For decades, semiconductor manufacturing has been split between front-end wafer fabrication and back-end assembly. Hybrid bonding sits on the back-end side of that line, yet its performance rests on capabilities that grew up in the front end, above all surface planarisation and surface treatment. Are the two bodies of technology now being combined inside single patents, and if so, in which patents? To answer this we draw 928 hybrid-bonding-related applications from EPO PATSTAT and sort them by the CPC symbols each one carries: assembly-only applications hold H01L24 symbols (bonding technology), process-only applications hold H01L21 symbols (fabrication processes), and integrated applications hold symbols from both classes. The unit of analysis is the individual application, and co-classification in the two classes is used as a patent-based proxy for boundary spanning between the fabrication-process and bonding domains. Integrated applications form the largest group, at 45.8%, and still account for 37.2% when assembly-stage processes are excluded from the definition. Three regression results follow. Applications that cover more diverse technical elements within the two classes are more likely to be integrated (relative-risk ratio 1.40 against assembly-only), a pattern we read as a compositional feature of integrated patents because both variables are built from the same CPC information. More recent filings are less likely to be process-only (from 43.6% before 2015 to 10.4% in 2020–2024). Applications filed at the Chinese office are narrower in scope than those filed at the US office, and this difference survives every change of sample, whereas their tilt towards process-only classification depends on the most recent filings and remains limited evidence. Taken together, the findings offer patent-level evidence consistent with technological convergence across process stages within a single industry, and show that such convergence can be measured application by application.</w:t>
      </w:r>
    </w:p>
    <w:p>
      <w:pPr>
        <w:pStyle w:val="BodyText"/>
      </w:pPr>
      <w:r>
        <w:rPr>
          <w:b/>
          <w:bCs/>
        </w:rPr>
        <w:t xml:space="preserve">Keywords:</w:t>
      </w:r>
      <w:r>
        <w:t xml:space="preserve"> </w:t>
      </w:r>
      <w:r>
        <w:t xml:space="preserve">technological convergence; industry architecture; hybrid bonding; advanced packaging; patent scope; multinomial logit</w:t>
      </w:r>
    </w:p>
    <w:p>
      <w:r>
        <w:pict>
          <v:rect style="width:0;height:1.5pt" o:hralign="center" o:hrstd="t" o:hr="t"/>
        </w:pict>
      </w:r>
    </w:p>
    <w:bookmarkEnd w:id="10"/>
    <w:bookmarkStart w:id="11" w:name="서론"/>
    <w:p>
      <w:pPr>
        <w:pStyle w:val="Heading2"/>
      </w:pPr>
      <w:r>
        <w:t xml:space="preserve">1. 서론</w:t>
      </w:r>
    </w:p>
    <w:p>
      <w:pPr>
        <w:pStyle w:val="FirstParagraph"/>
      </w:pPr>
      <w:r>
        <w:t xml:space="preserve">반도체 산업은 반세기 넘게 분업 구조 위에서 움직여 왔다. 트랜지스터는 전공정(front end)에서 웨이퍼 위에 만들어지고, 다 만들어진 웨이퍼는 후공정(back end)으로 넘어가 잘리고 조립되고 포장된다. 전공정이 종합반도체기업(IDM)과 파운드리가 운영하는 대규모 팹에 집중되는 동안(Kapoor, 2013), 패키징과 테스트는 조립·테스트 전문업체(OSAT)로 외주화되었다(Macher and Mowery, 2004; Brown and Linden, 2009). 두 단계 사이의 인터페이스가 비교적 안정적으로 관리되었기에 기업 간 전문화도 가능했다. 그러나 첨단 패키징에 이르러서는 사정이 달라져, 한 단계의 성능이 다른 단계의 공정 역량에 더 직접적으로 의존하기 시작했다.</w:t>
      </w:r>
    </w:p>
    <w:p>
      <w:pPr>
        <w:pStyle w:val="BodyText"/>
      </w:pPr>
      <w:r>
        <w:t xml:space="preserve">이 구조가 최근 흔들리고 있는 배경에는 미세화의 한계가 있다. 회로를 더 작게 만드는 일이 갈수록 어려워지자 산업은 다이를 어떻게 나누고, 쌓고, 연결하는가에서 성능 향상의 여지를 찾기 시작했다(Arden et al., 2010; Khan et al., 2018). 그 가운데 가장 까다로운 기술이 하이브리드 본딩이다. 솔더 범프 없이 구리 패드와 주변 산화막을 직접 붙이는 이 기술은 기존 방식으로는 어려운 10 µm 이하의 연결 간격을 가능하게 한다(Lau, 2021, 2022). 문제는 그 성패가 어디에 달려 있는가다. 나노미터 수준의 표면 평탄화, 표면 활성화, 정밀 정렬은 모두 전통적으로 전공정에 속해 온 제조공정 역량이다. 기술적 상호의존이 이렇게 커지자 선도 파운드리가 첨단 패키징 역량을 내부에 갖추는 움직임도 나타났다(Lau, 2022; KnowMade, 2024).</w:t>
      </w:r>
    </w:p>
    <w:p>
      <w:pPr>
        <w:pStyle w:val="BodyText"/>
      </w:pPr>
      <w:r>
        <w:t xml:space="preserve">본 연구가 묻는 것은 이러한 경계의 흐려짐을 개별 특허 수준에서 관찰할 수 있는가이다. 출발점은 서로 구분되던 기술 영역이 겹치고 결합하는 과정을 다룬 기술융합 문헌이다(Rosenberg, 1963; Kodama, 1992; Curran and Leker, 2011; Sick and Bröring, 2022). 다만 이 문헌의 실증 연구가 주로 다루어 온 것은 정보통신과 가전(Hacklin et al., 2009), 식품과 제약(Bröring et al., 2006), 나노기술과 바이오기술(No and Park, 2010)처럼 서로 다른 산업이나 기술 분야가 겹치는 경우였다. 한 산업 안에서 가치사슬의 단계를 가로지르는 융합은 드물게만 다루어졌다. 가장 가까운 선례는 가치사슬 상·하류 기업 간의 특허 인용을 분석한 Karvonen과 Kässi(2012)이지만, 이 연구도 하나의 기술이 공정 단계의 경계를 넘는지를 특허 단위에서 검정하지는 않았다. 그런데 누가 무엇을 만들고 누가 가치를 가져가는가를 정하는 산업 아키텍처(Jacobides et al., 2006)에 압력을 가하는 융합은 바로 이런 종류의 융합이다.</w:t>
      </w:r>
    </w:p>
    <w:p>
      <w:pPr>
        <w:pStyle w:val="BodyText"/>
      </w:pPr>
      <w:r>
        <w:t xml:space="preserve">분석에는 유럽특허청(EPO)의 PATSTAT에서 추출한 하이브리드 본딩 관련 특허출원 928건과, 각 출원에 부여된 협력적 특허분류(CPC) 기호를 쓴다. 접합·인터커넥트 기술(H01L24)과 반도체 제조공정 기술(H01L21)의 기호가 한 출원에 함께 부여되어 있으면 그 출원을 통합형, 곧 경계를 넘는 특허로 부르고, 접합 기호만 있는 출원은 조립 단독형, 제조공정 기호만 있는 출원은 공정 단독형으로 구분한다. 공동분류 자체는 융합을 포착하는 표준적인 특허 지표다(Curran and Leker, 2011; Kwon et al., 2020). 본 연구의 새로움은 이를 두 산업 사이가 아니라 한 산업을 가로지르는 경계에 적용한다는 점, 그리고 분야 수준의 지수로 집계하는 대신 개별 특허의 유형으로 재구성한다는 점에 있다. 연구 질문은 셋이다. 하이브리드 본딩 특허에서 제조공정과 접합 기술의 공동분류는 얼마나 일반적이며 시간에 따라 어떻게 변했는가. 어떤 특허 특성이 공동분류 유형과 관련되는가. 그리고 이러한 유형과 기술범위는 출원청별로 어떻게 다른가.</w:t>
      </w:r>
    </w:p>
    <w:p>
      <w:pPr>
        <w:pStyle w:val="BodyText"/>
      </w:pPr>
      <w:r>
        <w:t xml:space="preserve">미리 말하면, 통합형은 출원의 45.8%로 가장 많고 좁은 정의에서도 37.2%에 이른다. 더 다양한 세부 기술을 포함하는 출원일수록 통합형이었고, 최근 출원일수록 공정 단독형이 드물었으며, 중국 출원청 출원은 기술범위가 좁았다. 이 결과로 본 연구는 세 방향에서 기여한다. 개념적으로는 융합 이론을 산업 간 사례에서 산업 내 공정 단계 간 사례로 넓히고, 이를 반도체 산업 아키텍처 문헌(Langlois and Steinmueller, 1999; Kapoor and Adner, 2012; Kapoor, 2013)과 잇는다. 방법론적으로는 새로운 융합지수를 하나 더 보태는 대신 공동분류를 개별 특허의 유형으로 재구성하여, 분야 수준 지수가 평균 속에 묻어 버리는 특허 간 이질성과 그 관련 요인을 추정할 수 있게 한다. 마지막으로 이 설계는 두 개의 CPC 클래스와 하나의 분류 규칙, 표준 추정량만으로 이루어져 있어, 하류 단계가 상류 역량에 의존하기 시작한 다른 공정기술에도 그대로 옮겨 쓸 수 있다.</w:t>
      </w:r>
    </w:p>
    <w:p>
      <w:pPr>
        <w:pStyle w:val="BodyText"/>
      </w:pPr>
      <w:r>
        <w:t xml:space="preserve">논문의 구성은 다음과 같다. 제2절은 이론적 배경을 검토하고 가설을 세운다. 제3절은 하이브리드 본딩 기술과 산업 지형을 소개한다. 제4절은 자료와 측정, 방법을, 제5절은 결과를 제시한다. 제6절은 함의와 한계를 논의하고, 제7절은 결론을 맺는다.</w:t>
      </w:r>
    </w:p>
    <w:bookmarkEnd w:id="11"/>
    <w:bookmarkStart w:id="16" w:name="이론적-배경과-가설"/>
    <w:p>
      <w:pPr>
        <w:pStyle w:val="Heading2"/>
      </w:pPr>
      <w:r>
        <w:t xml:space="preserve">2. 이론적 배경과 가설</w:t>
      </w:r>
    </w:p>
    <w:bookmarkStart w:id="12" w:name="기술융합"/>
    <w:p>
      <w:pPr>
        <w:pStyle w:val="Heading3"/>
      </w:pPr>
      <w:r>
        <w:t xml:space="preserve">2.1 기술융합</w:t>
      </w:r>
    </w:p>
    <w:p>
      <w:pPr>
        <w:pStyle w:val="FirstParagraph"/>
      </w:pPr>
      <w:r>
        <w:t xml:space="preserve">한 영역에서 개발된 기술이 다른 영역으로 옮겨 간다는 생각은 오래되었다. Rosenberg(1963)는 19세기 공작기계 산업의 출현을 분석하면서, 총기나 재봉틀을 위해 개발된 가공 기술이 다른 제품에도 쓰일 수 있음을 기업들이 깨달아 가는 과정을 기술적 수렴이라 불렀다. Kodama(1992)는 분리되어 있던 기술 분야들을 결합해 어느 한쪽도 홀로 갖지 못한 역량을 만드는 과정을 기술융합이라 개념화했다. Hacklin et al.(2010)은 융합이 지식의 융합에서 기술과 응용의 융합을 거쳐 산업의 융합으로 단계적으로 진행된다는 단계 모형을 제시했고, 이 단계들이 서로 되먹임하며 공진화적 순환을 이룬다고 보았다(Hacklin et al., 2009). Curran과 Leker(2011)는 이 단계들을 특허 지표로 관찰하는 방법을 제시했다. 이후 이 문헌은 기술혁신경영의 독립된 연구 흐름으로 자리 잡았다(Geum et al., 2016; Sick and Bröring, 2022). 융합의 동인에 관한 실증도 쌓이기 시작했다. Caviggioli(2016)는 융합이 일어나기 쉬운 기술 분야의 특성을, Hwang(2020)은 한국 정보통신기업의 자료로 협력 유형과 융합의 관계를 살폈다.</w:t>
      </w:r>
    </w:p>
    <w:p>
      <w:pPr>
        <w:pStyle w:val="BodyText"/>
      </w:pPr>
      <w:r>
        <w:t xml:space="preserve">이 문헌의 두 가지 특징이 본 연구의 출발점이다. 첫째, 초점이 서로 다른 산업이나 기술 분야의 중첩에 있다. 통신과 컴퓨팅, 식품과 제약, 나노기술과 바이오기술 등 대표적 사례는 모두 다른 산업의 기업들이 지식 기반의 중첩을 발견하는 상황이다(Gambardella and Torrisi, 1998; Bröring et al., 2006; No and Park, 2010). 둘째, 융합은 보통 두 분야 사이의 공동분류나 인용을 집계한 분야 수준의 지표로 측정된다(Curran et al., 2010; Cho and Kim, 2014; Song et al., 2017). 이런 지표는 두 분야가 융합하는지, 언제 융합하는지를 알려 준다. 그러나 어떤 발명이 융합을 담고 있고 어떤 특성의 발명이 그러한지는 알려 주지 못한다. 개별 특허의 차이가 평균 속에 묻히기 때문이다.</w:t>
      </w:r>
    </w:p>
    <w:bookmarkEnd w:id="12"/>
    <w:bookmarkStart w:id="13" w:name="가치사슬-단계-사이의-융합-반도체의-경우"/>
    <w:p>
      <w:pPr>
        <w:pStyle w:val="Heading3"/>
      </w:pPr>
      <w:r>
        <w:t xml:space="preserve">2.2 가치사슬 단계 사이의 융합: 반도체의 경우</w:t>
      </w:r>
    </w:p>
    <w:p>
      <w:pPr>
        <w:pStyle w:val="FirstParagraph"/>
      </w:pPr>
      <w:r>
        <w:t xml:space="preserve">산업과 산업 사이의 경계 말고도 또 다른 경계가 있다. 한 산업 안에서 가치사슬의 단계를 가르는 경계다. 반도체 산업이 좋은 사례인 것은 이 경계가 수직 전문화 연구의 오랜 대상이었기 때문이다. Langlois와 Steinmueller(1999)는 산업 구조가 바뀌는 동안 경쟁우위가 기업과 국가 사이에서 어떻게 옮겨 다녔는지를 추적했고, Macher와 Mowery(2004)는 설계와 제조, 제조와 조립이 분리되어 팹리스, 파운드리, 조립·테스트 전문업체가 생겨난 과정을 기록했다. 이 구조가 여러 차례의 위기를 거치며 재협상되어 온 과정은 Brown과 Linden(2009)이 기술했다. 한편 Kapoor(2013)에 따르면 전문화가 진행되는 가운데서도 여러 단계에 걸친 역량을 유지한 기업이 있었고, 이들은 기술 전환에 다르게 대응했으며 그 선택이 산업 아키텍처를 만들어 왔다. Kapoor와 Adner(2012)는 DRAM 산업을 대상으로, 부품과 시스템이 서로 얽혀 있을 때 기업이 직접 만드는 범위보다 넓은 지식을 가질수록 유리하다는 점을 보였다.</w:t>
      </w:r>
    </w:p>
    <w:p>
      <w:pPr>
        <w:pStyle w:val="BodyText"/>
      </w:pPr>
      <w:r>
        <w:t xml:space="preserve">두 문헌을 잇는 논리는 다음과 같다. 산업 아키텍처는 누가 무엇을 하고 가치가 어떻게 나뉘는지를 정하는 틀이며(Jacobides et al., 2006), 공정 단계 사이의 인터페이스가 안정적일 때 전문화를 허용한다. 새로운 기술이 한 단계의 성능을 다른 단계의 지식에 의존하게 만들면 인터페이스가 불안정해지고, 기업은 경계 반대편의 지식을 획득하거나 통합해야 한다. 이때 지식의 결합은 먼저 발명 수준에서 나타난다. 한 발명이 두 단계의 기술을 함께 담기 시작하는 것이다. 특허의 공동분류는 이러한 지식 경계 확장의 흔적이다. 하이브리드 본딩은 이런 기술에 해당한다. 수율이 평탄화, 표면 화학, 정렬처럼 전공정에 자리한 제조공정 역량에 달려 있으므로 제조와 패키징 사이의 인터페이스는 더 이상 안정적이지 않다. 그 결과는 두 산업 사이가 아니라 한 산업의 두 단계 사이에서 일어나는 융합이다. 이 현상은 미세화의 한계에 관한 문헌이 예견하고(Arden et al., 2010; Iyer, 2016; Khan et al., 2018) 패키징 공학 문헌이 기술적으로 기록해 왔지만(Lau, 2021, 2022), 이를 발명의 기록에서 관찰하는 방법은 거의 제시되지 않았다.</w:t>
      </w:r>
    </w:p>
    <w:p>
      <w:pPr>
        <w:pStyle w:val="BodyText"/>
      </w:pPr>
      <w:r>
        <w:t xml:space="preserve">여기서 말하는 융합은 수직통합과 같은 것이 아니다. 수직통합 문헌(Macher and Mowery, 2004; Kapoor, 2013)이 묻는 것은 어느 기업이 어느 단계를 직접 수행하는가, 곧 조직의 경계다. 반면 융합 문헌이 묻는 것은 서로 다른 영역의 기술이 하나의 발명 안에서 결합되는가, 곧 지식의 경계다(Kodama, 1992; Curran and Leker, 2011). Hacklin et al.(2010)의 단계 모형을 빌리면 기술의 융합은 산업의 융합에 앞선다. 본 연구가 특허에서 관찰하려는 것도 이 앞선 단계, 다시 말해 기업의 조직적 결정 이전에 또는 그 이면에서 진행되는 기술의 결합이다. 그러므로 산업 아키텍처는 여기서 직접 검정하는 결과변수가 아니라 결과를 해석하는 상위의 이론적 맥락이고, 수직통합은 직접 측정하지 않는 후속 현상으로 남겨 둔다.</w:t>
      </w:r>
    </w:p>
    <w:bookmarkEnd w:id="13"/>
    <w:bookmarkStart w:id="14" w:name="특허로-융합을-측정하기"/>
    <w:p>
      <w:pPr>
        <w:pStyle w:val="Heading3"/>
      </w:pPr>
      <w:r>
        <w:t xml:space="preserve">2.3 특허로 융합을 측정하기</w:t>
      </w:r>
    </w:p>
    <w:p>
      <w:pPr>
        <w:pStyle w:val="FirstParagraph"/>
      </w:pPr>
      <w:r>
        <w:t xml:space="preserve">융합 측정에 특허가 가장 널리 쓰이는 이유는 분류 기호가 각 발명을 하나 이상의 기술 분야에 배치해 주기 때문이다(Curran and Leker, 2011). 기존 연구는 대체로 두 분야의 기호가 함께 부여된 특허의 수를 세어 분야 수준의 지수로 집계해 왔다(Cho and Kim, 2014; Lee et al., 2015; Jeong et al., 2015; Kwon et al., 2020). 분류가 발명을 뒤늦게 따라간다는 문제를 피하려고 특허 텍스트를 이용하는 연구도 있다(Preschitschek et al., 2013; Zhu and Motohashi, 2022).</w:t>
      </w:r>
    </w:p>
    <w:p>
      <w:pPr>
        <w:pStyle w:val="BodyText"/>
      </w:pPr>
      <w:r>
        <w:t xml:space="preserve">공동분류를 신호로 쓴다는 점에서 본 연구는 첫째 흐름에 속한다. 다른 점은 분석 단위다. 공동분류를 분야 수준으로 집계하는 대신 개별 특허를 세 가지 공동분류 유형으로 나누는데, 접합·인터커넥트 기호(H01L24)만 부여된 조립 단독형, 제조공정 기호(H01L21)만 부여된 공정 단독형, 그리고 두 기호가 함께 부여된 통합형이 그것이다. 이 가운데 통합형이 경계를 넘는 특허다. 특허 하나하나에 대해 정의되는 구분이므로 표준 이산선택 모형으로 분석할 수 있고, 집계 지수가 평균해 버리는 특허 간 차이도 살아남는다. 한 가지 단서는 필요하다. CPC 기호는 심사관이 발명의 기술 내용에 부여하는 것이므로, 공동분류는 두 영역의 기술이 한 발명에 함께 담겼다는 사실의 대리측정치이지 법적 청구범위의 측정치는 아니다. 이 점은 제4.2절에서 다시 정리한다.</w:t>
      </w:r>
    </w:p>
    <w:p>
      <w:pPr>
        <w:pStyle w:val="BodyText"/>
      </w:pPr>
      <w:r>
        <w:t xml:space="preserve">설명변수는 두 갈래의 특허 연구에 기대어 고른다. 하나는 특허 범위 연구다. Lerner(1994)는 특허가 걸치는 분류의 수로 범위를 재고 범위가 경제적 가치를 가짐을 보였으며, 반도체에서는 특허 시장이 잘게 나뉘어 있을수록 기업이 넓은 포트폴리오를 쌓는다는 점이 알려져 있다(Hall and Ziedonis, 2001; Ziedonis, 2004). 본 연구의 기술범위는 이 전통을 따르되 두 클래스 안의 세부 분류 수로 한정한 측정치다. 다른 하나는 관할권에 따라 특허 행태가 달라진다는 연구다. 어느 특허청에 출원하는가에는 출원인 집단, 심사 관행, 출원 목적이 함께 반영된다. 중국의 특허 급증은 제도 변화와 외국인직접투자(Hu and Jefferson, 2009), 그리고 건수를 보상하는 보조금 정책(Dang and Motohashi, 2015)에 힘입은 것이고, 반도체 가치사슬에서 중국의 위치는 지정학적 압력 속에서 빠르게 바뀌어 왔다(Grimes and Du, 2022). 추격 문헌은 후발자가 선발자의 경로를 단계별로 따라가거나 일부 단계를 건너뛴다고 본다(Lee and Lim, 2001). 이를 특허에 적용하면 추격 단계의 출원은 시스템 전체보다 특정 공정 단계에 집중될 것이라는 예상이 나온다.</w:t>
      </w:r>
    </w:p>
    <w:bookmarkEnd w:id="14"/>
    <w:bookmarkStart w:id="15" w:name="가설"/>
    <w:p>
      <w:pPr>
        <w:pStyle w:val="Heading3"/>
      </w:pPr>
      <w:r>
        <w:t xml:space="preserve">2.4 가설</w:t>
      </w:r>
    </w:p>
    <w:p>
      <w:pPr>
        <w:pStyle w:val="FirstParagraph"/>
      </w:pPr>
      <w:r>
        <w:t xml:space="preserve">이상의 논의에서 네 가지 가설을 세운다.</w:t>
      </w:r>
    </w:p>
    <w:p>
      <w:pPr>
        <w:pStyle w:val="BodyText"/>
      </w:pPr>
      <w:r>
        <w:rPr>
          <w:b/>
          <w:bCs/>
        </w:rPr>
        <w:t xml:space="preserve">기술적 다양성.</w:t>
      </w:r>
      <w:r>
        <w:t xml:space="preserve"> </w:t>
      </w:r>
      <w:r>
        <w:t xml:space="preserve">Kodama(1992)의 융합도 Rosenberg(1963)의 수렴도 둘 이상의 기술 영역에 걸치는 발명을 뜻한다. 경계 넘기가 융합의 한 형태라면, 두 클래스 안에서 더 다양한 세부 기술 요소를 포함하는 출원일수록 두 영역의 기호가 함께 부여될 가능성이 높아야 한다. 웨이퍼 준비에서 접합된 적층까지 공정 흐름 전반의 기술 요소를 포괄하는 출원은 제조공정 분류를 받을 수밖에 없지만, 접합 구조만 다루는 출원은 그렇지 않다. 다만 이 관계에는 기계적인 부분이 있다. 기술범위와 공동분류 유형이 같은 CPC 집합에서 만들어지고, 통합형은 정의상 두 클래스의 기호를 하나씩은 가지므로 범위가 2 이상이기 때문이다. 따라서 H1은 인과적 결정요인이 아니라 통합형 특허의 구성적 특징, 곧 기술적 다양성과 공동분류 사이의 연관에 관한 가설이다. 정의에서 오는 최소 기호 수의 차이는 제5.4절에서 탐색적으로 살핀다.</w:t>
      </w:r>
    </w:p>
    <w:p>
      <w:pPr>
        <w:pStyle w:val="BlockText"/>
      </w:pPr>
      <w:r>
        <w:rPr>
          <w:b/>
          <w:bCs/>
        </w:rPr>
        <w:t xml:space="preserve">H1.</w:t>
      </w:r>
      <w:r>
        <w:t xml:space="preserve"> </w:t>
      </w:r>
      <w:r>
        <w:t xml:space="preserve">제조공정 및 접합 영역에서 더 다양한 세부 기술 요소를 포함하는 출원일수록 두 영역의 CPC 기호가 함께 부여될(통합형일) 가능성이 높다.</w:t>
      </w:r>
    </w:p>
    <w:p>
      <w:pPr>
        <w:pStyle w:val="FirstParagraph"/>
      </w:pPr>
      <w:r>
        <w:rPr>
          <w:b/>
          <w:bCs/>
        </w:rPr>
        <w:t xml:space="preserve">시간 변화.</w:t>
      </w:r>
      <w:r>
        <w:t xml:space="preserve"> </w:t>
      </w:r>
      <w:r>
        <w:t xml:space="preserve">융합의 단계 모형(Hacklin et al., 2010; Jeong et al., 2015)에 따르면 기술이 발전하면서 융합의 형태도 바뀐다. 하이브리드 본딩의 초기 발명은 표면 준비, 저온 어닐링, 평탄화처럼 직접 접합을 가능하게 한 공정 단계에 관한 것이었고, 그래서 공정 발명으로 분류되었다. 적용 범위가 이미지센서와 3D NAND의 웨이퍼 단위 접합에서 고대역폭 메모리와 로직을 위한 다이 단위 접합으로 넓어지자 발명의 중심은 접합된 구조와 적층 쪽으로 옮겨 갔다(Lau, 2021). 다만 출원연도에는 기술의 발전만 담기는 것이 아니다. 분류 체계와 심사 관행, 출원인 구성, 최근 출원의 공개 시차도 함께 반영된다. 그래서 본 연구는 연도 효과를 기술 성숙의 효과라기보다 시간에 따른 변화로 읽는다.</w:t>
      </w:r>
    </w:p>
    <w:p>
      <w:pPr>
        <w:pStyle w:val="BlockText"/>
      </w:pPr>
      <w:r>
        <w:rPr>
          <w:b/>
          <w:bCs/>
        </w:rPr>
        <w:t xml:space="preserve">H2.</w:t>
      </w:r>
      <w:r>
        <w:t xml:space="preserve"> </w:t>
      </w:r>
      <w:r>
        <w:t xml:space="preserve">출원연도가 최근일수록 특허가 조립 단독형보다 공정 단독형으로 분류될 상대적 가능성은 낮다.</w:t>
      </w:r>
    </w:p>
    <w:p>
      <w:pPr>
        <w:pStyle w:val="FirstParagraph"/>
      </w:pPr>
      <w:r>
        <w:rPr>
          <w:b/>
          <w:bCs/>
        </w:rPr>
        <w:t xml:space="preserve">출원청.</w:t>
      </w:r>
      <w:r>
        <w:t xml:space="preserve"> </w:t>
      </w:r>
      <w:r>
        <w:t xml:space="preserve">어디에 출원하는가에는 누가 무엇을 위해 발명하는가가 드러난다. 단계별 추격의 논리(Lee and Lim, 2001), 중국 특허에 관한 증거(Hu and Jefferson, 2009; Dang and Motohashi, 2015), 반도체 가치사슬에서 중국의 위치(Grimes and Du, 2022)를 함께 놓고 보면, 중국 출원청 출원은 특정 제조 단계의 확보에 집중되어 범위가 좁고 공정 단독형이 많으리라는 예상이 가능하다. 물론 이 예상에는 중간 논리가 있어야 한다. 중국 특허의 증가, 보조금, 추격이라는 사실이 그 자체로 좁은 CPC 범위와 공정 단독형을 예측해 주지는 않기 때문이다. 후발국의 특허 활동이 생산 역량의 국산화, 공정별 병목의 해소, 특정 제조 단계의 권리 확보에 집중된다면, 하나의 출원이 포괄하는 기술 요소는 시스템 전체의 통합보다 개별 공정 문제의 해결에 가까워진다. 그렇다면 두 클래스 안의 CPC 범위는 좁고 공정 단독형의 비중은 높을 것이다. 이는 중국 특허 선행연구가 직접 내린 결론이 아니라, 단계별 추격의 논리를 본 연구의 특허 구성에 적용해 끌어낸 예상이다. 범위와 유형은 서로 다른 모형으로 검정되므로 가설도 나누어 세운다.</w:t>
      </w:r>
    </w:p>
    <w:p>
      <w:pPr>
        <w:pStyle w:val="BlockText"/>
      </w:pPr>
      <w:r>
        <w:rPr>
          <w:b/>
          <w:bCs/>
        </w:rPr>
        <w:t xml:space="preserve">H3a.</w:t>
      </w:r>
      <w:r>
        <w:t xml:space="preserve"> </w:t>
      </w:r>
      <w:r>
        <w:t xml:space="preserve">중국 출원청에 출원된 특허는 미국 출원청에 출원된 특허보다 기술범위가 좁다.</w:t>
      </w:r>
    </w:p>
    <w:p>
      <w:pPr>
        <w:pStyle w:val="BlockText"/>
      </w:pPr>
      <w:r>
        <w:rPr>
          <w:b/>
          <w:bCs/>
        </w:rPr>
        <w:t xml:space="preserve">H3b.</w:t>
      </w:r>
      <w:r>
        <w:t xml:space="preserve"> </w:t>
      </w:r>
      <w:r>
        <w:t xml:space="preserve">중국 출원청에 출원된 특허는 미국 출원청에 출원된 특허보다 조립 단독형 대비 공정 단독형으로 분류될 가능성이 높다.</w:t>
      </w:r>
    </w:p>
    <w:p>
      <w:pPr>
        <w:pStyle w:val="FirstParagraph"/>
      </w:pPr>
      <w:r>
        <w:t xml:space="preserve">일본 출원청에 대해서는 장비·소재 기업의 강점(Langlois and Steinmueller, 1999)에 비추어 반대 방향의 예상이 가능하지만, 표본이 26건에 그치므로 가설로 세우지 않으며 본문에서도 해석하지 않는다(부록 B). 네 가설은 모두 특허 특성과 공동분류 사이의 연관에 관한 것이며 인과관계를 주장하지 않는다.</w:t>
      </w:r>
    </w:p>
    <w:bookmarkEnd w:id="15"/>
    <w:bookmarkEnd w:id="16"/>
    <w:bookmarkStart w:id="20" w:name="연구-맥락-하이브리드-본딩-기술과-산업-지형"/>
    <w:p>
      <w:pPr>
        <w:pStyle w:val="Heading2"/>
      </w:pPr>
      <w:r>
        <w:t xml:space="preserve">3. 연구 맥락: 하이브리드 본딩 기술과 산업 지형</w:t>
      </w:r>
    </w:p>
    <w:p>
      <w:pPr>
        <w:pStyle w:val="FirstParagraph"/>
      </w:pPr>
      <w:r>
        <w:t xml:space="preserve">하이브리드 본딩은 유전체 안에 구리 패드가 새겨진 두 평탄한 표면을 맞대어, 상온에서 유전체끼리 먼저 붙고 저온 어닐링 뒤 구리끼리 붙게 하여 영구적인 전기 연결을 만드는 기술이다. 솔더 범프가 없으므로 연결 간격은 마이크로범프 플립칩으로는 어려운 10 µm 이하로 내려가며, 연구 단계에서는 1 µm 이하에 이른다(Lau, 2021, 2022). 공정은 두 가지 형태로 쓰인다. 웨이퍼-투-웨이퍼(W2W) 접합은 웨이퍼 전체를 붙이는 방식으로 CMOS 이미지센서와 3D NAND에서 먼저 상용화되었다. 다이-투-웨이퍼(D2W) 접합은 개별 다이를 웨이퍼에 붙이는 방식으로 칩렛, 고대역폭 메모리(HBM), 3D 로직에 필요하다. 두 형태 모두에서 수율을 좌우하는 단계, 곧 나노미터 이하의 거칠기로 표면을 다듬는 화학적 기계연마(CMP), 플라즈마 표면 활성화, 파티클 제어, 정밀 정렬은 CPC 분류상 접합 클래스(H01L24)가 아니라 반도체 제조공정 클래스(H01L21)에 속한다(제4.1절, 표 1). 그림 1은 하이브리드 본딩을 기반 공정, 접합 형태, 소자 구조, 적용 제품의 네 층으로 정리한 것이다. 기반 공정은 제조공정 클래스(H01L21)에, 접합 형태는 접합·인터커넥트 클래스(H01L24)에 대응한다.</w:t>
      </w:r>
    </w:p>
    <w:p>
      <w:pPr>
        <w:pStyle w:val="BodyText"/>
        <w:keepNext/>
      </w:pPr>
      <w:r>
        <w:drawing>
          <wp:inline>
            <wp:extent cx="5334000" cy="3710608"/>
            <wp:effectExtent b="0" l="0" r="0" t="0"/>
            <wp:docPr descr="" title="" id="18" name="Picture"/>
            <a:graphic>
              <a:graphicData uri="http://schemas.openxmlformats.org/drawingml/2006/picture">
                <pic:pic>
                  <pic:nvPicPr>
                    <pic:cNvPr descr="figures/fig_framework_psp.png" id="19" name="Picture"/>
                    <pic:cNvPicPr>
                      <a:picLocks noChangeArrowheads="1" noChangeAspect="1"/>
                    </pic:cNvPicPr>
                  </pic:nvPicPr>
                  <pic:blipFill>
                    <a:blip r:embed="rId17"/>
                    <a:stretch>
                      <a:fillRect/>
                    </a:stretch>
                  </pic:blipFill>
                  <pic:spPr bwMode="auto">
                    <a:xfrm>
                      <a:off x="0" y="0"/>
                      <a:ext cx="5334000" cy="3710608"/>
                    </a:xfrm>
                    <a:prstGeom prst="rect">
                      <a:avLst/>
                    </a:prstGeom>
                    <a:noFill/>
                    <a:ln w="9525">
                      <a:noFill/>
                      <a:headEnd/>
                      <a:tailEnd/>
                    </a:ln>
                  </pic:spPr>
                </pic:pic>
              </a:graphicData>
            </a:graphic>
          </wp:inline>
        </w:drawing>
      </w:r>
    </w:p>
    <w:p>
      <w:pPr>
        <w:pStyle w:val="BodyText"/>
      </w:pPr>
      <w:r>
        <w:rPr>
          <w:b/>
          <w:bCs/>
        </w:rPr>
        <w:t xml:space="preserve">그림 1.</w:t>
      </w:r>
      <w:r>
        <w:t xml:space="preserve"> </w:t>
      </w:r>
      <w:r>
        <w:t xml:space="preserve">하이브리드 본딩의 기반 공정, 접합 형태, 소자 구조, 적용 제품(저자 작성; Lau(2021, 2022)의 기술 설명을 바탕으로 재구성).</w:t>
      </w:r>
    </w:p>
    <w:p>
      <w:pPr>
        <w:pStyle w:val="BodyText"/>
      </w:pPr>
      <w:r>
        <w:t xml:space="preserve">산업 지형도 같은 방향을 가리킨다. 하이브리드 본딩 특허에 대한 독립적 산업 분석은 TSMC, Adeia, YMTC, Intel, Samsung을 특허 활동을 주도하는 출원인으로 꼽는다(KnowMade, 2024). 원천기술을 가진 라이선싱 기업, 첨단 패키징을 직접 운영하는 파운드리, 메모리 제조사가 나란히 앞서 있다는 사실은 접합 기술이 더 이상 후공정 전문기업만의 영역이 아님을 보여준다. 이러한 지형이 어떤 특허가 제조공정과 접합 영역의 경계를 넘는지에 체계적인 흔적을 남기는가가 이하의 질문이다.</w:t>
      </w:r>
    </w:p>
    <w:bookmarkEnd w:id="20"/>
    <w:bookmarkStart w:id="28" w:name="자료와-방법"/>
    <w:p>
      <w:pPr>
        <w:pStyle w:val="Heading2"/>
      </w:pPr>
      <w:r>
        <w:t xml:space="preserve">4. 자료와 방법</w:t>
      </w:r>
    </w:p>
    <w:bookmarkStart w:id="21" w:name="자료"/>
    <w:p>
      <w:pPr>
        <w:pStyle w:val="Heading3"/>
      </w:pPr>
      <w:r>
        <w:t xml:space="preserve">4.1 자료</w:t>
      </w:r>
    </w:p>
    <w:p>
      <w:pPr>
        <w:pStyle w:val="FirstParagraph"/>
      </w:pPr>
      <w:r>
        <w:t xml:space="preserve">자료는 유럽특허청의 PATSTAT Global 2025년판에서 가져왔다(European Patent Office, 2025). 먼저 CPC 분류 H01L21(반도체 제조공정)과 H01L24(반도체 연결 기술)로 후보를 검색한 뒤, 제목에 하이브리드 본딩 관련 키워드(</w:t>
      </w:r>
      <w:r>
        <w:rPr>
          <w:i/>
          <w:iCs/>
        </w:rPr>
        <w:t xml:space="preserve">hybrid bonding</w:t>
      </w:r>
      <w:r>
        <w:t xml:space="preserve">,</w:t>
      </w:r>
      <w:r>
        <w:t xml:space="preserve"> </w:t>
      </w:r>
      <w:r>
        <w:rPr>
          <w:i/>
          <w:iCs/>
        </w:rPr>
        <w:t xml:space="preserve">direct bonding</w:t>
      </w:r>
      <w:r>
        <w:t xml:space="preserve">,</w:t>
      </w:r>
      <w:r>
        <w:t xml:space="preserve"> </w:t>
      </w:r>
      <w:r>
        <w:rPr>
          <w:i/>
          <w:iCs/>
        </w:rPr>
        <w:t xml:space="preserve">Cu–Cu</w:t>
      </w:r>
      <w:r>
        <w:t xml:space="preserve">,</w:t>
      </w:r>
      <w:r>
        <w:t xml:space="preserve"> </w:t>
      </w:r>
      <w:r>
        <w:rPr>
          <w:i/>
          <w:iCs/>
        </w:rPr>
        <w:t xml:space="preserve">copper to copper</w:t>
      </w:r>
      <w:r>
        <w:t xml:space="preserve">,</w:t>
      </w:r>
      <w:r>
        <w:t xml:space="preserve"> </w:t>
      </w:r>
      <w:r>
        <w:rPr>
          <w:i/>
          <w:iCs/>
        </w:rPr>
        <w:t xml:space="preserve">metal-oxide bond</w:t>
      </w:r>
      <w:r>
        <w:t xml:space="preserve">) 가운데 하나 이상이 들어 있는 출원만 남겼다(표 1). 절차는 다음과 같다. 후보 출원은 H01L21 또는 H01L24 계열 CPC 기호를 하나 이상 가진 출원으로 한정하였다. 이후 영문 제목을 소문자로 바꾸어 지정 키워드 가운데 하나 이상이 들어 있는 출원만 남겼다. 추출된 파일은 출원 1건과 CPC 기호 1개의 쌍을 한 행으로 하는 긴 형식이며(출원 식별자, 출원청, 출원연도, 제목, CPC 기호), 기호의 공백을 정리한 뒤 중복 쌍이 없음을 확인하고 출원 식별자별로 집계하였다. 그 결과 출원–CPC 쌍 5,277건, 출원 단위로 1968–2024년에 출원된 928건이 된다. 따라서 표본은 하이브리드 본딩 특허 전체가 아니라 이 검색식으로 식별된 관련 출원이며, 제목에 관련어가 없는 출원은 포함되지 않는다. 또한 이 광의의 표본은 현대의 하이브리드 본딩뿐 아니라 그 기술적 기반이 된 초기 직접 접합(direct bonding) 전구 기술을 함께 포착하도록 설계되었으며, 장기 추세는 이 전구 기술에서 현대 기술로의 이행을 포함한다. 추출 단계에서 두 클래스 밖의 기호는 보존되지 않았으므로, 모든 기호는 H01L21 계열(202개)과 H01L24 계열(60개)의 서브그룹 기호(사선 뒤의 세부 번호까지 포함한 전체 기호, 예: H01L 21/603) 262개로 이루어진다. 본 연구의 분석단위는 PATSTAT의 개별 특허출원이다. 같은 발명이 여러 출원청에 제출된 경우 각 출원은 별도의 관측치로 포함되며, 본문의 ’특허’는 일반적 표현이고 계량분석의 관측단위는 특허출원이다.</w:t>
      </w:r>
    </w:p>
    <w:p>
      <w:pPr>
        <w:pStyle w:val="BodyText"/>
        <w:keepNext/>
      </w:pPr>
      <w:r>
        <w:rPr>
          <w:b/>
          <w:bCs/>
        </w:rPr>
        <w:t xml:space="preserve">표 1.</w:t>
      </w:r>
      <w:r>
        <w:t xml:space="preserve"> </w:t>
      </w:r>
      <w:r>
        <w:t xml:space="preserve">하이브리드 본딩 관련 특허의 검색 전략.</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217"/>
        <w:gridCol w:w="1209"/>
        <w:gridCol w:w="5643"/>
      </w:tblGrid>
      <w:tr>
        <w:trPr>
          <w:tblHeader w:val="on"/>
          <w:cantSplit/>
        </w:trPr>
        <w:tc>
          <w:tcPr>
            <w:tcW w:type="dxa" w:w="2217"/>
            <w:tcBorders>
              <w:bottom w:val="single" w:sz="4" w:space="0" w:color="000000"/>
            </w:tcBorders>
          </w:tcPr>
          <w:p>
            <w:pPr>
              <w:pStyle w:val="Compact"/>
              <w:spacing w:before="20" w:after="20" w:line="240" w:lineRule="auto"/>
              <w:keepNext/>
            </w:pPr>
            <w:r>
              <w:rPr>
                <w:sz w:val="18"/>
                <w:szCs w:val="18"/>
              </w:rPr>
              <w:t xml:space="preserve">단계</w:t>
            </w:r>
          </w:p>
        </w:tc>
        <w:tc>
          <w:tcPr>
            <w:tcW w:type="dxa" w:w="1209"/>
            <w:tcBorders>
              <w:bottom w:val="single" w:sz="4" w:space="0" w:color="000000"/>
            </w:tcBorders>
          </w:tcPr>
          <w:p>
            <w:pPr>
              <w:pStyle w:val="Compact"/>
              <w:spacing w:before="20" w:after="20" w:line="240" w:lineRule="auto"/>
              <w:keepNext/>
            </w:pPr>
            <w:r>
              <w:rPr>
                <w:sz w:val="18"/>
                <w:szCs w:val="18"/>
              </w:rPr>
              <w:t xml:space="preserve">조건</w:t>
            </w:r>
          </w:p>
        </w:tc>
        <w:tc>
          <w:tcPr>
            <w:tcW w:type="dxa" w:w="5643"/>
            <w:tcBorders>
              <w:bottom w:val="single" w:sz="4" w:space="0" w:color="000000"/>
            </w:tcBorders>
          </w:tcPr>
          <w:p>
            <w:pPr>
              <w:pStyle w:val="Compact"/>
              <w:spacing w:before="20" w:after="20" w:line="240" w:lineRule="auto"/>
              <w:keepNext/>
            </w:pPr>
            <w:r>
              <w:rPr>
                <w:sz w:val="18"/>
                <w:szCs w:val="18"/>
              </w:rPr>
              <w:t xml:space="preserve">내용</w:t>
            </w:r>
          </w:p>
        </w:tc>
      </w:tr>
      <w:tr>
        <w:trPr>
          <w:cantSplit/>
        </w:trPr>
        <w:tc>
          <w:tcPr>
            <w:tcW w:type="dxa" w:w="2217"/>
          </w:tcPr>
          <w:p>
            <w:pPr>
              <w:pStyle w:val="Compact"/>
              <w:spacing w:before="20" w:after="20" w:line="240" w:lineRule="auto"/>
              <w:keepNext/>
            </w:pPr>
            <w:r>
              <w:rPr>
                <w:sz w:val="18"/>
                <w:szCs w:val="18"/>
              </w:rPr>
              <w:t xml:space="preserve">1차: CPC</w:t>
            </w:r>
          </w:p>
        </w:tc>
        <w:tc>
          <w:tcPr>
            <w:tcW w:type="dxa" w:w="1209"/>
          </w:tcPr>
          <w:p>
            <w:pPr>
              <w:pStyle w:val="Compact"/>
              <w:spacing w:before="20" w:after="20" w:line="240" w:lineRule="auto"/>
              <w:keepNext/>
            </w:pPr>
            <w:r>
              <w:rPr>
                <w:sz w:val="18"/>
                <w:szCs w:val="18"/>
              </w:rPr>
              <w:t xml:space="preserve">H01L21</w:t>
            </w:r>
          </w:p>
        </w:tc>
        <w:tc>
          <w:tcPr>
            <w:tcW w:type="dxa" w:w="5643"/>
          </w:tcPr>
          <w:p>
            <w:pPr>
              <w:pStyle w:val="Compact"/>
              <w:spacing w:before="20" w:after="20" w:line="240" w:lineRule="auto"/>
              <w:keepNext/>
            </w:pPr>
            <w:r>
              <w:rPr>
                <w:sz w:val="18"/>
                <w:szCs w:val="18"/>
              </w:rPr>
              <w:t xml:space="preserve">반도체 제조공정 기술. 웨이퍼 직접 접합(21/18, 21/20), 소자 분리·배선·TSV(21/76), 기판·절연층 처리(21/02), 화학적 기계연마(21/30–21/32) 등. 조립 단계의 제조공정(21/48, 21/50–21/58, 21/60, 21/78)과 공정 장치(21/67–21/68)도 포함</w:t>
            </w:r>
          </w:p>
        </w:tc>
      </w:tr>
      <w:tr>
        <w:trPr>
          <w:cantSplit/>
        </w:trPr>
        <w:tc>
          <w:tcPr>
            <w:tcW w:type="dxa" w:w="2217"/>
          </w:tcPr>
          <w:p>
            <w:pPr>
              <w:pStyle w:val="Compact"/>
              <w:spacing w:before="20" w:after="20" w:line="240" w:lineRule="auto"/>
              <w:keepNext/>
            </w:pPr>
            <w:r>
              <w:rPr>
                <w:sz w:val="18"/>
                <w:szCs w:val="18"/>
              </w:rPr>
              <w:t xml:space="preserve">1차: CPC</w:t>
            </w:r>
          </w:p>
        </w:tc>
        <w:tc>
          <w:tcPr>
            <w:tcW w:type="dxa" w:w="1209"/>
          </w:tcPr>
          <w:p>
            <w:pPr>
              <w:pStyle w:val="Compact"/>
              <w:spacing w:before="20" w:after="20" w:line="240" w:lineRule="auto"/>
              <w:keepNext/>
            </w:pPr>
            <w:r>
              <w:rPr>
                <w:sz w:val="18"/>
                <w:szCs w:val="18"/>
              </w:rPr>
              <w:t xml:space="preserve">H01L24</w:t>
            </w:r>
          </w:p>
        </w:tc>
        <w:tc>
          <w:tcPr>
            <w:tcW w:type="dxa" w:w="5643"/>
          </w:tcPr>
          <w:p>
            <w:pPr>
              <w:pStyle w:val="Compact"/>
              <w:spacing w:before="20" w:after="20" w:line="240" w:lineRule="auto"/>
              <w:keepNext/>
            </w:pPr>
            <w:r>
              <w:rPr>
                <w:sz w:val="18"/>
                <w:szCs w:val="18"/>
              </w:rPr>
              <w:t xml:space="preserve">반도체 연결 기술. 와이어 본딩, 플립칩, TSV, 하이브리드 본딩, 범프 형성, 재배선 등</w:t>
            </w:r>
          </w:p>
        </w:tc>
      </w:tr>
      <w:tr>
        <w:trPr>
          <w:cantSplit/>
        </w:trPr>
        <w:tc>
          <w:tcPr>
            <w:tcW w:type="dxa" w:w="2217"/>
          </w:tcPr>
          <w:p>
            <w:pPr>
              <w:pStyle w:val="Compact"/>
              <w:spacing w:before="20" w:after="20" w:line="240" w:lineRule="auto"/>
              <w:keepNext/>
            </w:pPr>
            <w:r>
              <w:rPr>
                <w:sz w:val="18"/>
                <w:szCs w:val="18"/>
              </w:rPr>
              <w:t xml:space="preserve">2차: 키워드</w:t>
            </w:r>
          </w:p>
        </w:tc>
        <w:tc>
          <w:tcPr>
            <w:tcW w:type="dxa" w:w="1209"/>
          </w:tcPr>
          <w:p>
            <w:pPr>
              <w:pStyle w:val="Compact"/>
              <w:spacing w:before="20" w:after="20" w:line="240" w:lineRule="auto"/>
              <w:keepNext/>
            </w:pPr>
            <w:r>
              <w:rPr>
                <w:sz w:val="18"/>
                <w:szCs w:val="18"/>
              </w:rPr>
              <w:t xml:space="preserve">제목</w:t>
            </w:r>
          </w:p>
        </w:tc>
        <w:tc>
          <w:tcPr>
            <w:tcW w:type="dxa" w:w="5643"/>
          </w:tcPr>
          <w:p>
            <w:pPr>
              <w:pStyle w:val="Compact"/>
              <w:spacing w:before="20" w:after="20" w:line="240" w:lineRule="auto"/>
              <w:keepNext/>
            </w:pPr>
            <w:r>
              <w:rPr>
                <w:i/>
                <w:iCs/>
                <w:sz w:val="18"/>
                <w:szCs w:val="18"/>
              </w:rPr>
              <w:t xml:space="preserve">hybrid bonding</w:t>
            </w:r>
            <w:r>
              <w:rPr>
                <w:sz w:val="18"/>
                <w:szCs w:val="18"/>
              </w:rPr>
              <w:t xml:space="preserve">,</w:t>
            </w:r>
            <w:r>
              <w:rPr>
                <w:sz w:val="18"/>
                <w:szCs w:val="18"/>
              </w:rPr>
              <w:t xml:space="preserve"> </w:t>
            </w:r>
            <w:r>
              <w:rPr>
                <w:i/>
                <w:iCs/>
                <w:sz w:val="18"/>
                <w:szCs w:val="18"/>
              </w:rPr>
              <w:t xml:space="preserve">direct bonding</w:t>
            </w:r>
            <w:r>
              <w:rPr>
                <w:sz w:val="18"/>
                <w:szCs w:val="18"/>
              </w:rPr>
              <w:t xml:space="preserve">,</w:t>
            </w:r>
            <w:r>
              <w:rPr>
                <w:sz w:val="18"/>
                <w:szCs w:val="18"/>
              </w:rPr>
              <w:t xml:space="preserve"> </w:t>
            </w:r>
            <w:r>
              <w:rPr>
                <w:i/>
                <w:iCs/>
                <w:sz w:val="18"/>
                <w:szCs w:val="18"/>
              </w:rPr>
              <w:t xml:space="preserve">Cu–Cu</w:t>
            </w:r>
            <w:r>
              <w:rPr>
                <w:sz w:val="18"/>
                <w:szCs w:val="18"/>
              </w:rPr>
              <w:t xml:space="preserve">,</w:t>
            </w:r>
            <w:r>
              <w:rPr>
                <w:sz w:val="18"/>
                <w:szCs w:val="18"/>
              </w:rPr>
              <w:t xml:space="preserve"> </w:t>
            </w:r>
            <w:r>
              <w:rPr>
                <w:i/>
                <w:iCs/>
                <w:sz w:val="18"/>
                <w:szCs w:val="18"/>
              </w:rPr>
              <w:t xml:space="preserve">copper to copper</w:t>
            </w:r>
            <w:r>
              <w:rPr>
                <w:sz w:val="18"/>
                <w:szCs w:val="18"/>
              </w:rPr>
              <w:t xml:space="preserve">,</w:t>
            </w:r>
            <w:r>
              <w:rPr>
                <w:sz w:val="18"/>
                <w:szCs w:val="18"/>
              </w:rPr>
              <w:t xml:space="preserve"> </w:t>
            </w:r>
            <w:r>
              <w:rPr>
                <w:i/>
                <w:iCs/>
                <w:sz w:val="18"/>
                <w:szCs w:val="18"/>
              </w:rPr>
              <w:t xml:space="preserve">metal-oxide bond</w:t>
            </w:r>
            <w:r>
              <w:rPr>
                <w:sz w:val="18"/>
                <w:szCs w:val="18"/>
              </w:rPr>
              <w:t xml:space="preserve"> </w:t>
            </w:r>
            <w:r>
              <w:rPr>
                <w:sz w:val="18"/>
                <w:szCs w:val="18"/>
              </w:rPr>
              <w:t xml:space="preserve">가운데 하나 이상</w:t>
            </w:r>
          </w:p>
        </w:tc>
      </w:tr>
    </w:tbl>
    <w:p>
      <w:pPr>
        <w:pStyle w:val="BodyText"/>
      </w:pPr>
      <w:r>
        <w:rPr>
          <w:i/>
          <w:iCs/>
        </w:rPr>
        <w:t xml:space="preserve">주:</w:t>
      </w:r>
      <w:r>
        <w:t xml:space="preserve"> </w:t>
      </w:r>
      <w:r>
        <w:t xml:space="preserve">1차 조건은 두 클래스 가운데 하나 이상, 2차 조건은 키워드 가운데 하나 이상이며, 두 조건을 모두 만족해야 한다. 검색에는 두 클래스의 인덱싱 코드(예: H01L2224)도 썼으나, 추출된 레코드에는 본 클래스의 기호만 보존되었으므로 인덱싱 코드는 기술범위 계산에 들어가지 않는다.</w:t>
      </w:r>
    </w:p>
    <w:p>
      <w:pPr>
        <w:pStyle w:val="BodyText"/>
      </w:pPr>
      <w:r>
        <w:t xml:space="preserve">자료의 세 가지 특성을 미리 밝혀 둔다. 첫째,</w:t>
      </w:r>
      <w:r>
        <w:t xml:space="preserve"> </w:t>
      </w:r>
      <w:r>
        <w:rPr>
          <w:i/>
          <w:iCs/>
        </w:rPr>
        <w:t xml:space="preserve">hybrid bonding</w:t>
      </w:r>
      <w:r>
        <w:t xml:space="preserve">은 비교적 정밀한 검색어이지만</w:t>
      </w:r>
      <w:r>
        <w:t xml:space="preserve"> </w:t>
      </w:r>
      <w:r>
        <w:rPr>
          <w:i/>
          <w:iCs/>
        </w:rPr>
        <w:t xml:space="preserve">direct bonding</w:t>
      </w:r>
      <w:r>
        <w:t xml:space="preserve">은 뜻이 넓다. 제목에</w:t>
      </w:r>
      <w:r>
        <w:t xml:space="preserve"> </w:t>
      </w:r>
      <w:r>
        <w:rPr>
          <w:i/>
          <w:iCs/>
        </w:rPr>
        <w:t xml:space="preserve">hybrid bonding</w:t>
      </w:r>
      <w:r>
        <w:t xml:space="preserve">이 들어 있는 출원은 467건이며, 이 핵심 표본으로 다시 추정한 결과를 제5.4절에 보고한다. 둘째, 키워드 필터는 직접 접합(direct bonding)이라는 말의 무관한 용법도 걸러내지 못한다. 세라믹 기판에 구리를 붙이는 DBC 기판, 구리 합금, 전력 모듈 등이 그 예다. 제목으로 식별한 이러한 출원은 68건이며, 이를 뺀 재추정 결과도 제5.4절에 보고한다(판정 기준과 분포는 부록 C). 셋째, 원자료에는 공식 특허 패밀리 식별자가 없어 패밀리 단위의 중복을 직접 제거할 수 없다. 같은 발명이 여러 나라에 출원되면 여러 건으로 잡힌다. 이에 민감도 분석으로 같은 제목을 가진 출원을 하나의 근사 중복군으로 보고 각 제목군에서 가장 이른 출원 1건만 남긴 결과를 제5.4절에 보고한다. 928건은 473개의 고유 제목으로 이루어지며, 이 중 149개 제목은 둘 이상의 출원청에 출원되었다. 제목은 공식 패밀리 식별자가 아니므로 이 분석은 정확한 패밀리 제거가 아니라 다국가 중복 가능성에 대한 근사 조정이다.</w:t>
      </w:r>
    </w:p>
    <w:bookmarkEnd w:id="21"/>
    <w:bookmarkStart w:id="22" w:name="측정-개념과-지표의-대응"/>
    <w:p>
      <w:pPr>
        <w:pStyle w:val="Heading3"/>
      </w:pPr>
      <w:r>
        <w:t xml:space="preserve">4.2 측정: 개념과 지표의 대응</w:t>
      </w:r>
    </w:p>
    <w:p>
      <w:pPr>
        <w:pStyle w:val="FirstParagraph"/>
      </w:pPr>
      <w:r>
        <w:t xml:space="preserve">본 연구의 이론적 개념은 공정 단계 사이의 기술융합이다. 관찰하는 현상은 제조공정 기술과 접합·인터커넥트 기술이 한 출원에 함께 담기는 것이고, 조작적 지표는 H01L21과 H01L24의 공동분류다(표 2). 여기서 분명히 해 둘 점이 있다. 본 연구는 H01L21을 전공정 그 자체로, H01L24를 후공정 그 자체로 보지 않는다. H01L21에는 웨이퍼 제조공정만이 아니라 조립 단계의 제조공정(패키지 부품 제조, 실장·봉지, 리드 부착, 다이싱)과 공정 장치도 들어 있고, H01L24가 조직적 의미의 후공정 산업 경계를 그대로 나타내는 것도 아니다. 그럼에도 두 클래스의 공동분류를 대리측정치로 쓰는 근거는, 하이브리드 본딩의 성능을 좌우하는 웨이퍼 준비, 표면 처리, 평탄화 및 관련 제조공정이 H01L21에 다수 포함되고 접합·인터커넥트 기술은 H01L24에 모여 있다는 데 있다. 표본의 H01L21 계열 기호 1,636건을 뜯어 보면 웨이퍼 제조공정이 905건(55.3%), 공정 장치가 328건(20.0%), 조립 단계 공정이 403건(24.6%)이다. 조립 단계 공정을 제조공정으로 세지 않는 좁은 정의로 다시 추정한 결과는 제5.4절에 보고하며, 회귀분석의 결론은 달라지지 않는다.</w:t>
      </w:r>
    </w:p>
    <w:p>
      <w:pPr>
        <w:pStyle w:val="BodyText"/>
        <w:keepNext/>
      </w:pPr>
      <w:r>
        <w:rPr>
          <w:b/>
          <w:bCs/>
        </w:rPr>
        <w:t xml:space="preserve">표 2.</w:t>
      </w:r>
      <w:r>
        <w:t xml:space="preserve"> </w:t>
      </w:r>
      <w:r>
        <w:t xml:space="preserve">개념 수준별 정의와 본 연구에서의 위치.</w:t>
      </w:r>
    </w:p>
    <w:tbl>
      <w:tblPr>
        <w:tblStyle w:val="Table"/>
        <w:tblW w:type="dxa" w:w="9070"/>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814"/>
        <w:gridCol w:w="3628"/>
        <w:gridCol w:w="3628"/>
      </w:tblGrid>
      <w:tr>
        <w:trPr>
          <w:tblHeader w:val="on"/>
          <w:cantSplit/>
        </w:trPr>
        <w:tc>
          <w:tcPr>
            <w:tcW w:type="dxa" w:w="1814"/>
            <w:tcBorders>
              <w:bottom w:val="single" w:sz="4" w:space="0" w:color="000000"/>
            </w:tcBorders>
          </w:tcPr>
          <w:p>
            <w:pPr>
              <w:pStyle w:val="Compact"/>
              <w:spacing w:before="20" w:after="20" w:line="240" w:lineRule="auto"/>
              <w:keepNext/>
            </w:pPr>
            <w:r>
              <w:rPr>
                <w:sz w:val="18"/>
                <w:szCs w:val="18"/>
              </w:rPr>
              <w:t xml:space="preserve">수준</w:t>
            </w:r>
          </w:p>
        </w:tc>
        <w:tc>
          <w:tcPr>
            <w:tcW w:type="dxa" w:w="3628"/>
            <w:tcBorders>
              <w:bottom w:val="single" w:sz="4" w:space="0" w:color="000000"/>
            </w:tcBorders>
          </w:tcPr>
          <w:p>
            <w:pPr>
              <w:pStyle w:val="Compact"/>
              <w:spacing w:before="20" w:after="20" w:line="240" w:lineRule="auto"/>
              <w:keepNext/>
            </w:pPr>
            <w:r>
              <w:rPr>
                <w:sz w:val="18"/>
                <w:szCs w:val="18"/>
              </w:rPr>
              <w:t xml:space="preserve">개념</w:t>
            </w:r>
          </w:p>
        </w:tc>
        <w:tc>
          <w:tcPr>
            <w:tcW w:type="dxa" w:w="3628"/>
            <w:tcBorders>
              <w:bottom w:val="single" w:sz="4" w:space="0" w:color="000000"/>
            </w:tcBorders>
          </w:tcPr>
          <w:p>
            <w:pPr>
              <w:pStyle w:val="Compact"/>
              <w:spacing w:before="20" w:after="20" w:line="240" w:lineRule="auto"/>
              <w:keepNext/>
            </w:pPr>
            <w:r>
              <w:rPr>
                <w:sz w:val="18"/>
                <w:szCs w:val="18"/>
              </w:rPr>
              <w:t xml:space="preserve">본 연구에서의 위치</w:t>
            </w:r>
          </w:p>
        </w:tc>
      </w:tr>
      <w:tr>
        <w:trPr>
          <w:cantSplit/>
        </w:trPr>
        <w:tc>
          <w:tcPr>
            <w:tcW w:type="dxa" w:w="1814"/>
          </w:tcPr>
          <w:p>
            <w:pPr>
              <w:pStyle w:val="Compact"/>
              <w:spacing w:before="20" w:after="20" w:line="240" w:lineRule="auto"/>
              <w:keepNext/>
            </w:pPr>
            <w:r>
              <w:rPr>
                <w:sz w:val="18"/>
                <w:szCs w:val="18"/>
              </w:rPr>
              <w:t xml:space="preserve">산업</w:t>
            </w:r>
          </w:p>
        </w:tc>
        <w:tc>
          <w:tcPr>
            <w:tcW w:type="dxa" w:w="3628"/>
          </w:tcPr>
          <w:p>
            <w:pPr>
              <w:pStyle w:val="Compact"/>
              <w:spacing w:before="20" w:after="20" w:line="240" w:lineRule="auto"/>
              <w:keepNext/>
            </w:pPr>
            <w:r>
              <w:rPr>
                <w:sz w:val="18"/>
                <w:szCs w:val="18"/>
              </w:rPr>
              <w:t xml:space="preserve">산업 아키텍처</w:t>
            </w:r>
          </w:p>
        </w:tc>
        <w:tc>
          <w:tcPr>
            <w:tcW w:type="dxa" w:w="3628"/>
          </w:tcPr>
          <w:p>
            <w:pPr>
              <w:pStyle w:val="Compact"/>
              <w:spacing w:before="20" w:after="20" w:line="240" w:lineRule="auto"/>
              <w:keepNext/>
            </w:pPr>
            <w:r>
              <w:rPr>
                <w:sz w:val="18"/>
                <w:szCs w:val="18"/>
              </w:rPr>
              <w:t xml:space="preserve">결과를 해석하는 상위 맥락(직접 검정하지 않음)</w:t>
            </w:r>
          </w:p>
        </w:tc>
      </w:tr>
      <w:tr>
        <w:trPr>
          <w:cantSplit/>
        </w:trPr>
        <w:tc>
          <w:tcPr>
            <w:tcW w:type="dxa" w:w="1814"/>
          </w:tcPr>
          <w:p>
            <w:pPr>
              <w:pStyle w:val="Compact"/>
              <w:spacing w:before="20" w:after="20" w:line="240" w:lineRule="auto"/>
              <w:keepNext/>
            </w:pPr>
            <w:r>
              <w:rPr>
                <w:sz w:val="18"/>
                <w:szCs w:val="18"/>
              </w:rPr>
              <w:t xml:space="preserve">기술 시스템</w:t>
            </w:r>
          </w:p>
        </w:tc>
        <w:tc>
          <w:tcPr>
            <w:tcW w:type="dxa" w:w="3628"/>
          </w:tcPr>
          <w:p>
            <w:pPr>
              <w:pStyle w:val="Compact"/>
              <w:spacing w:before="20" w:after="20" w:line="240" w:lineRule="auto"/>
              <w:keepNext/>
            </w:pPr>
            <w:r>
              <w:rPr>
                <w:sz w:val="18"/>
                <w:szCs w:val="18"/>
              </w:rPr>
              <w:t xml:space="preserve">공정 단계 간 기술융합</w:t>
            </w:r>
          </w:p>
        </w:tc>
        <w:tc>
          <w:tcPr>
            <w:tcW w:type="dxa" w:w="3628"/>
          </w:tcPr>
          <w:p>
            <w:pPr>
              <w:pStyle w:val="Compact"/>
              <w:spacing w:before="20" w:after="20" w:line="240" w:lineRule="auto"/>
              <w:keepNext/>
            </w:pPr>
            <w:r>
              <w:rPr>
                <w:sz w:val="18"/>
                <w:szCs w:val="18"/>
              </w:rPr>
              <w:t xml:space="preserve">핵심 이론적 현상</w:t>
            </w:r>
          </w:p>
        </w:tc>
      </w:tr>
      <w:tr>
        <w:trPr>
          <w:cantSplit/>
        </w:trPr>
        <w:tc>
          <w:tcPr>
            <w:tcW w:type="dxa" w:w="1814"/>
          </w:tcPr>
          <w:p>
            <w:pPr>
              <w:pStyle w:val="Compact"/>
              <w:spacing w:before="20" w:after="20" w:line="240" w:lineRule="auto"/>
              <w:keepNext/>
            </w:pPr>
            <w:r>
              <w:rPr>
                <w:sz w:val="18"/>
                <w:szCs w:val="18"/>
              </w:rPr>
              <w:t xml:space="preserve">발명</w:t>
            </w:r>
          </w:p>
        </w:tc>
        <w:tc>
          <w:tcPr>
            <w:tcW w:type="dxa" w:w="3628"/>
          </w:tcPr>
          <w:p>
            <w:pPr>
              <w:pStyle w:val="Compact"/>
              <w:spacing w:before="20" w:after="20" w:line="240" w:lineRule="auto"/>
              <w:keepNext/>
            </w:pPr>
            <w:r>
              <w:rPr>
                <w:sz w:val="18"/>
                <w:szCs w:val="18"/>
              </w:rPr>
              <w:t xml:space="preserve">경계를 넘는 발명</w:t>
            </w:r>
          </w:p>
        </w:tc>
        <w:tc>
          <w:tcPr>
            <w:tcW w:type="dxa" w:w="3628"/>
          </w:tcPr>
          <w:p>
            <w:pPr>
              <w:pStyle w:val="Compact"/>
              <w:spacing w:before="20" w:after="20" w:line="240" w:lineRule="auto"/>
              <w:keepNext/>
            </w:pPr>
            <w:r>
              <w:rPr>
                <w:sz w:val="18"/>
                <w:szCs w:val="18"/>
              </w:rPr>
              <w:t xml:space="preserve">분석 대상</w:t>
            </w:r>
          </w:p>
        </w:tc>
      </w:tr>
      <w:tr>
        <w:trPr>
          <w:cantSplit/>
        </w:trPr>
        <w:tc>
          <w:tcPr>
            <w:tcW w:type="dxa" w:w="1814"/>
          </w:tcPr>
          <w:p>
            <w:pPr>
              <w:pStyle w:val="Compact"/>
              <w:spacing w:before="20" w:after="20" w:line="240" w:lineRule="auto"/>
              <w:keepNext/>
            </w:pPr>
            <w:r>
              <w:rPr>
                <w:sz w:val="18"/>
                <w:szCs w:val="18"/>
              </w:rPr>
              <w:t xml:space="preserve">측정</w:t>
            </w:r>
          </w:p>
        </w:tc>
        <w:tc>
          <w:tcPr>
            <w:tcW w:type="dxa" w:w="3628"/>
          </w:tcPr>
          <w:p>
            <w:pPr>
              <w:pStyle w:val="Compact"/>
              <w:spacing w:before="20" w:after="20" w:line="240" w:lineRule="auto"/>
              <w:keepNext/>
            </w:pPr>
            <w:r>
              <w:rPr>
                <w:sz w:val="18"/>
                <w:szCs w:val="18"/>
              </w:rPr>
              <w:t xml:space="preserve">H01L21–H01L24 공동분류</w:t>
            </w:r>
          </w:p>
        </w:tc>
        <w:tc>
          <w:tcPr>
            <w:tcW w:type="dxa" w:w="3628"/>
          </w:tcPr>
          <w:p>
            <w:pPr>
              <w:pStyle w:val="Compact"/>
              <w:spacing w:before="20" w:after="20" w:line="240" w:lineRule="auto"/>
              <w:keepNext/>
            </w:pPr>
            <w:r>
              <w:rPr>
                <w:sz w:val="18"/>
                <w:szCs w:val="18"/>
              </w:rPr>
              <w:t xml:space="preserve">조작적 지표(대리측정치)</w:t>
            </w:r>
          </w:p>
        </w:tc>
      </w:tr>
      <w:tr>
        <w:trPr>
          <w:cantSplit/>
        </w:trPr>
        <w:tc>
          <w:tcPr>
            <w:tcW w:type="dxa" w:w="1814"/>
          </w:tcPr>
          <w:p>
            <w:pPr>
              <w:pStyle w:val="Compact"/>
              <w:spacing w:before="20" w:after="20" w:line="240" w:lineRule="auto"/>
              <w:keepNext/>
            </w:pPr>
            <w:r>
              <w:rPr>
                <w:sz w:val="18"/>
                <w:szCs w:val="18"/>
              </w:rPr>
              <w:t xml:space="preserve">특허 특성</w:t>
            </w:r>
          </w:p>
        </w:tc>
        <w:tc>
          <w:tcPr>
            <w:tcW w:type="dxa" w:w="3628"/>
          </w:tcPr>
          <w:p>
            <w:pPr>
              <w:pStyle w:val="Compact"/>
              <w:spacing w:before="20" w:after="20" w:line="240" w:lineRule="auto"/>
              <w:keepNext/>
            </w:pPr>
            <w:r>
              <w:rPr>
                <w:sz w:val="18"/>
                <w:szCs w:val="18"/>
              </w:rPr>
              <w:t xml:space="preserve">두 클래스 안의 CPC 서브그룹 수</w:t>
            </w:r>
          </w:p>
        </w:tc>
        <w:tc>
          <w:tcPr>
            <w:tcW w:type="dxa" w:w="3628"/>
          </w:tcPr>
          <w:p>
            <w:pPr>
              <w:pStyle w:val="Compact"/>
              <w:spacing w:before="20" w:after="20" w:line="240" w:lineRule="auto"/>
              <w:keepNext/>
            </w:pPr>
            <w:r>
              <w:rPr>
                <w:sz w:val="18"/>
                <w:szCs w:val="18"/>
              </w:rPr>
              <w:t xml:space="preserve">기술적 다양성(클래스 내 기술범위)</w:t>
            </w:r>
          </w:p>
        </w:tc>
      </w:tr>
      <w:tr>
        <w:trPr>
          <w:cantSplit/>
        </w:trPr>
        <w:tc>
          <w:tcPr>
            <w:tcW w:type="dxa" w:w="1814"/>
          </w:tcPr>
          <w:p>
            <w:pPr>
              <w:pStyle w:val="Compact"/>
              <w:spacing w:before="20" w:after="20" w:line="240" w:lineRule="auto"/>
              <w:keepNext/>
            </w:pPr>
            <w:r>
              <w:rPr>
                <w:sz w:val="18"/>
                <w:szCs w:val="18"/>
              </w:rPr>
              <w:t xml:space="preserve">조직</w:t>
            </w:r>
          </w:p>
        </w:tc>
        <w:tc>
          <w:tcPr>
            <w:tcW w:type="dxa" w:w="3628"/>
          </w:tcPr>
          <w:p>
            <w:pPr>
              <w:pStyle w:val="Compact"/>
              <w:spacing w:before="20" w:after="20" w:line="240" w:lineRule="auto"/>
              <w:keepNext/>
            </w:pPr>
            <w:r>
              <w:rPr>
                <w:sz w:val="18"/>
                <w:szCs w:val="18"/>
              </w:rPr>
              <w:t xml:space="preserve">수직통합</w:t>
            </w:r>
          </w:p>
        </w:tc>
        <w:tc>
          <w:tcPr>
            <w:tcW w:type="dxa" w:w="3628"/>
          </w:tcPr>
          <w:p>
            <w:pPr>
              <w:pStyle w:val="Compact"/>
              <w:spacing w:before="20" w:after="20" w:line="240" w:lineRule="auto"/>
              <w:keepNext/>
            </w:pPr>
            <w:r>
              <w:rPr>
                <w:sz w:val="18"/>
                <w:szCs w:val="18"/>
              </w:rPr>
              <w:t xml:space="preserve">직접 측정하지 않는 후속 현상</w:t>
            </w:r>
          </w:p>
        </w:tc>
      </w:tr>
    </w:tbl>
    <w:p>
      <w:pPr>
        <w:pStyle w:val="BodyText"/>
      </w:pPr>
      <w:r>
        <w:t xml:space="preserve">CPC 기호는 심사관이 발명의 기술 내용에 부여하는 것으로, 청구항의 문구와 항상 일치하지는 않는다. 따라서 이하에서 어떤 출원이 어떤 기술을</w:t>
      </w:r>
      <w:r>
        <w:t xml:space="preserve"> </w:t>
      </w:r>
      <w:r>
        <w:t xml:space="preserve">‘포함한다’</w:t>
      </w:r>
      <w:r>
        <w:t xml:space="preserve"> </w:t>
      </w:r>
      <w:r>
        <w:t xml:space="preserve">또는 어떤 기술로 ’분류된다’는 말은 해당 클래스의 기호가 그 출원에 부여되어 있다는 뜻이며, 법적 청구범위에 관한 진술이 아니다.</w:t>
      </w:r>
    </w:p>
    <w:bookmarkEnd w:id="22"/>
    <w:bookmarkStart w:id="26" w:name="변수"/>
    <w:p>
      <w:pPr>
        <w:pStyle w:val="Heading3"/>
      </w:pPr>
      <w:r>
        <w:t xml:space="preserve">4.3 변수</w:t>
      </w:r>
    </w:p>
    <w:p>
      <w:pPr>
        <w:pStyle w:val="FirstParagraph"/>
      </w:pPr>
      <w:r>
        <w:t xml:space="preserve">표 3은 변수를 정의한다. 기술범위(breadth)는 출원에 부여된 H01L21·H01L24 계열의 서로 다른 서브그룹 기호의 수다. 이는 분류 기호의 수로 범위를 재는 Lerner(1994)의 방식을 두 클래스 안에 적용한 것으로, 두 클래스 안에서 출원에 부여된 세부 기술의 다양성을 뜻하며 반도체 밖의 분야로 뻗는 정도나 법적 청구범위는 재지 않는다. 공동분류 유형(tech_cat)은 각 출원을 조립 단독형(H01L24 기호만), 통합형(둘 다), 공정 단독형(H01L21 기호만)으로 나누며, 두 클래스의 기호가 함께 부여된 출원을 이하 통합형 또는 공동분류형이라 부르고 이것이 경계 넘기의 측정치다. 제조공정 분류 여부(has_process)는 H01L21 기호를 하나라도 가지면 1인 지표로, 통합형과 공정 단독형을 합한 것이다. 출원청(ccode)은 출원이 제출된 특허청 또는 출원 경로로 8개 수준이며 미국이 기준이다. 출원연도(yc)는 표본의 첫 출원(1968년)부터 지난 햇수다.</w:t>
      </w:r>
    </w:p>
    <w:p>
      <w:pPr>
        <w:pStyle w:val="BodyText"/>
        <w:keepNext/>
      </w:pPr>
      <w:r>
        <w:rPr>
          <w:b/>
          <w:bCs/>
        </w:rPr>
        <w:t xml:space="preserve">표 3.</w:t>
      </w:r>
      <w:r>
        <w:t xml:space="preserve"> </w:t>
      </w:r>
      <w:r>
        <w:t xml:space="preserve">변수 정의.</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523"/>
        <w:gridCol w:w="3184"/>
        <w:gridCol w:w="1592"/>
        <w:gridCol w:w="2769"/>
      </w:tblGrid>
      <w:tr>
        <w:trPr>
          <w:tblHeader w:val="on"/>
          <w:cantSplit/>
        </w:trPr>
        <w:tc>
          <w:tcPr>
            <w:tcW w:type="dxa" w:w="1523"/>
            <w:tcBorders>
              <w:bottom w:val="single" w:sz="4" w:space="0" w:color="000000"/>
            </w:tcBorders>
          </w:tcPr>
          <w:p>
            <w:pPr>
              <w:pStyle w:val="Compact"/>
              <w:spacing w:before="20" w:after="20" w:line="240" w:lineRule="auto"/>
              <w:keepNext/>
            </w:pPr>
            <w:r>
              <w:rPr>
                <w:sz w:val="18"/>
                <w:szCs w:val="18"/>
              </w:rPr>
              <w:t xml:space="preserve">변수</w:t>
            </w:r>
          </w:p>
        </w:tc>
        <w:tc>
          <w:tcPr>
            <w:tcW w:type="dxa" w:w="3184"/>
            <w:tcBorders>
              <w:bottom w:val="single" w:sz="4" w:space="0" w:color="000000"/>
            </w:tcBorders>
          </w:tcPr>
          <w:p>
            <w:pPr>
              <w:pStyle w:val="Compact"/>
              <w:spacing w:before="20" w:after="20" w:line="240" w:lineRule="auto"/>
              <w:keepNext/>
            </w:pPr>
            <w:r>
              <w:rPr>
                <w:sz w:val="18"/>
                <w:szCs w:val="18"/>
              </w:rPr>
              <w:t xml:space="preserve">정의</w:t>
            </w:r>
          </w:p>
        </w:tc>
        <w:tc>
          <w:tcPr>
            <w:tcW w:type="dxa" w:w="1592"/>
            <w:tcBorders>
              <w:bottom w:val="single" w:sz="4" w:space="0" w:color="000000"/>
            </w:tcBorders>
          </w:tcPr>
          <w:p>
            <w:pPr>
              <w:pStyle w:val="Compact"/>
              <w:spacing w:before="20" w:after="20" w:line="240" w:lineRule="auto"/>
              <w:keepNext/>
            </w:pPr>
            <w:r>
              <w:rPr>
                <w:sz w:val="18"/>
                <w:szCs w:val="18"/>
              </w:rPr>
              <w:t xml:space="preserve">유형</w:t>
            </w:r>
          </w:p>
        </w:tc>
        <w:tc>
          <w:tcPr>
            <w:tcW w:type="dxa" w:w="2769"/>
            <w:tcBorders>
              <w:bottom w:val="single" w:sz="4" w:space="0" w:color="000000"/>
            </w:tcBorders>
          </w:tcPr>
          <w:p>
            <w:pPr>
              <w:pStyle w:val="Compact"/>
              <w:spacing w:before="20" w:after="20" w:line="240" w:lineRule="auto"/>
              <w:keepNext/>
            </w:pPr>
            <w:r>
              <w:rPr>
                <w:sz w:val="18"/>
                <w:szCs w:val="18"/>
              </w:rPr>
              <w:t xml:space="preserve">해석상 주의</w:t>
            </w:r>
          </w:p>
        </w:tc>
      </w:tr>
      <w:tr>
        <w:trPr>
          <w:cantSplit/>
        </w:trPr>
        <w:tc>
          <w:tcPr>
            <w:tcW w:type="dxa" w:w="1523"/>
          </w:tcPr>
          <w:p>
            <w:pPr>
              <w:pStyle w:val="Compact"/>
              <w:spacing w:before="20" w:after="20" w:line="240" w:lineRule="auto"/>
              <w:keepNext/>
            </w:pPr>
            <w:r>
              <w:rPr>
                <w:sz w:val="18"/>
                <w:szCs w:val="18"/>
              </w:rPr>
              <w:t xml:space="preserve">breadth</w:t>
            </w:r>
          </w:p>
        </w:tc>
        <w:tc>
          <w:tcPr>
            <w:tcW w:type="dxa" w:w="3184"/>
          </w:tcPr>
          <w:p>
            <w:pPr>
              <w:pStyle w:val="Compact"/>
              <w:spacing w:before="20" w:after="20" w:line="240" w:lineRule="auto"/>
              <w:keepNext/>
            </w:pPr>
            <w:r>
              <w:rPr>
                <w:sz w:val="18"/>
                <w:szCs w:val="18"/>
              </w:rPr>
              <w:t xml:space="preserve">H01L21·H01L24 계열의 서로 다른 CPC 서브그룹 기호 수(클래스 내 기술범위)</w:t>
            </w:r>
          </w:p>
        </w:tc>
        <w:tc>
          <w:tcPr>
            <w:tcW w:type="dxa" w:w="1592"/>
          </w:tcPr>
          <w:p>
            <w:pPr>
              <w:pStyle w:val="Compact"/>
              <w:spacing w:before="20" w:after="20" w:line="240" w:lineRule="auto"/>
              <w:keepNext/>
            </w:pPr>
            <w:r>
              <w:rPr>
                <w:sz w:val="18"/>
                <w:szCs w:val="18"/>
              </w:rPr>
              <w:t xml:space="preserve">카운트, 1–21</w:t>
            </w:r>
          </w:p>
        </w:tc>
        <w:tc>
          <w:tcPr>
            <w:tcW w:type="dxa" w:w="2769"/>
          </w:tcPr>
          <w:p>
            <w:pPr>
              <w:pStyle w:val="Compact"/>
              <w:spacing w:before="20" w:after="20" w:line="240" w:lineRule="auto"/>
              <w:keepNext/>
            </w:pPr>
            <w:r>
              <w:rPr>
                <w:sz w:val="18"/>
                <w:szCs w:val="18"/>
              </w:rPr>
              <w:t xml:space="preserve">전체 CPC 범위나 법적 청구범위가 아님</w:t>
            </w:r>
          </w:p>
        </w:tc>
      </w:tr>
      <w:tr>
        <w:trPr>
          <w:cantSplit/>
        </w:trPr>
        <w:tc>
          <w:tcPr>
            <w:tcW w:type="dxa" w:w="1523"/>
          </w:tcPr>
          <w:p>
            <w:pPr>
              <w:pStyle w:val="Compact"/>
              <w:spacing w:before="20" w:after="20" w:line="240" w:lineRule="auto"/>
              <w:keepNext/>
            </w:pPr>
            <w:r>
              <w:rPr>
                <w:sz w:val="18"/>
                <w:szCs w:val="18"/>
              </w:rPr>
              <w:t xml:space="preserve">breadth_adj</w:t>
            </w:r>
          </w:p>
        </w:tc>
        <w:tc>
          <w:tcPr>
            <w:tcW w:type="dxa" w:w="3184"/>
          </w:tcPr>
          <w:p>
            <w:pPr>
              <w:pStyle w:val="Compact"/>
              <w:spacing w:before="20" w:after="20" w:line="240" w:lineRule="auto"/>
              <w:keepNext/>
            </w:pPr>
            <w:r>
              <w:rPr>
                <w:sz w:val="18"/>
                <w:szCs w:val="18"/>
              </w:rPr>
              <w:t xml:space="preserve">breadth에서 각 클래스의 첫 기호를 뺀 값(제5.4절)</w:t>
            </w:r>
          </w:p>
        </w:tc>
        <w:tc>
          <w:tcPr>
            <w:tcW w:type="dxa" w:w="1592"/>
          </w:tcPr>
          <w:p>
            <w:pPr>
              <w:pStyle w:val="Compact"/>
              <w:spacing w:before="20" w:after="20" w:line="240" w:lineRule="auto"/>
              <w:keepNext/>
            </w:pPr>
            <w:r>
              <w:rPr>
                <w:sz w:val="18"/>
                <w:szCs w:val="18"/>
              </w:rPr>
              <w:t xml:space="preserve">카운트, 0–19</w:t>
            </w:r>
          </w:p>
        </w:tc>
        <w:tc>
          <w:tcPr>
            <w:tcW w:type="dxa" w:w="2769"/>
          </w:tcPr>
          <w:p>
            <w:pPr>
              <w:pStyle w:val="Compact"/>
              <w:spacing w:before="20" w:after="20" w:line="240" w:lineRule="auto"/>
              <w:keepNext/>
            </w:pPr>
            <w:r>
              <w:rPr>
                <w:sz w:val="18"/>
                <w:szCs w:val="18"/>
              </w:rPr>
              <w:t xml:space="preserve">유형 정보를 이용해 구성한 탐색적 지표</w:t>
            </w:r>
          </w:p>
        </w:tc>
      </w:tr>
      <w:tr>
        <w:trPr>
          <w:cantSplit/>
        </w:trPr>
        <w:tc>
          <w:tcPr>
            <w:tcW w:type="dxa" w:w="1523"/>
          </w:tcPr>
          <w:p>
            <w:pPr>
              <w:pStyle w:val="Compact"/>
              <w:spacing w:before="20" w:after="20" w:line="240" w:lineRule="auto"/>
              <w:keepNext/>
            </w:pPr>
            <w:r>
              <w:rPr>
                <w:sz w:val="18"/>
                <w:szCs w:val="18"/>
              </w:rPr>
              <w:t xml:space="preserve">tech_cat</w:t>
            </w:r>
          </w:p>
        </w:tc>
        <w:tc>
          <w:tcPr>
            <w:tcW w:type="dxa" w:w="3184"/>
          </w:tcPr>
          <w:p>
            <w:pPr>
              <w:pStyle w:val="Compact"/>
              <w:spacing w:before="20" w:after="20" w:line="240" w:lineRule="auto"/>
              <w:keepNext/>
            </w:pPr>
            <w:r>
              <w:rPr>
                <w:sz w:val="18"/>
                <w:szCs w:val="18"/>
              </w:rPr>
              <w:t xml:space="preserve">공동분류 유형: 조립 단독형(H01L24만) / 통합형(둘 다) / 공정 단독형(H01L21만)</w:t>
            </w:r>
          </w:p>
        </w:tc>
        <w:tc>
          <w:tcPr>
            <w:tcW w:type="dxa" w:w="1592"/>
          </w:tcPr>
          <w:p>
            <w:pPr>
              <w:pStyle w:val="Compact"/>
              <w:spacing w:before="20" w:after="20" w:line="240" w:lineRule="auto"/>
              <w:keepNext/>
            </w:pPr>
            <w:r>
              <w:rPr>
                <w:sz w:val="18"/>
                <w:szCs w:val="18"/>
              </w:rPr>
              <w:t xml:space="preserve">범주, 3</w:t>
            </w:r>
          </w:p>
        </w:tc>
        <w:tc>
          <w:tcPr>
            <w:tcW w:type="dxa" w:w="2769"/>
          </w:tcPr>
          <w:p>
            <w:pPr>
              <w:pStyle w:val="Compact"/>
              <w:spacing w:before="20" w:after="20" w:line="240" w:lineRule="auto"/>
              <w:keepNext/>
            </w:pPr>
            <w:r>
              <w:rPr>
                <w:sz w:val="18"/>
                <w:szCs w:val="18"/>
              </w:rPr>
              <w:t xml:space="preserve">기업의 전략이 아닌 분류의 조합</w:t>
            </w:r>
          </w:p>
        </w:tc>
      </w:tr>
      <w:tr>
        <w:trPr>
          <w:cantSplit/>
        </w:trPr>
        <w:tc>
          <w:tcPr>
            <w:tcW w:type="dxa" w:w="1523"/>
          </w:tcPr>
          <w:p>
            <w:pPr>
              <w:pStyle w:val="Compact"/>
              <w:spacing w:before="20" w:after="20" w:line="240" w:lineRule="auto"/>
              <w:keepNext/>
            </w:pPr>
            <w:r>
              <w:rPr>
                <w:sz w:val="18"/>
                <w:szCs w:val="18"/>
              </w:rPr>
              <w:t xml:space="preserve">has_process</w:t>
            </w:r>
          </w:p>
        </w:tc>
        <w:tc>
          <w:tcPr>
            <w:tcW w:type="dxa" w:w="3184"/>
          </w:tcPr>
          <w:p>
            <w:pPr>
              <w:pStyle w:val="Compact"/>
              <w:spacing w:before="20" w:after="20" w:line="240" w:lineRule="auto"/>
              <w:keepNext/>
            </w:pPr>
            <w:r>
              <w:rPr>
                <w:sz w:val="18"/>
                <w:szCs w:val="18"/>
              </w:rPr>
              <w:t xml:space="preserve">H01L21 기호를 하나라도 가지면 1(제조공정 분류), 아니면 0</w:t>
            </w:r>
          </w:p>
        </w:tc>
        <w:tc>
          <w:tcPr>
            <w:tcW w:type="dxa" w:w="1592"/>
          </w:tcPr>
          <w:p>
            <w:pPr>
              <w:pStyle w:val="Compact"/>
              <w:spacing w:before="20" w:after="20" w:line="240" w:lineRule="auto"/>
              <w:keepNext/>
            </w:pPr>
            <w:r>
              <w:rPr>
                <w:sz w:val="18"/>
                <w:szCs w:val="18"/>
              </w:rPr>
              <w:t xml:space="preserve">이항</w:t>
            </w:r>
          </w:p>
        </w:tc>
        <w:tc>
          <w:tcPr>
            <w:tcW w:type="dxa" w:w="2769"/>
          </w:tcPr>
          <w:p>
            <w:pPr>
              <w:pStyle w:val="Compact"/>
              <w:spacing w:before="20" w:after="20" w:line="240" w:lineRule="auto"/>
              <w:keepNext/>
            </w:pPr>
            <w:r>
              <w:rPr>
                <w:sz w:val="18"/>
                <w:szCs w:val="18"/>
              </w:rPr>
              <w:t xml:space="preserve">전공정 자체가 아닌 제조공정 관련 분류</w:t>
            </w:r>
          </w:p>
        </w:tc>
      </w:tr>
      <w:tr>
        <w:trPr>
          <w:cantSplit/>
        </w:trPr>
        <w:tc>
          <w:tcPr>
            <w:tcW w:type="dxa" w:w="1523"/>
          </w:tcPr>
          <w:p>
            <w:pPr>
              <w:pStyle w:val="Compact"/>
              <w:spacing w:before="20" w:after="20" w:line="240" w:lineRule="auto"/>
              <w:keepNext/>
            </w:pPr>
            <w:r>
              <w:rPr>
                <w:sz w:val="18"/>
                <w:szCs w:val="18"/>
              </w:rPr>
              <w:t xml:space="preserve">ccode</w:t>
            </w:r>
          </w:p>
        </w:tc>
        <w:tc>
          <w:tcPr>
            <w:tcW w:type="dxa" w:w="3184"/>
          </w:tcPr>
          <w:p>
            <w:pPr>
              <w:pStyle w:val="Compact"/>
              <w:spacing w:before="20" w:after="20" w:line="240" w:lineRule="auto"/>
              <w:keepNext/>
            </w:pPr>
            <w:r>
              <w:rPr>
                <w:sz w:val="18"/>
                <w:szCs w:val="18"/>
              </w:rPr>
              <w:t xml:space="preserve">출원청 또는 출원 경로: US(기준), CN, KR, TW, JP, EP, WO(PCT), 기타</w:t>
            </w:r>
          </w:p>
        </w:tc>
        <w:tc>
          <w:tcPr>
            <w:tcW w:type="dxa" w:w="1592"/>
          </w:tcPr>
          <w:p>
            <w:pPr>
              <w:pStyle w:val="Compact"/>
              <w:spacing w:before="20" w:after="20" w:line="240" w:lineRule="auto"/>
              <w:keepNext/>
            </w:pPr>
            <w:r>
              <w:rPr>
                <w:sz w:val="18"/>
                <w:szCs w:val="18"/>
              </w:rPr>
              <w:t xml:space="preserve">범주, 8</w:t>
            </w:r>
          </w:p>
        </w:tc>
        <w:tc>
          <w:tcPr>
            <w:tcW w:type="dxa" w:w="2769"/>
          </w:tcPr>
          <w:p>
            <w:pPr>
              <w:pStyle w:val="Compact"/>
              <w:spacing w:before="20" w:after="20" w:line="240" w:lineRule="auto"/>
              <w:keepNext/>
            </w:pPr>
            <w:r>
              <w:rPr>
                <w:sz w:val="18"/>
                <w:szCs w:val="18"/>
              </w:rPr>
              <w:t xml:space="preserve">출원인의 국적과 다름</w:t>
            </w:r>
          </w:p>
        </w:tc>
      </w:tr>
      <w:tr>
        <w:trPr>
          <w:cantSplit/>
        </w:trPr>
        <w:tc>
          <w:tcPr>
            <w:tcW w:type="dxa" w:w="1523"/>
          </w:tcPr>
          <w:p>
            <w:pPr>
              <w:pStyle w:val="Compact"/>
              <w:spacing w:before="20" w:after="20" w:line="240" w:lineRule="auto"/>
              <w:keepNext/>
            </w:pPr>
            <w:r>
              <w:rPr>
                <w:sz w:val="18"/>
                <w:szCs w:val="18"/>
              </w:rPr>
              <w:t xml:space="preserve">yc</w:t>
            </w:r>
          </w:p>
        </w:tc>
        <w:tc>
          <w:tcPr>
            <w:tcW w:type="dxa" w:w="3184"/>
          </w:tcPr>
          <w:p>
            <w:pPr>
              <w:pStyle w:val="Compact"/>
              <w:spacing w:before="20" w:after="20" w:line="240" w:lineRule="auto"/>
              <w:keepNext/>
            </w:pPr>
            <w:r>
              <w:rPr>
                <w:sz w:val="18"/>
                <w:szCs w:val="18"/>
              </w:rPr>
              <w:t xml:space="preserve">출원연도(1968년 = 0부터 지난 햇수); 표본 평균 49.7(2017.7년)</w:t>
            </w:r>
          </w:p>
        </w:tc>
        <w:tc>
          <w:tcPr>
            <w:tcW w:type="dxa" w:w="1592"/>
          </w:tcPr>
          <w:p>
            <w:pPr>
              <w:pStyle w:val="Compact"/>
              <w:spacing w:before="20" w:after="20" w:line="240" w:lineRule="auto"/>
              <w:keepNext/>
            </w:pPr>
            <w:r>
              <w:rPr>
                <w:sz w:val="18"/>
                <w:szCs w:val="18"/>
              </w:rPr>
              <w:t xml:space="preserve">정수, 0–56</w:t>
            </w:r>
          </w:p>
        </w:tc>
        <w:tc>
          <w:tcPr>
            <w:tcW w:type="dxa" w:w="2769"/>
          </w:tcPr>
          <w:p>
            <w:pPr>
              <w:pStyle w:val="Compact"/>
              <w:spacing w:before="20" w:after="20" w:line="240" w:lineRule="auto"/>
              <w:keepNext/>
            </w:pPr>
            <w:r>
              <w:rPr>
                <w:sz w:val="18"/>
                <w:szCs w:val="18"/>
              </w:rPr>
              <w:t xml:space="preserve">기술 성숙의 직접 측정치가 아님</w:t>
            </w:r>
          </w:p>
        </w:tc>
      </w:tr>
    </w:tbl>
    <w:p>
      <w:pPr>
        <w:pStyle w:val="BodyText"/>
      </w:pPr>
      <w:r>
        <w:t xml:space="preserve">기술범위는 평균 5.69개(표준편차 4.07, 범위 1–21)이며, 통합형 7.89개, 조립 단독형 4.16개, 공정 단독형 3.15개로 유형에 따라 다르다. 출원청별로는 미국 382건, 중국 175건, PCT 경로 113건, EPO 83건, 대만 75건, 한국 58건, 일본 26건, 기타 16건이다. 그림 2는 연도별 출원 건수다. 2010년 이전에는 드물다가 2010년대 후반에 급증하여 2022년경 정점에 이른다. 2023–2024년의 감소에는 출원 뒤 공개까지 걸리는 시차가 영향을 미쳤을 가능성이 크다. 유형별로는 통합형 425건(45.8%), 조립 단독형 338건(36.4%), 공정 단독형 165건(17.8%)이며, 제조공정 기호를 가진 출원은 590건(63.6%)이다.</w:t>
      </w:r>
    </w:p>
    <w:p>
      <w:pPr>
        <w:pStyle w:val="BodyText"/>
        <w:keepNext/>
      </w:pPr>
      <w:r>
        <w:drawing>
          <wp:inline>
            <wp:extent cx="5334000" cy="2844799"/>
            <wp:effectExtent b="0" l="0" r="0" t="0"/>
            <wp:docPr descr="" title="" id="24" name="Picture"/>
            <a:graphic>
              <a:graphicData uri="http://schemas.openxmlformats.org/drawingml/2006/picture">
                <pic:pic>
                  <pic:nvPicPr>
                    <pic:cNvPr descr="figures/fig2_applications_by_year_ko.png" id="25" name="Picture"/>
                    <pic:cNvPicPr>
                      <a:picLocks noChangeArrowheads="1" noChangeAspect="1"/>
                    </pic:cNvPicPr>
                  </pic:nvPicPr>
                  <pic:blipFill>
                    <a:blip r:embed="rId23"/>
                    <a:stretch>
                      <a:fillRect/>
                    </a:stretch>
                  </pic:blipFill>
                  <pic:spPr bwMode="auto">
                    <a:xfrm>
                      <a:off x="0" y="0"/>
                      <a:ext cx="5334000" cy="2844799"/>
                    </a:xfrm>
                    <a:prstGeom prst="rect">
                      <a:avLst/>
                    </a:prstGeom>
                    <a:noFill/>
                    <a:ln w="9525">
                      <a:noFill/>
                      <a:headEnd/>
                      <a:tailEnd/>
                    </a:ln>
                  </pic:spPr>
                </pic:pic>
              </a:graphicData>
            </a:graphic>
          </wp:inline>
        </w:drawing>
      </w:r>
    </w:p>
    <w:p>
      <w:pPr>
        <w:pStyle w:val="BodyText"/>
      </w:pPr>
      <w:r>
        <w:rPr>
          <w:b/>
          <w:bCs/>
        </w:rPr>
        <w:t xml:space="preserve">그림 2.</w:t>
      </w:r>
      <w:r>
        <w:t xml:space="preserve"> </w:t>
      </w:r>
      <w:r>
        <w:t xml:space="preserve">출원연도별 하이브리드 본딩 관련 출원 건수, 1968–2024(N = 928). 2023–2024년의 감소에는 출원 뒤 공개까지의 시차가 영향을 미쳤을 가능성이 크다.</w:t>
      </w:r>
    </w:p>
    <w:p>
      <w:pPr>
        <w:pStyle w:val="BodyText"/>
      </w:pPr>
      <w:r>
        <w:t xml:space="preserve">출원청별 유형 분포와 기술범위는 표 4에 정리했다. 통합형은 EPO, 대만, 일본, 미국에서 절반 안팎으로 가장 많은 유형이지만 중국과 PCT 경로에서는 40% 수준에 그친다. 공정 단독형의 비중은 중국(24.6%)과 한국(27.6%)에서 높은 편이고 일본(11.5%), EPO(12.0%), 미국(13.9%)에서는 낮다. 기술범위 평균을 보면 중국(4.83)과 PCT(5.04)가 가장 좁고 일본(6.88)이 가장 넓다. 다만 출원청마다 출원 시기가 크게 다르다는 점을 함께 보아야 한다. 일본 출원은 절반이 2011년 이전 출원인 반면(중앙값 2011.5년) PCT 출원의 중앙값은 2022년이다. 이런 차이가 출원 시기와 범위를 통제한 뒤에도 남는지는 제5절의 회귀분석에서 확인한다.</w:t>
      </w:r>
    </w:p>
    <w:p>
      <w:pPr>
        <w:pStyle w:val="BodyText"/>
        <w:keepNext/>
      </w:pPr>
      <w:r>
        <w:rPr>
          <w:b/>
          <w:bCs/>
        </w:rPr>
        <w:t xml:space="preserve">표 4.</w:t>
      </w:r>
      <w:r>
        <w:t xml:space="preserve"> </w:t>
      </w:r>
      <w:r>
        <w:t xml:space="preserve">출원청별 공동분류 유형 분포와 기술범위(N = 928; 유형 열의 괄호는 행 비중, 기술범위 열의 괄호는 표준편차).</w:t>
      </w:r>
    </w:p>
    <w:tbl>
      <w:tblPr>
        <w:tblStyle w:val="Table"/>
        <w:tblW w:type="dxa" w:w="9072"/>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955"/>
        <w:gridCol w:w="461"/>
        <w:gridCol w:w="1223"/>
        <w:gridCol w:w="1223"/>
        <w:gridCol w:w="1223"/>
        <w:gridCol w:w="1091"/>
        <w:gridCol w:w="1771"/>
        <w:gridCol w:w="1125"/>
      </w:tblGrid>
      <w:tr>
        <w:trPr>
          <w:tblHeader w:val="on"/>
          <w:cantSplit/>
        </w:trPr>
        <w:tc>
          <w:tcPr>
            <w:tcW w:type="dxa" w:w="955"/>
            <w:tcBorders>
              <w:bottom w:val="single" w:sz="4" w:space="0" w:color="000000"/>
            </w:tcBorders>
          </w:tcPr>
          <w:p>
            <w:pPr>
              <w:pStyle w:val="Compact"/>
              <w:spacing w:before="20" w:after="20" w:line="240" w:lineRule="auto"/>
              <w:keepNext/>
            </w:pPr>
            <w:r>
              <w:rPr>
                <w:sz w:val="13"/>
                <w:szCs w:val="13"/>
              </w:rPr>
              <w:t xml:space="preserve">출원청</w:t>
            </w:r>
          </w:p>
        </w:tc>
        <w:tc>
          <w:tcPr>
            <w:tcW w:type="dxa" w:w="461"/>
            <w:tcBorders>
              <w:bottom w:val="single" w:sz="4" w:space="0" w:color="000000"/>
            </w:tcBorders>
          </w:tcPr>
          <w:p>
            <w:pPr>
              <w:pStyle w:val="Compact"/>
              <w:spacing w:before="20" w:after="20" w:line="240" w:lineRule="auto"/>
              <w:jc w:val="right"/>
              <w:keepNext/>
            </w:pPr>
            <w:r>
              <w:rPr>
                <w:sz w:val="13"/>
                <w:szCs w:val="13"/>
              </w:rPr>
              <w:t xml:space="preserve">N</w:t>
            </w:r>
          </w:p>
        </w:tc>
        <w:tc>
          <w:tcPr>
            <w:tcW w:type="dxa" w:w="1223"/>
            <w:tcBorders>
              <w:bottom w:val="single" w:sz="4" w:space="0" w:color="000000"/>
            </w:tcBorders>
          </w:tcPr>
          <w:p>
            <w:pPr>
              <w:pStyle w:val="Compact"/>
              <w:spacing w:before="20" w:after="20" w:line="240" w:lineRule="auto"/>
              <w:keepNext/>
            </w:pPr>
            <w:r>
              <w:rPr>
                <w:sz w:val="13"/>
                <w:szCs w:val="13"/>
              </w:rPr>
              <w:t xml:space="preserve">조립 단독형</w:t>
            </w:r>
          </w:p>
        </w:tc>
        <w:tc>
          <w:tcPr>
            <w:tcW w:type="dxa" w:w="1223"/>
            <w:tcBorders>
              <w:bottom w:val="single" w:sz="4" w:space="0" w:color="000000"/>
            </w:tcBorders>
          </w:tcPr>
          <w:p>
            <w:pPr>
              <w:pStyle w:val="Compact"/>
              <w:spacing w:before="20" w:after="20" w:line="240" w:lineRule="auto"/>
              <w:keepNext/>
            </w:pPr>
            <w:r>
              <w:rPr>
                <w:sz w:val="13"/>
                <w:szCs w:val="13"/>
              </w:rPr>
              <w:t xml:space="preserve">통합형</w:t>
            </w:r>
          </w:p>
        </w:tc>
        <w:tc>
          <w:tcPr>
            <w:tcW w:type="dxa" w:w="1223"/>
            <w:tcBorders>
              <w:bottom w:val="single" w:sz="4" w:space="0" w:color="000000"/>
            </w:tcBorders>
          </w:tcPr>
          <w:p>
            <w:pPr>
              <w:pStyle w:val="Compact"/>
              <w:spacing w:before="20" w:after="20" w:line="240" w:lineRule="auto"/>
              <w:keepNext/>
            </w:pPr>
            <w:r>
              <w:rPr>
                <w:sz w:val="13"/>
                <w:szCs w:val="13"/>
              </w:rPr>
              <w:t xml:space="preserve">공정 단독형</w:t>
            </w:r>
          </w:p>
        </w:tc>
        <w:tc>
          <w:tcPr>
            <w:tcW w:type="dxa" w:w="1091"/>
            <w:tcBorders>
              <w:bottom w:val="single" w:sz="4" w:space="0" w:color="000000"/>
            </w:tcBorders>
          </w:tcPr>
          <w:p>
            <w:pPr>
              <w:pStyle w:val="Compact"/>
              <w:spacing w:before="20" w:after="20" w:line="240" w:lineRule="auto"/>
              <w:jc w:val="right"/>
              <w:keepNext/>
            </w:pPr>
            <w:r>
              <w:rPr>
                <w:sz w:val="13"/>
                <w:szCs w:val="13"/>
              </w:rPr>
              <w:t xml:space="preserve">제조공정 분류(%)</w:t>
            </w:r>
          </w:p>
        </w:tc>
        <w:tc>
          <w:tcPr>
            <w:tcW w:type="dxa" w:w="1771"/>
            <w:tcBorders>
              <w:bottom w:val="single" w:sz="4" w:space="0" w:color="000000"/>
            </w:tcBorders>
          </w:tcPr>
          <w:p>
            <w:pPr>
              <w:pStyle w:val="Compact"/>
              <w:spacing w:before="20" w:after="20" w:line="240" w:lineRule="auto"/>
              <w:keepNext/>
            </w:pPr>
            <w:r>
              <w:rPr>
                <w:sz w:val="13"/>
                <w:szCs w:val="13"/>
              </w:rPr>
              <w:t xml:space="preserve">기술범위 평균(표준편차)</w:t>
            </w:r>
          </w:p>
        </w:tc>
        <w:tc>
          <w:tcPr>
            <w:tcW w:type="dxa" w:w="1125"/>
            <w:tcBorders>
              <w:bottom w:val="single" w:sz="4" w:space="0" w:color="000000"/>
            </w:tcBorders>
          </w:tcPr>
          <w:p>
            <w:pPr>
              <w:pStyle w:val="Compact"/>
              <w:spacing w:before="20" w:after="20" w:line="240" w:lineRule="auto"/>
              <w:jc w:val="right"/>
              <w:keepNext/>
            </w:pPr>
            <w:r>
              <w:rPr>
                <w:sz w:val="13"/>
                <w:szCs w:val="13"/>
              </w:rPr>
              <w:t xml:space="preserve">출원연도 중앙값</w:t>
            </w:r>
          </w:p>
        </w:tc>
      </w:tr>
      <w:tr>
        <w:trPr>
          <w:cantSplit/>
        </w:trPr>
        <w:tc>
          <w:tcPr>
            <w:tcW w:type="dxa" w:w="955"/>
          </w:tcPr>
          <w:p>
            <w:pPr>
              <w:pStyle w:val="Compact"/>
              <w:spacing w:before="20" w:after="20" w:line="240" w:lineRule="auto"/>
              <w:keepNext/>
            </w:pPr>
            <w:r>
              <w:rPr>
                <w:sz w:val="13"/>
                <w:szCs w:val="13"/>
              </w:rPr>
              <w:t xml:space="preserve">미국(US)</w:t>
            </w:r>
          </w:p>
        </w:tc>
        <w:tc>
          <w:tcPr>
            <w:tcW w:type="dxa" w:w="461"/>
          </w:tcPr>
          <w:p>
            <w:pPr>
              <w:pStyle w:val="Compact"/>
              <w:spacing w:before="20" w:after="20" w:line="240" w:lineRule="auto"/>
              <w:jc w:val="right"/>
              <w:keepNext/>
            </w:pPr>
            <w:r>
              <w:rPr>
                <w:sz w:val="13"/>
                <w:szCs w:val="13"/>
              </w:rPr>
              <w:t xml:space="preserve">382</w:t>
            </w:r>
          </w:p>
        </w:tc>
        <w:tc>
          <w:tcPr>
            <w:tcW w:type="dxa" w:w="1223"/>
          </w:tcPr>
          <w:p>
            <w:pPr>
              <w:pStyle w:val="Compact"/>
              <w:spacing w:before="20" w:after="20" w:line="240" w:lineRule="auto"/>
              <w:keepNext/>
            </w:pPr>
            <w:r>
              <w:rPr>
                <w:sz w:val="13"/>
                <w:szCs w:val="13"/>
              </w:rPr>
              <w:t xml:space="preserve">148 (38.7%)</w:t>
            </w:r>
          </w:p>
        </w:tc>
        <w:tc>
          <w:tcPr>
            <w:tcW w:type="dxa" w:w="1223"/>
          </w:tcPr>
          <w:p>
            <w:pPr>
              <w:pStyle w:val="Compact"/>
              <w:spacing w:before="20" w:after="20" w:line="240" w:lineRule="auto"/>
              <w:keepNext/>
            </w:pPr>
            <w:r>
              <w:rPr>
                <w:sz w:val="13"/>
                <w:szCs w:val="13"/>
              </w:rPr>
              <w:t xml:space="preserve">181 (47.4%)</w:t>
            </w:r>
          </w:p>
        </w:tc>
        <w:tc>
          <w:tcPr>
            <w:tcW w:type="dxa" w:w="1223"/>
          </w:tcPr>
          <w:p>
            <w:pPr>
              <w:pStyle w:val="Compact"/>
              <w:spacing w:before="20" w:after="20" w:line="240" w:lineRule="auto"/>
              <w:keepNext/>
            </w:pPr>
            <w:r>
              <w:rPr>
                <w:sz w:val="13"/>
                <w:szCs w:val="13"/>
              </w:rPr>
              <w:t xml:space="preserve">53 (13.9%)</w:t>
            </w:r>
          </w:p>
        </w:tc>
        <w:tc>
          <w:tcPr>
            <w:tcW w:type="dxa" w:w="1091"/>
          </w:tcPr>
          <w:p>
            <w:pPr>
              <w:pStyle w:val="Compact"/>
              <w:spacing w:before="20" w:after="20" w:line="240" w:lineRule="auto"/>
              <w:jc w:val="right"/>
              <w:keepNext/>
            </w:pPr>
            <w:r>
              <w:rPr>
                <w:sz w:val="13"/>
                <w:szCs w:val="13"/>
              </w:rPr>
              <w:t xml:space="preserve">61.3</w:t>
            </w:r>
          </w:p>
        </w:tc>
        <w:tc>
          <w:tcPr>
            <w:tcW w:type="dxa" w:w="1771"/>
          </w:tcPr>
          <w:p>
            <w:pPr>
              <w:pStyle w:val="Compact"/>
              <w:spacing w:before="20" w:after="20" w:line="240" w:lineRule="auto"/>
              <w:keepNext/>
            </w:pPr>
            <w:r>
              <w:rPr>
                <w:sz w:val="13"/>
                <w:szCs w:val="13"/>
              </w:rPr>
              <w:t xml:space="preserve">5.99 (4.02)</w:t>
            </w:r>
          </w:p>
        </w:tc>
        <w:tc>
          <w:tcPr>
            <w:tcW w:type="dxa" w:w="1125"/>
          </w:tcPr>
          <w:p>
            <w:pPr>
              <w:pStyle w:val="Compact"/>
              <w:spacing w:before="20" w:after="20" w:line="240" w:lineRule="auto"/>
              <w:jc w:val="right"/>
              <w:keepNext/>
            </w:pPr>
            <w:r>
              <w:rPr>
                <w:sz w:val="13"/>
                <w:szCs w:val="13"/>
              </w:rPr>
              <w:t xml:space="preserve">2020</w:t>
            </w:r>
          </w:p>
        </w:tc>
      </w:tr>
      <w:tr>
        <w:trPr>
          <w:cantSplit/>
        </w:trPr>
        <w:tc>
          <w:tcPr>
            <w:tcW w:type="dxa" w:w="955"/>
          </w:tcPr>
          <w:p>
            <w:pPr>
              <w:pStyle w:val="Compact"/>
              <w:spacing w:before="20" w:after="20" w:line="240" w:lineRule="auto"/>
              <w:keepNext/>
            </w:pPr>
            <w:r>
              <w:rPr>
                <w:sz w:val="13"/>
                <w:szCs w:val="13"/>
              </w:rPr>
              <w:t xml:space="preserve">중국(CN)</w:t>
            </w:r>
          </w:p>
        </w:tc>
        <w:tc>
          <w:tcPr>
            <w:tcW w:type="dxa" w:w="461"/>
          </w:tcPr>
          <w:p>
            <w:pPr>
              <w:pStyle w:val="Compact"/>
              <w:spacing w:before="20" w:after="20" w:line="240" w:lineRule="auto"/>
              <w:jc w:val="right"/>
              <w:keepNext/>
            </w:pPr>
            <w:r>
              <w:rPr>
                <w:sz w:val="13"/>
                <w:szCs w:val="13"/>
              </w:rPr>
              <w:t xml:space="preserve">175</w:t>
            </w:r>
          </w:p>
        </w:tc>
        <w:tc>
          <w:tcPr>
            <w:tcW w:type="dxa" w:w="1223"/>
          </w:tcPr>
          <w:p>
            <w:pPr>
              <w:pStyle w:val="Compact"/>
              <w:spacing w:before="20" w:after="20" w:line="240" w:lineRule="auto"/>
              <w:keepNext/>
            </w:pPr>
            <w:r>
              <w:rPr>
                <w:sz w:val="13"/>
                <w:szCs w:val="13"/>
              </w:rPr>
              <w:t xml:space="preserve">63 (36.0%)</w:t>
            </w:r>
          </w:p>
        </w:tc>
        <w:tc>
          <w:tcPr>
            <w:tcW w:type="dxa" w:w="1223"/>
          </w:tcPr>
          <w:p>
            <w:pPr>
              <w:pStyle w:val="Compact"/>
              <w:spacing w:before="20" w:after="20" w:line="240" w:lineRule="auto"/>
              <w:keepNext/>
            </w:pPr>
            <w:r>
              <w:rPr>
                <w:sz w:val="13"/>
                <w:szCs w:val="13"/>
              </w:rPr>
              <w:t xml:space="preserve">69 (39.4%)</w:t>
            </w:r>
          </w:p>
        </w:tc>
        <w:tc>
          <w:tcPr>
            <w:tcW w:type="dxa" w:w="1223"/>
          </w:tcPr>
          <w:p>
            <w:pPr>
              <w:pStyle w:val="Compact"/>
              <w:spacing w:before="20" w:after="20" w:line="240" w:lineRule="auto"/>
              <w:keepNext/>
            </w:pPr>
            <w:r>
              <w:rPr>
                <w:sz w:val="13"/>
                <w:szCs w:val="13"/>
              </w:rPr>
              <w:t xml:space="preserve">43 (24.6%)</w:t>
            </w:r>
          </w:p>
        </w:tc>
        <w:tc>
          <w:tcPr>
            <w:tcW w:type="dxa" w:w="1091"/>
          </w:tcPr>
          <w:p>
            <w:pPr>
              <w:pStyle w:val="Compact"/>
              <w:spacing w:before="20" w:after="20" w:line="240" w:lineRule="auto"/>
              <w:jc w:val="right"/>
              <w:keepNext/>
            </w:pPr>
            <w:r>
              <w:rPr>
                <w:sz w:val="13"/>
                <w:szCs w:val="13"/>
              </w:rPr>
              <w:t xml:space="preserve">64.0</w:t>
            </w:r>
          </w:p>
        </w:tc>
        <w:tc>
          <w:tcPr>
            <w:tcW w:type="dxa" w:w="1771"/>
          </w:tcPr>
          <w:p>
            <w:pPr>
              <w:pStyle w:val="Compact"/>
              <w:spacing w:before="20" w:after="20" w:line="240" w:lineRule="auto"/>
              <w:keepNext/>
            </w:pPr>
            <w:r>
              <w:rPr>
                <w:sz w:val="13"/>
                <w:szCs w:val="13"/>
              </w:rPr>
              <w:t xml:space="preserve">4.83 (3.39)</w:t>
            </w:r>
          </w:p>
        </w:tc>
        <w:tc>
          <w:tcPr>
            <w:tcW w:type="dxa" w:w="1125"/>
          </w:tcPr>
          <w:p>
            <w:pPr>
              <w:pStyle w:val="Compact"/>
              <w:spacing w:before="20" w:after="20" w:line="240" w:lineRule="auto"/>
              <w:jc w:val="right"/>
              <w:keepNext/>
            </w:pPr>
            <w:r>
              <w:rPr>
                <w:sz w:val="13"/>
                <w:szCs w:val="13"/>
              </w:rPr>
              <w:t xml:space="preserve">2021</w:t>
            </w:r>
          </w:p>
        </w:tc>
      </w:tr>
      <w:tr>
        <w:trPr>
          <w:cantSplit/>
        </w:trPr>
        <w:tc>
          <w:tcPr>
            <w:tcW w:type="dxa" w:w="955"/>
          </w:tcPr>
          <w:p>
            <w:pPr>
              <w:pStyle w:val="Compact"/>
              <w:spacing w:before="20" w:after="20" w:line="240" w:lineRule="auto"/>
              <w:keepNext/>
            </w:pPr>
            <w:r>
              <w:rPr>
                <w:sz w:val="13"/>
                <w:szCs w:val="13"/>
              </w:rPr>
              <w:t xml:space="preserve">PCT(WO)</w:t>
            </w:r>
          </w:p>
        </w:tc>
        <w:tc>
          <w:tcPr>
            <w:tcW w:type="dxa" w:w="461"/>
          </w:tcPr>
          <w:p>
            <w:pPr>
              <w:pStyle w:val="Compact"/>
              <w:spacing w:before="20" w:after="20" w:line="240" w:lineRule="auto"/>
              <w:jc w:val="right"/>
              <w:keepNext/>
            </w:pPr>
            <w:r>
              <w:rPr>
                <w:sz w:val="13"/>
                <w:szCs w:val="13"/>
              </w:rPr>
              <w:t xml:space="preserve">113</w:t>
            </w:r>
          </w:p>
        </w:tc>
        <w:tc>
          <w:tcPr>
            <w:tcW w:type="dxa" w:w="1223"/>
          </w:tcPr>
          <w:p>
            <w:pPr>
              <w:pStyle w:val="Compact"/>
              <w:spacing w:before="20" w:after="20" w:line="240" w:lineRule="auto"/>
              <w:keepNext/>
            </w:pPr>
            <w:r>
              <w:rPr>
                <w:sz w:val="13"/>
                <w:szCs w:val="13"/>
              </w:rPr>
              <w:t xml:space="preserve">43 (38.1%)</w:t>
            </w:r>
          </w:p>
        </w:tc>
        <w:tc>
          <w:tcPr>
            <w:tcW w:type="dxa" w:w="1223"/>
          </w:tcPr>
          <w:p>
            <w:pPr>
              <w:pStyle w:val="Compact"/>
              <w:spacing w:before="20" w:after="20" w:line="240" w:lineRule="auto"/>
              <w:keepNext/>
            </w:pPr>
            <w:r>
              <w:rPr>
                <w:sz w:val="13"/>
                <w:szCs w:val="13"/>
              </w:rPr>
              <w:t xml:space="preserve">46 (40.7%)</w:t>
            </w:r>
          </w:p>
        </w:tc>
        <w:tc>
          <w:tcPr>
            <w:tcW w:type="dxa" w:w="1223"/>
          </w:tcPr>
          <w:p>
            <w:pPr>
              <w:pStyle w:val="Compact"/>
              <w:spacing w:before="20" w:after="20" w:line="240" w:lineRule="auto"/>
              <w:keepNext/>
            </w:pPr>
            <w:r>
              <w:rPr>
                <w:sz w:val="13"/>
                <w:szCs w:val="13"/>
              </w:rPr>
              <w:t xml:space="preserve">24 (21.2%)</w:t>
            </w:r>
          </w:p>
        </w:tc>
        <w:tc>
          <w:tcPr>
            <w:tcW w:type="dxa" w:w="1091"/>
          </w:tcPr>
          <w:p>
            <w:pPr>
              <w:pStyle w:val="Compact"/>
              <w:spacing w:before="20" w:after="20" w:line="240" w:lineRule="auto"/>
              <w:jc w:val="right"/>
              <w:keepNext/>
            </w:pPr>
            <w:r>
              <w:rPr>
                <w:sz w:val="13"/>
                <w:szCs w:val="13"/>
              </w:rPr>
              <w:t xml:space="preserve">61.9</w:t>
            </w:r>
          </w:p>
        </w:tc>
        <w:tc>
          <w:tcPr>
            <w:tcW w:type="dxa" w:w="1771"/>
          </w:tcPr>
          <w:p>
            <w:pPr>
              <w:pStyle w:val="Compact"/>
              <w:spacing w:before="20" w:after="20" w:line="240" w:lineRule="auto"/>
              <w:keepNext/>
            </w:pPr>
            <w:r>
              <w:rPr>
                <w:sz w:val="13"/>
                <w:szCs w:val="13"/>
              </w:rPr>
              <w:t xml:space="preserve">5.04 (3.57)</w:t>
            </w:r>
          </w:p>
        </w:tc>
        <w:tc>
          <w:tcPr>
            <w:tcW w:type="dxa" w:w="1125"/>
          </w:tcPr>
          <w:p>
            <w:pPr>
              <w:pStyle w:val="Compact"/>
              <w:spacing w:before="20" w:after="20" w:line="240" w:lineRule="auto"/>
              <w:jc w:val="right"/>
              <w:keepNext/>
            </w:pPr>
            <w:r>
              <w:rPr>
                <w:sz w:val="13"/>
                <w:szCs w:val="13"/>
              </w:rPr>
              <w:t xml:space="preserve">2022</w:t>
            </w:r>
          </w:p>
        </w:tc>
      </w:tr>
      <w:tr>
        <w:trPr>
          <w:cantSplit/>
        </w:trPr>
        <w:tc>
          <w:tcPr>
            <w:tcW w:type="dxa" w:w="955"/>
          </w:tcPr>
          <w:p>
            <w:pPr>
              <w:pStyle w:val="Compact"/>
              <w:spacing w:before="20" w:after="20" w:line="240" w:lineRule="auto"/>
              <w:keepNext/>
            </w:pPr>
            <w:r>
              <w:rPr>
                <w:sz w:val="13"/>
                <w:szCs w:val="13"/>
              </w:rPr>
              <w:t xml:space="preserve">EPO(EP)</w:t>
            </w:r>
          </w:p>
        </w:tc>
        <w:tc>
          <w:tcPr>
            <w:tcW w:type="dxa" w:w="461"/>
          </w:tcPr>
          <w:p>
            <w:pPr>
              <w:pStyle w:val="Compact"/>
              <w:spacing w:before="20" w:after="20" w:line="240" w:lineRule="auto"/>
              <w:jc w:val="right"/>
              <w:keepNext/>
            </w:pPr>
            <w:r>
              <w:rPr>
                <w:sz w:val="13"/>
                <w:szCs w:val="13"/>
              </w:rPr>
              <w:t xml:space="preserve">83</w:t>
            </w:r>
          </w:p>
        </w:tc>
        <w:tc>
          <w:tcPr>
            <w:tcW w:type="dxa" w:w="1223"/>
          </w:tcPr>
          <w:p>
            <w:pPr>
              <w:pStyle w:val="Compact"/>
              <w:spacing w:before="20" w:after="20" w:line="240" w:lineRule="auto"/>
              <w:keepNext/>
            </w:pPr>
            <w:r>
              <w:rPr>
                <w:sz w:val="13"/>
                <w:szCs w:val="13"/>
              </w:rPr>
              <w:t xml:space="preserve">29 (34.9%)</w:t>
            </w:r>
          </w:p>
        </w:tc>
        <w:tc>
          <w:tcPr>
            <w:tcW w:type="dxa" w:w="1223"/>
          </w:tcPr>
          <w:p>
            <w:pPr>
              <w:pStyle w:val="Compact"/>
              <w:spacing w:before="20" w:after="20" w:line="240" w:lineRule="auto"/>
              <w:keepNext/>
            </w:pPr>
            <w:r>
              <w:rPr>
                <w:sz w:val="13"/>
                <w:szCs w:val="13"/>
              </w:rPr>
              <w:t xml:space="preserve">44 (53.0%)</w:t>
            </w:r>
          </w:p>
        </w:tc>
        <w:tc>
          <w:tcPr>
            <w:tcW w:type="dxa" w:w="1223"/>
          </w:tcPr>
          <w:p>
            <w:pPr>
              <w:pStyle w:val="Compact"/>
              <w:spacing w:before="20" w:after="20" w:line="240" w:lineRule="auto"/>
              <w:keepNext/>
            </w:pPr>
            <w:r>
              <w:rPr>
                <w:sz w:val="13"/>
                <w:szCs w:val="13"/>
              </w:rPr>
              <w:t xml:space="preserve">10 (12.0%)</w:t>
            </w:r>
          </w:p>
        </w:tc>
        <w:tc>
          <w:tcPr>
            <w:tcW w:type="dxa" w:w="1091"/>
          </w:tcPr>
          <w:p>
            <w:pPr>
              <w:pStyle w:val="Compact"/>
              <w:spacing w:before="20" w:after="20" w:line="240" w:lineRule="auto"/>
              <w:jc w:val="right"/>
              <w:keepNext/>
            </w:pPr>
            <w:r>
              <w:rPr>
                <w:sz w:val="13"/>
                <w:szCs w:val="13"/>
              </w:rPr>
              <w:t xml:space="preserve">65.1</w:t>
            </w:r>
          </w:p>
        </w:tc>
        <w:tc>
          <w:tcPr>
            <w:tcW w:type="dxa" w:w="1771"/>
          </w:tcPr>
          <w:p>
            <w:pPr>
              <w:pStyle w:val="Compact"/>
              <w:spacing w:before="20" w:after="20" w:line="240" w:lineRule="auto"/>
              <w:keepNext/>
            </w:pPr>
            <w:r>
              <w:rPr>
                <w:sz w:val="13"/>
                <w:szCs w:val="13"/>
              </w:rPr>
              <w:t xml:space="preserve">5.94 (3.75)</w:t>
            </w:r>
          </w:p>
        </w:tc>
        <w:tc>
          <w:tcPr>
            <w:tcW w:type="dxa" w:w="1125"/>
          </w:tcPr>
          <w:p>
            <w:pPr>
              <w:pStyle w:val="Compact"/>
              <w:spacing w:before="20" w:after="20" w:line="240" w:lineRule="auto"/>
              <w:jc w:val="right"/>
              <w:keepNext/>
            </w:pPr>
            <w:r>
              <w:rPr>
                <w:sz w:val="13"/>
                <w:szCs w:val="13"/>
              </w:rPr>
              <w:t xml:space="preserve">2021</w:t>
            </w:r>
          </w:p>
        </w:tc>
      </w:tr>
      <w:tr>
        <w:trPr>
          <w:cantSplit/>
        </w:trPr>
        <w:tc>
          <w:tcPr>
            <w:tcW w:type="dxa" w:w="955"/>
          </w:tcPr>
          <w:p>
            <w:pPr>
              <w:pStyle w:val="Compact"/>
              <w:spacing w:before="20" w:after="20" w:line="240" w:lineRule="auto"/>
              <w:keepNext/>
            </w:pPr>
            <w:r>
              <w:rPr>
                <w:sz w:val="13"/>
                <w:szCs w:val="13"/>
              </w:rPr>
              <w:t xml:space="preserve">대만(TW)</w:t>
            </w:r>
          </w:p>
        </w:tc>
        <w:tc>
          <w:tcPr>
            <w:tcW w:type="dxa" w:w="461"/>
          </w:tcPr>
          <w:p>
            <w:pPr>
              <w:pStyle w:val="Compact"/>
              <w:spacing w:before="20" w:after="20" w:line="240" w:lineRule="auto"/>
              <w:jc w:val="right"/>
              <w:keepNext/>
            </w:pPr>
            <w:r>
              <w:rPr>
                <w:sz w:val="13"/>
                <w:szCs w:val="13"/>
              </w:rPr>
              <w:t xml:space="preserve">75</w:t>
            </w:r>
          </w:p>
        </w:tc>
        <w:tc>
          <w:tcPr>
            <w:tcW w:type="dxa" w:w="1223"/>
          </w:tcPr>
          <w:p>
            <w:pPr>
              <w:pStyle w:val="Compact"/>
              <w:spacing w:before="20" w:after="20" w:line="240" w:lineRule="auto"/>
              <w:keepNext/>
            </w:pPr>
            <w:r>
              <w:rPr>
                <w:sz w:val="13"/>
                <w:szCs w:val="13"/>
              </w:rPr>
              <w:t xml:space="preserve">24 (32.0%)</w:t>
            </w:r>
          </w:p>
        </w:tc>
        <w:tc>
          <w:tcPr>
            <w:tcW w:type="dxa" w:w="1223"/>
          </w:tcPr>
          <w:p>
            <w:pPr>
              <w:pStyle w:val="Compact"/>
              <w:spacing w:before="20" w:after="20" w:line="240" w:lineRule="auto"/>
              <w:keepNext/>
            </w:pPr>
            <w:r>
              <w:rPr>
                <w:sz w:val="13"/>
                <w:szCs w:val="13"/>
              </w:rPr>
              <w:t xml:space="preserve">39 (52.0%)</w:t>
            </w:r>
          </w:p>
        </w:tc>
        <w:tc>
          <w:tcPr>
            <w:tcW w:type="dxa" w:w="1223"/>
          </w:tcPr>
          <w:p>
            <w:pPr>
              <w:pStyle w:val="Compact"/>
              <w:spacing w:before="20" w:after="20" w:line="240" w:lineRule="auto"/>
              <w:keepNext/>
            </w:pPr>
            <w:r>
              <w:rPr>
                <w:sz w:val="13"/>
                <w:szCs w:val="13"/>
              </w:rPr>
              <w:t xml:space="preserve">12 (16.0%)</w:t>
            </w:r>
          </w:p>
        </w:tc>
        <w:tc>
          <w:tcPr>
            <w:tcW w:type="dxa" w:w="1091"/>
          </w:tcPr>
          <w:p>
            <w:pPr>
              <w:pStyle w:val="Compact"/>
              <w:spacing w:before="20" w:after="20" w:line="240" w:lineRule="auto"/>
              <w:jc w:val="right"/>
              <w:keepNext/>
            </w:pPr>
            <w:r>
              <w:rPr>
                <w:sz w:val="13"/>
                <w:szCs w:val="13"/>
              </w:rPr>
              <w:t xml:space="preserve">68.0</w:t>
            </w:r>
          </w:p>
        </w:tc>
        <w:tc>
          <w:tcPr>
            <w:tcW w:type="dxa" w:w="1771"/>
          </w:tcPr>
          <w:p>
            <w:pPr>
              <w:pStyle w:val="Compact"/>
              <w:spacing w:before="20" w:after="20" w:line="240" w:lineRule="auto"/>
              <w:keepNext/>
            </w:pPr>
            <w:r>
              <w:rPr>
                <w:sz w:val="13"/>
                <w:szCs w:val="13"/>
              </w:rPr>
              <w:t xml:space="preserve">6.27 (4.23)</w:t>
            </w:r>
          </w:p>
        </w:tc>
        <w:tc>
          <w:tcPr>
            <w:tcW w:type="dxa" w:w="1125"/>
          </w:tcPr>
          <w:p>
            <w:pPr>
              <w:pStyle w:val="Compact"/>
              <w:spacing w:before="20" w:after="20" w:line="240" w:lineRule="auto"/>
              <w:jc w:val="right"/>
              <w:keepNext/>
            </w:pPr>
            <w:r>
              <w:rPr>
                <w:sz w:val="13"/>
                <w:szCs w:val="13"/>
              </w:rPr>
              <w:t xml:space="preserve">2021</w:t>
            </w:r>
          </w:p>
        </w:tc>
      </w:tr>
      <w:tr>
        <w:trPr>
          <w:cantSplit/>
        </w:trPr>
        <w:tc>
          <w:tcPr>
            <w:tcW w:type="dxa" w:w="955"/>
          </w:tcPr>
          <w:p>
            <w:pPr>
              <w:pStyle w:val="Compact"/>
              <w:spacing w:before="20" w:after="20" w:line="240" w:lineRule="auto"/>
              <w:keepNext/>
            </w:pPr>
            <w:r>
              <w:rPr>
                <w:sz w:val="13"/>
                <w:szCs w:val="13"/>
              </w:rPr>
              <w:t xml:space="preserve">한국(KR)</w:t>
            </w:r>
          </w:p>
        </w:tc>
        <w:tc>
          <w:tcPr>
            <w:tcW w:type="dxa" w:w="461"/>
          </w:tcPr>
          <w:p>
            <w:pPr>
              <w:pStyle w:val="Compact"/>
              <w:spacing w:before="20" w:after="20" w:line="240" w:lineRule="auto"/>
              <w:jc w:val="right"/>
              <w:keepNext/>
            </w:pPr>
            <w:r>
              <w:rPr>
                <w:sz w:val="13"/>
                <w:szCs w:val="13"/>
              </w:rPr>
              <w:t xml:space="preserve">58</w:t>
            </w:r>
          </w:p>
        </w:tc>
        <w:tc>
          <w:tcPr>
            <w:tcW w:type="dxa" w:w="1223"/>
          </w:tcPr>
          <w:p>
            <w:pPr>
              <w:pStyle w:val="Compact"/>
              <w:spacing w:before="20" w:after="20" w:line="240" w:lineRule="auto"/>
              <w:keepNext/>
            </w:pPr>
            <w:r>
              <w:rPr>
                <w:sz w:val="13"/>
                <w:szCs w:val="13"/>
              </w:rPr>
              <w:t xml:space="preserve">17 (29.3%)</w:t>
            </w:r>
          </w:p>
        </w:tc>
        <w:tc>
          <w:tcPr>
            <w:tcW w:type="dxa" w:w="1223"/>
          </w:tcPr>
          <w:p>
            <w:pPr>
              <w:pStyle w:val="Compact"/>
              <w:spacing w:before="20" w:after="20" w:line="240" w:lineRule="auto"/>
              <w:keepNext/>
            </w:pPr>
            <w:r>
              <w:rPr>
                <w:sz w:val="13"/>
                <w:szCs w:val="13"/>
              </w:rPr>
              <w:t xml:space="preserve">25 (43.1%)</w:t>
            </w:r>
          </w:p>
        </w:tc>
        <w:tc>
          <w:tcPr>
            <w:tcW w:type="dxa" w:w="1223"/>
          </w:tcPr>
          <w:p>
            <w:pPr>
              <w:pStyle w:val="Compact"/>
              <w:spacing w:before="20" w:after="20" w:line="240" w:lineRule="auto"/>
              <w:keepNext/>
            </w:pPr>
            <w:r>
              <w:rPr>
                <w:sz w:val="13"/>
                <w:szCs w:val="13"/>
              </w:rPr>
              <w:t xml:space="preserve">16 (27.6%)</w:t>
            </w:r>
          </w:p>
        </w:tc>
        <w:tc>
          <w:tcPr>
            <w:tcW w:type="dxa" w:w="1091"/>
          </w:tcPr>
          <w:p>
            <w:pPr>
              <w:pStyle w:val="Compact"/>
              <w:spacing w:before="20" w:after="20" w:line="240" w:lineRule="auto"/>
              <w:jc w:val="right"/>
              <w:keepNext/>
            </w:pPr>
            <w:r>
              <w:rPr>
                <w:sz w:val="13"/>
                <w:szCs w:val="13"/>
              </w:rPr>
              <w:t xml:space="preserve">70.7</w:t>
            </w:r>
          </w:p>
        </w:tc>
        <w:tc>
          <w:tcPr>
            <w:tcW w:type="dxa" w:w="1771"/>
          </w:tcPr>
          <w:p>
            <w:pPr>
              <w:pStyle w:val="Compact"/>
              <w:spacing w:before="20" w:after="20" w:line="240" w:lineRule="auto"/>
              <w:keepNext/>
            </w:pPr>
            <w:r>
              <w:rPr>
                <w:sz w:val="13"/>
                <w:szCs w:val="13"/>
              </w:rPr>
              <w:t xml:space="preserve">5.84 (4.64)</w:t>
            </w:r>
          </w:p>
        </w:tc>
        <w:tc>
          <w:tcPr>
            <w:tcW w:type="dxa" w:w="1125"/>
          </w:tcPr>
          <w:p>
            <w:pPr>
              <w:pStyle w:val="Compact"/>
              <w:spacing w:before="20" w:after="20" w:line="240" w:lineRule="auto"/>
              <w:jc w:val="right"/>
              <w:keepNext/>
            </w:pPr>
            <w:r>
              <w:rPr>
                <w:sz w:val="13"/>
                <w:szCs w:val="13"/>
              </w:rPr>
              <w:t xml:space="preserve">2018</w:t>
            </w:r>
          </w:p>
        </w:tc>
      </w:tr>
      <w:tr>
        <w:trPr>
          <w:cantSplit/>
        </w:trPr>
        <w:tc>
          <w:tcPr>
            <w:tcW w:type="dxa" w:w="955"/>
          </w:tcPr>
          <w:p>
            <w:pPr>
              <w:pStyle w:val="Compact"/>
              <w:spacing w:before="20" w:after="20" w:line="240" w:lineRule="auto"/>
              <w:keepNext/>
            </w:pPr>
            <w:r>
              <w:rPr>
                <w:sz w:val="13"/>
                <w:szCs w:val="13"/>
              </w:rPr>
              <w:t xml:space="preserve">일본(JP)</w:t>
            </w:r>
          </w:p>
        </w:tc>
        <w:tc>
          <w:tcPr>
            <w:tcW w:type="dxa" w:w="461"/>
          </w:tcPr>
          <w:p>
            <w:pPr>
              <w:pStyle w:val="Compact"/>
              <w:spacing w:before="20" w:after="20" w:line="240" w:lineRule="auto"/>
              <w:jc w:val="right"/>
              <w:keepNext/>
            </w:pPr>
            <w:r>
              <w:rPr>
                <w:sz w:val="13"/>
                <w:szCs w:val="13"/>
              </w:rPr>
              <w:t xml:space="preserve">26</w:t>
            </w:r>
          </w:p>
        </w:tc>
        <w:tc>
          <w:tcPr>
            <w:tcW w:type="dxa" w:w="1223"/>
          </w:tcPr>
          <w:p>
            <w:pPr>
              <w:pStyle w:val="Compact"/>
              <w:spacing w:before="20" w:after="20" w:line="240" w:lineRule="auto"/>
              <w:keepNext/>
            </w:pPr>
            <w:r>
              <w:rPr>
                <w:sz w:val="13"/>
                <w:szCs w:val="13"/>
              </w:rPr>
              <w:t xml:space="preserve">10 (38.5%)</w:t>
            </w:r>
          </w:p>
        </w:tc>
        <w:tc>
          <w:tcPr>
            <w:tcW w:type="dxa" w:w="1223"/>
          </w:tcPr>
          <w:p>
            <w:pPr>
              <w:pStyle w:val="Compact"/>
              <w:spacing w:before="20" w:after="20" w:line="240" w:lineRule="auto"/>
              <w:keepNext/>
            </w:pPr>
            <w:r>
              <w:rPr>
                <w:sz w:val="13"/>
                <w:szCs w:val="13"/>
              </w:rPr>
              <w:t xml:space="preserve">13 (50.0%)</w:t>
            </w:r>
          </w:p>
        </w:tc>
        <w:tc>
          <w:tcPr>
            <w:tcW w:type="dxa" w:w="1223"/>
          </w:tcPr>
          <w:p>
            <w:pPr>
              <w:pStyle w:val="Compact"/>
              <w:spacing w:before="20" w:after="20" w:line="240" w:lineRule="auto"/>
              <w:keepNext/>
            </w:pPr>
            <w:r>
              <w:rPr>
                <w:sz w:val="13"/>
                <w:szCs w:val="13"/>
              </w:rPr>
              <w:t xml:space="preserve">3 (11.5%)</w:t>
            </w:r>
          </w:p>
        </w:tc>
        <w:tc>
          <w:tcPr>
            <w:tcW w:type="dxa" w:w="1091"/>
          </w:tcPr>
          <w:p>
            <w:pPr>
              <w:pStyle w:val="Compact"/>
              <w:spacing w:before="20" w:after="20" w:line="240" w:lineRule="auto"/>
              <w:jc w:val="right"/>
              <w:keepNext/>
            </w:pPr>
            <w:r>
              <w:rPr>
                <w:sz w:val="13"/>
                <w:szCs w:val="13"/>
              </w:rPr>
              <w:t xml:space="preserve">61.5</w:t>
            </w:r>
          </w:p>
        </w:tc>
        <w:tc>
          <w:tcPr>
            <w:tcW w:type="dxa" w:w="1771"/>
          </w:tcPr>
          <w:p>
            <w:pPr>
              <w:pStyle w:val="Compact"/>
              <w:spacing w:before="20" w:after="20" w:line="240" w:lineRule="auto"/>
              <w:keepNext/>
            </w:pPr>
            <w:r>
              <w:rPr>
                <w:sz w:val="13"/>
                <w:szCs w:val="13"/>
              </w:rPr>
              <w:t xml:space="preserve">6.88 (7.00)</w:t>
            </w:r>
          </w:p>
        </w:tc>
        <w:tc>
          <w:tcPr>
            <w:tcW w:type="dxa" w:w="1125"/>
          </w:tcPr>
          <w:p>
            <w:pPr>
              <w:pStyle w:val="Compact"/>
              <w:spacing w:before="20" w:after="20" w:line="240" w:lineRule="auto"/>
              <w:jc w:val="right"/>
              <w:keepNext/>
            </w:pPr>
            <w:r>
              <w:rPr>
                <w:sz w:val="13"/>
                <w:szCs w:val="13"/>
              </w:rPr>
              <w:t xml:space="preserve">2011.5</w:t>
            </w:r>
          </w:p>
        </w:tc>
      </w:tr>
      <w:tr>
        <w:trPr>
          <w:cantSplit/>
        </w:trPr>
        <w:tc>
          <w:tcPr>
            <w:tcW w:type="dxa" w:w="955"/>
          </w:tcPr>
          <w:p>
            <w:pPr>
              <w:pStyle w:val="Compact"/>
              <w:spacing w:before="20" w:after="20" w:line="240" w:lineRule="auto"/>
              <w:keepNext/>
            </w:pPr>
            <w:r>
              <w:rPr>
                <w:sz w:val="13"/>
                <w:szCs w:val="13"/>
              </w:rPr>
              <w:t xml:space="preserve">기타</w:t>
            </w:r>
          </w:p>
        </w:tc>
        <w:tc>
          <w:tcPr>
            <w:tcW w:type="dxa" w:w="461"/>
          </w:tcPr>
          <w:p>
            <w:pPr>
              <w:pStyle w:val="Compact"/>
              <w:spacing w:before="20" w:after="20" w:line="240" w:lineRule="auto"/>
              <w:jc w:val="right"/>
              <w:keepNext/>
            </w:pPr>
            <w:r>
              <w:rPr>
                <w:sz w:val="13"/>
                <w:szCs w:val="13"/>
              </w:rPr>
              <w:t xml:space="preserve">16</w:t>
            </w:r>
          </w:p>
        </w:tc>
        <w:tc>
          <w:tcPr>
            <w:tcW w:type="dxa" w:w="1223"/>
          </w:tcPr>
          <w:p>
            <w:pPr>
              <w:pStyle w:val="Compact"/>
              <w:spacing w:before="20" w:after="20" w:line="240" w:lineRule="auto"/>
              <w:keepNext/>
            </w:pPr>
            <w:r>
              <w:rPr>
                <w:sz w:val="13"/>
                <w:szCs w:val="13"/>
              </w:rPr>
              <w:t xml:space="preserve">4 (25.0%)</w:t>
            </w:r>
          </w:p>
        </w:tc>
        <w:tc>
          <w:tcPr>
            <w:tcW w:type="dxa" w:w="1223"/>
          </w:tcPr>
          <w:p>
            <w:pPr>
              <w:pStyle w:val="Compact"/>
              <w:spacing w:before="20" w:after="20" w:line="240" w:lineRule="auto"/>
              <w:keepNext/>
            </w:pPr>
            <w:r>
              <w:rPr>
                <w:sz w:val="13"/>
                <w:szCs w:val="13"/>
              </w:rPr>
              <w:t xml:space="preserve">8 (50.0%)</w:t>
            </w:r>
          </w:p>
        </w:tc>
        <w:tc>
          <w:tcPr>
            <w:tcW w:type="dxa" w:w="1223"/>
          </w:tcPr>
          <w:p>
            <w:pPr>
              <w:pStyle w:val="Compact"/>
              <w:spacing w:before="20" w:after="20" w:line="240" w:lineRule="auto"/>
              <w:keepNext/>
            </w:pPr>
            <w:r>
              <w:rPr>
                <w:sz w:val="13"/>
                <w:szCs w:val="13"/>
              </w:rPr>
              <w:t xml:space="preserve">4 (25.0%)</w:t>
            </w:r>
          </w:p>
        </w:tc>
        <w:tc>
          <w:tcPr>
            <w:tcW w:type="dxa" w:w="1091"/>
          </w:tcPr>
          <w:p>
            <w:pPr>
              <w:pStyle w:val="Compact"/>
              <w:spacing w:before="20" w:after="20" w:line="240" w:lineRule="auto"/>
              <w:jc w:val="right"/>
              <w:keepNext/>
            </w:pPr>
            <w:r>
              <w:rPr>
                <w:sz w:val="13"/>
                <w:szCs w:val="13"/>
              </w:rPr>
              <w:t xml:space="preserve">75.0</w:t>
            </w:r>
          </w:p>
        </w:tc>
        <w:tc>
          <w:tcPr>
            <w:tcW w:type="dxa" w:w="1771"/>
          </w:tcPr>
          <w:p>
            <w:pPr>
              <w:pStyle w:val="Compact"/>
              <w:spacing w:before="20" w:after="20" w:line="240" w:lineRule="auto"/>
              <w:keepNext/>
            </w:pPr>
            <w:r>
              <w:rPr>
                <w:sz w:val="13"/>
                <w:szCs w:val="13"/>
              </w:rPr>
              <w:t xml:space="preserve">5.81 (6.23)</w:t>
            </w:r>
          </w:p>
        </w:tc>
        <w:tc>
          <w:tcPr>
            <w:tcW w:type="dxa" w:w="1125"/>
          </w:tcPr>
          <w:p>
            <w:pPr>
              <w:pStyle w:val="Compact"/>
              <w:spacing w:before="20" w:after="20" w:line="240" w:lineRule="auto"/>
              <w:jc w:val="right"/>
              <w:keepNext/>
            </w:pPr>
            <w:r>
              <w:rPr>
                <w:sz w:val="13"/>
                <w:szCs w:val="13"/>
              </w:rPr>
              <w:t xml:space="preserve">2015.5</w:t>
            </w:r>
          </w:p>
        </w:tc>
      </w:tr>
      <w:tr>
        <w:trPr>
          <w:cantSplit/>
        </w:trPr>
        <w:tc>
          <w:tcPr>
            <w:tcW w:type="dxa" w:w="955"/>
          </w:tcPr>
          <w:p>
            <w:pPr>
              <w:pStyle w:val="Compact"/>
              <w:spacing w:before="20" w:after="20" w:line="240" w:lineRule="auto"/>
              <w:keepNext/>
            </w:pPr>
            <w:r>
              <w:rPr>
                <w:sz w:val="13"/>
                <w:szCs w:val="13"/>
              </w:rPr>
              <w:t xml:space="preserve">전체</w:t>
            </w:r>
          </w:p>
        </w:tc>
        <w:tc>
          <w:tcPr>
            <w:tcW w:type="dxa" w:w="461"/>
          </w:tcPr>
          <w:p>
            <w:pPr>
              <w:pStyle w:val="Compact"/>
              <w:spacing w:before="20" w:after="20" w:line="240" w:lineRule="auto"/>
              <w:jc w:val="right"/>
              <w:keepNext/>
            </w:pPr>
            <w:r>
              <w:rPr>
                <w:sz w:val="13"/>
                <w:szCs w:val="13"/>
              </w:rPr>
              <w:t xml:space="preserve">928</w:t>
            </w:r>
          </w:p>
        </w:tc>
        <w:tc>
          <w:tcPr>
            <w:tcW w:type="dxa" w:w="1223"/>
          </w:tcPr>
          <w:p>
            <w:pPr>
              <w:pStyle w:val="Compact"/>
              <w:spacing w:before="20" w:after="20" w:line="240" w:lineRule="auto"/>
              <w:keepNext/>
            </w:pPr>
            <w:r>
              <w:rPr>
                <w:sz w:val="13"/>
                <w:szCs w:val="13"/>
              </w:rPr>
              <w:t xml:space="preserve">338 (36.4%)</w:t>
            </w:r>
          </w:p>
        </w:tc>
        <w:tc>
          <w:tcPr>
            <w:tcW w:type="dxa" w:w="1223"/>
          </w:tcPr>
          <w:p>
            <w:pPr>
              <w:pStyle w:val="Compact"/>
              <w:spacing w:before="20" w:after="20" w:line="240" w:lineRule="auto"/>
              <w:keepNext/>
            </w:pPr>
            <w:r>
              <w:rPr>
                <w:sz w:val="13"/>
                <w:szCs w:val="13"/>
              </w:rPr>
              <w:t xml:space="preserve">425 (45.8%)</w:t>
            </w:r>
          </w:p>
        </w:tc>
        <w:tc>
          <w:tcPr>
            <w:tcW w:type="dxa" w:w="1223"/>
          </w:tcPr>
          <w:p>
            <w:pPr>
              <w:pStyle w:val="Compact"/>
              <w:spacing w:before="20" w:after="20" w:line="240" w:lineRule="auto"/>
              <w:keepNext/>
            </w:pPr>
            <w:r>
              <w:rPr>
                <w:sz w:val="13"/>
                <w:szCs w:val="13"/>
              </w:rPr>
              <w:t xml:space="preserve">165 (17.8%)</w:t>
            </w:r>
          </w:p>
        </w:tc>
        <w:tc>
          <w:tcPr>
            <w:tcW w:type="dxa" w:w="1091"/>
          </w:tcPr>
          <w:p>
            <w:pPr>
              <w:pStyle w:val="Compact"/>
              <w:spacing w:before="20" w:after="20" w:line="240" w:lineRule="auto"/>
              <w:jc w:val="right"/>
              <w:keepNext/>
            </w:pPr>
            <w:r>
              <w:rPr>
                <w:sz w:val="13"/>
                <w:szCs w:val="13"/>
              </w:rPr>
              <w:t xml:space="preserve">63.6</w:t>
            </w:r>
          </w:p>
        </w:tc>
        <w:tc>
          <w:tcPr>
            <w:tcW w:type="dxa" w:w="1771"/>
          </w:tcPr>
          <w:p>
            <w:pPr>
              <w:pStyle w:val="Compact"/>
              <w:spacing w:before="20" w:after="20" w:line="240" w:lineRule="auto"/>
              <w:keepNext/>
            </w:pPr>
            <w:r>
              <w:rPr>
                <w:sz w:val="13"/>
                <w:szCs w:val="13"/>
              </w:rPr>
              <w:t xml:space="preserve">5.69 (4.07)</w:t>
            </w:r>
          </w:p>
        </w:tc>
        <w:tc>
          <w:tcPr>
            <w:tcW w:type="dxa" w:w="1125"/>
          </w:tcPr>
          <w:p>
            <w:pPr>
              <w:pStyle w:val="Compact"/>
              <w:spacing w:before="20" w:after="20" w:line="240" w:lineRule="auto"/>
              <w:jc w:val="right"/>
              <w:keepNext/>
            </w:pPr>
            <w:r>
              <w:rPr>
                <w:sz w:val="13"/>
                <w:szCs w:val="13"/>
              </w:rPr>
              <w:t xml:space="preserve">2021</w:t>
            </w:r>
          </w:p>
        </w:tc>
      </w:tr>
    </w:tbl>
    <w:p>
      <w:pPr>
        <w:pStyle w:val="BodyText"/>
      </w:pPr>
      <w:r>
        <w:t xml:space="preserve">미국, 중국 등은 국가 특허청이고 WO와 EP는 국제·지역 출원 경로이므로, 출원청 변수 전체는 출원청과 출원 경로의 구분이며 관할권 비교는 국가 특허청 사이, 특히 미국과 중국의 비교에 한정한다. 출원청 계수는 출원청 자체의 인과효과를 식별하지 않는다. 출원인, 기업 유형, 공식 패밀리 정보를 통제하지 못하므로, 이 계수는 해당 출원청에 제출된 발명 포트폴리오의 조건부 구성 차이로 해석한다.</w:t>
      </w:r>
    </w:p>
    <w:bookmarkEnd w:id="26"/>
    <w:bookmarkStart w:id="27" w:name="분석-방법"/>
    <w:p>
      <w:pPr>
        <w:pStyle w:val="Heading3"/>
      </w:pPr>
      <w:r>
        <w:t xml:space="preserve">4.4 분석 방법</w:t>
      </w:r>
    </w:p>
    <w:p>
      <w:pPr>
        <w:pStyle w:val="FirstParagraph"/>
      </w:pPr>
      <w:r>
        <w:t xml:space="preserve">종속변수의 성격에 맞추어 세 가지 모형을 쓴다. 첫째, 기술범위는 카운트 변수이므로 음이항 회귀로 추정한다. 표본의 분산이 평균보다 훨씬 커서(과산포 모수 α = 0.268, 표준오차 0.020) Poisson 대신 음이항을 쓰며, 계수의 지수인 발생률비(IRR)로 해석한다(Cameron and Trivedi, 2013). 선형 회귀와 Poisson 추정치는 부록 A에 실었고, 부호와 유의성은 같다. 둘째, 제조공정 분류 여부는 이항 로짓으로 추정하고 승산비(OR)로 보고한다. 셋째, 세 공동분류 유형은 조립 단독형을 기준으로 하는 다항 로짓(McFadden, 1974)으로 추정하고 상대위험비(RRR)로 보고한다. 다항 로짓이 H1, H2, H3b의 본 검정이며, H3a는 음이항으로 검정한다. 기준 모형은 이용 가능한 전체 출원을 쓴다는 원칙에 따라 2024년까지 포함하되, 2023–2024년 출원은 공개와 분류가 완결되지 않았을 수 있으므로 이 두 해를 제외한 결과를 가설 판정에 함께 반영한다. 모든 모형의 설명변수는 출원연도와 출원청 더미이고, 로짓 모형에는 기술범위가 추가된다. 비율 척도의 계수만으로는 크기를 가늠하기 어려우므로, 다항 로짓에 대해서는 기술범위, 출원연도, 출원청을 바꾸었을 때의 유형별 예측확률도 함께 제시한다. 다항 로짓은 무관 대안의 독립성(IIA)을 가정하므로 한 대안을 제외한 표본으로 결과가 달라지는지 확인하고(부록 B), 같은 제목의 출원이 독립이 아닐 가능성에 대해서는 동일 제목 군집 표준오차로 유의성을 다시 확인한다. 가설 판정에는 5% 유의수준을 쓴다. 표본과 변수 정의에 따라 결과가 달라지는지는 제5.4절에서 확인한다.</w:t>
      </w:r>
    </w:p>
    <w:bookmarkEnd w:id="27"/>
    <w:bookmarkEnd w:id="28"/>
    <w:bookmarkStart w:id="46" w:name="결과"/>
    <w:p>
      <w:pPr>
        <w:pStyle w:val="Heading2"/>
      </w:pPr>
      <w:r>
        <w:t xml:space="preserve">5. 결과</w:t>
      </w:r>
    </w:p>
    <w:bookmarkStart w:id="32" w:name="기술범위"/>
    <w:p>
      <w:pPr>
        <w:pStyle w:val="Heading3"/>
      </w:pPr>
      <w:r>
        <w:t xml:space="preserve">5.1 기술범위</w:t>
      </w:r>
    </w:p>
    <w:p>
      <w:pPr>
        <w:pStyle w:val="FirstParagraph"/>
      </w:pPr>
      <w:r>
        <w:t xml:space="preserve">표 5는 기술범위의 음이항 추정 결과다. 두 가지가 눈에 띈다. 첫째, 미국 출원청 기준으로 중국 출원청 출원은 기술범위가 약 21% 좁고(IRR 0.785, p &lt; 0.01), PCT 경로 출원은 약 17% 좁다(IRR 0.826, p &lt; 0.01). 한국, 대만, EPO는 미국과 다르지 않다. 일본 출원청 출원은 표본에서 가장 넓지만 10% 수준에서만 유의하다(IRR 1.270, p = 0.07). 그림 3은 모형이 예측하는 출원청별 기술범위다. 중국 출원청 출원의 범위가 좁다는 결과는 H3a를 지지한다. 둘째, 출원연도의 IRR은 1.015로 범위가 해마다 약 1.5%씩 넓어지는 것으로 나오지만, 이 추세는 2010년 이전의 드문 초기 출원에 좌우된다. 2010년 이후 표본만 보면 부호가 반대로 바뀌어(IRR 0.970, p &lt; 0.01) 최근 출원일수록 범위가 오히려 좁다(부록 B). 따라서 범위의 시간 추세에 대해서는 결론을 내리지 않는다.</w:t>
      </w:r>
    </w:p>
    <w:p>
      <w:pPr>
        <w:pStyle w:val="BodyText"/>
        <w:keepNext/>
      </w:pPr>
      <w:r>
        <w:rPr>
          <w:b/>
          <w:bCs/>
        </w:rPr>
        <w:t xml:space="preserve">표 5.</w:t>
      </w:r>
      <w:r>
        <w:t xml:space="preserve"> </w:t>
      </w:r>
      <w:r>
        <w:t xml:space="preserve">기술범위의 관련 요인: 음이항 회귀(N = 928; 출원청 기준 = 미국; 과산포 모수 α = 0.268(표준오차 0.020); 로그우도 −2,431.5; AIC 4,883.0; 괄호 안은 로그 계수의 표준오차; * p &lt; 0.10, ** p &lt; 0.05, *** p &lt; 0.01).</w:t>
      </w:r>
    </w:p>
    <w:tbl>
      <w:tblPr>
        <w:tblStyle w:val="Table"/>
        <w:tblW w:type="dxa" w:w="9068"/>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3079"/>
        <w:gridCol w:w="1679"/>
        <w:gridCol w:w="2771"/>
        <w:gridCol w:w="1539"/>
      </w:tblGrid>
      <w:tr>
        <w:trPr>
          <w:tblHeader w:val="on"/>
          <w:cantSplit/>
        </w:trPr>
        <w:tc>
          <w:tcPr>
            <w:tcW w:type="dxa" w:w="3079"/>
            <w:tcBorders>
              <w:bottom w:val="single" w:sz="4" w:space="0" w:color="000000"/>
            </w:tcBorders>
          </w:tcPr>
          <w:p>
            <w:pPr>
              <w:pStyle w:val="Compact"/>
              <w:spacing w:before="20" w:after="20" w:line="240" w:lineRule="auto"/>
              <w:keepNext/>
            </w:pPr>
          </w:p>
        </w:tc>
        <w:tc>
          <w:tcPr>
            <w:tcW w:type="dxa" w:w="1679"/>
            <w:tcBorders>
              <w:bottom w:val="single" w:sz="4" w:space="0" w:color="000000"/>
            </w:tcBorders>
          </w:tcPr>
          <w:p>
            <w:pPr>
              <w:pStyle w:val="Compact"/>
              <w:spacing w:before="20" w:after="20" w:line="240" w:lineRule="auto"/>
              <w:jc w:val="center"/>
              <w:keepNext/>
            </w:pPr>
            <w:r>
              <w:rPr>
                <w:sz w:val="18"/>
                <w:szCs w:val="18"/>
              </w:rPr>
              <w:t xml:space="preserve">IRR</w:t>
            </w:r>
          </w:p>
        </w:tc>
        <w:tc>
          <w:tcPr>
            <w:tcW w:type="dxa" w:w="2771"/>
            <w:tcBorders>
              <w:bottom w:val="single" w:sz="4" w:space="0" w:color="000000"/>
            </w:tcBorders>
          </w:tcPr>
          <w:p>
            <w:pPr>
              <w:pStyle w:val="Compact"/>
              <w:spacing w:before="20" w:after="20" w:line="240" w:lineRule="auto"/>
              <w:jc w:val="center"/>
              <w:keepNext/>
            </w:pPr>
            <w:r>
              <w:rPr>
                <w:sz w:val="18"/>
                <w:szCs w:val="18"/>
              </w:rPr>
              <w:t xml:space="preserve">로그 계수 표준오차</w:t>
            </w:r>
          </w:p>
        </w:tc>
        <w:tc>
          <w:tcPr>
            <w:tcW w:type="dxa" w:w="1539"/>
            <w:tcBorders>
              <w:bottom w:val="single" w:sz="4" w:space="0" w:color="000000"/>
            </w:tcBorders>
          </w:tcPr>
          <w:p>
            <w:pPr>
              <w:pStyle w:val="Compact"/>
              <w:spacing w:before="20" w:after="20" w:line="240" w:lineRule="auto"/>
              <w:jc w:val="center"/>
              <w:keepNext/>
            </w:pPr>
            <w:r>
              <w:rPr>
                <w:sz w:val="18"/>
                <w:szCs w:val="18"/>
              </w:rPr>
              <w:t xml:space="preserve">p</w:t>
            </w:r>
          </w:p>
        </w:tc>
      </w:tr>
      <w:tr>
        <w:trPr>
          <w:cantSplit/>
        </w:trPr>
        <w:tc>
          <w:tcPr>
            <w:tcW w:type="dxa" w:w="3079"/>
          </w:tcPr>
          <w:p>
            <w:pPr>
              <w:pStyle w:val="Compact"/>
              <w:spacing w:before="20" w:after="20" w:line="240" w:lineRule="auto"/>
              <w:keepNext/>
            </w:pPr>
            <w:r>
              <w:rPr>
                <w:sz w:val="18"/>
                <w:szCs w:val="18"/>
              </w:rPr>
              <w:t xml:space="preserve">출원연도(yc)</w:t>
            </w:r>
          </w:p>
        </w:tc>
        <w:tc>
          <w:tcPr>
            <w:tcW w:type="dxa" w:w="1679"/>
          </w:tcPr>
          <w:p>
            <w:pPr>
              <w:pStyle w:val="Compact"/>
              <w:spacing w:before="20" w:after="20" w:line="240" w:lineRule="auto"/>
              <w:jc w:val="center"/>
              <w:keepNext/>
            </w:pPr>
            <w:r>
              <w:rPr>
                <w:sz w:val="18"/>
                <w:szCs w:val="18"/>
              </w:rPr>
              <w:t xml:space="preserve">1.015***</w:t>
            </w:r>
          </w:p>
        </w:tc>
        <w:tc>
          <w:tcPr>
            <w:tcW w:type="dxa" w:w="2771"/>
          </w:tcPr>
          <w:p>
            <w:pPr>
              <w:pStyle w:val="Compact"/>
              <w:spacing w:before="20" w:after="20" w:line="240" w:lineRule="auto"/>
              <w:jc w:val="center"/>
              <w:keepNext/>
            </w:pPr>
            <w:r>
              <w:rPr>
                <w:sz w:val="18"/>
                <w:szCs w:val="18"/>
              </w:rPr>
              <w:t xml:space="preserve">(0.003)</w:t>
            </w:r>
          </w:p>
        </w:tc>
        <w:tc>
          <w:tcPr>
            <w:tcW w:type="dxa" w:w="1539"/>
          </w:tcPr>
          <w:p>
            <w:pPr>
              <w:pStyle w:val="Compact"/>
              <w:spacing w:before="20" w:after="20" w:line="240" w:lineRule="auto"/>
              <w:jc w:val="center"/>
              <w:keepNext/>
            </w:pPr>
            <w:r>
              <w:rPr>
                <w:sz w:val="18"/>
                <w:szCs w:val="18"/>
              </w:rPr>
              <w:t xml:space="preserve">&lt;0.001</w:t>
            </w:r>
          </w:p>
        </w:tc>
      </w:tr>
      <w:tr>
        <w:trPr>
          <w:cantSplit/>
        </w:trPr>
        <w:tc>
          <w:tcPr>
            <w:tcW w:type="dxa" w:w="3079"/>
          </w:tcPr>
          <w:p>
            <w:pPr>
              <w:pStyle w:val="Compact"/>
              <w:spacing w:before="20" w:after="20" w:line="240" w:lineRule="auto"/>
              <w:keepNext/>
            </w:pPr>
            <w:r>
              <w:rPr>
                <w:sz w:val="18"/>
                <w:szCs w:val="18"/>
              </w:rPr>
              <w:t xml:space="preserve">중국(CN)</w:t>
            </w:r>
          </w:p>
        </w:tc>
        <w:tc>
          <w:tcPr>
            <w:tcW w:type="dxa" w:w="1679"/>
          </w:tcPr>
          <w:p>
            <w:pPr>
              <w:pStyle w:val="Compact"/>
              <w:spacing w:before="20" w:after="20" w:line="240" w:lineRule="auto"/>
              <w:jc w:val="center"/>
              <w:keepNext/>
            </w:pPr>
            <w:r>
              <w:rPr>
                <w:sz w:val="18"/>
                <w:szCs w:val="18"/>
              </w:rPr>
              <w:t xml:space="preserve">0.785***</w:t>
            </w:r>
          </w:p>
        </w:tc>
        <w:tc>
          <w:tcPr>
            <w:tcW w:type="dxa" w:w="2771"/>
          </w:tcPr>
          <w:p>
            <w:pPr>
              <w:pStyle w:val="Compact"/>
              <w:spacing w:before="20" w:after="20" w:line="240" w:lineRule="auto"/>
              <w:jc w:val="center"/>
              <w:keepNext/>
            </w:pPr>
            <w:r>
              <w:rPr>
                <w:sz w:val="18"/>
                <w:szCs w:val="18"/>
              </w:rPr>
              <w:t xml:space="preserve">(0.062)</w:t>
            </w:r>
          </w:p>
        </w:tc>
        <w:tc>
          <w:tcPr>
            <w:tcW w:type="dxa" w:w="1539"/>
          </w:tcPr>
          <w:p>
            <w:pPr>
              <w:pStyle w:val="Compact"/>
              <w:spacing w:before="20" w:after="20" w:line="240" w:lineRule="auto"/>
              <w:jc w:val="center"/>
              <w:keepNext/>
            </w:pPr>
            <w:r>
              <w:rPr>
                <w:sz w:val="18"/>
                <w:szCs w:val="18"/>
              </w:rPr>
              <w:t xml:space="preserve">&lt;0.001</w:t>
            </w:r>
          </w:p>
        </w:tc>
      </w:tr>
      <w:tr>
        <w:trPr>
          <w:cantSplit/>
        </w:trPr>
        <w:tc>
          <w:tcPr>
            <w:tcW w:type="dxa" w:w="3079"/>
          </w:tcPr>
          <w:p>
            <w:pPr>
              <w:pStyle w:val="Compact"/>
              <w:spacing w:before="20" w:after="20" w:line="240" w:lineRule="auto"/>
              <w:keepNext/>
            </w:pPr>
            <w:r>
              <w:rPr>
                <w:sz w:val="18"/>
                <w:szCs w:val="18"/>
              </w:rPr>
              <w:t xml:space="preserve">한국(KR)</w:t>
            </w:r>
          </w:p>
        </w:tc>
        <w:tc>
          <w:tcPr>
            <w:tcW w:type="dxa" w:w="1679"/>
          </w:tcPr>
          <w:p>
            <w:pPr>
              <w:pStyle w:val="Compact"/>
              <w:spacing w:before="20" w:after="20" w:line="240" w:lineRule="auto"/>
              <w:jc w:val="center"/>
              <w:keepNext/>
            </w:pPr>
            <w:r>
              <w:rPr>
                <w:sz w:val="18"/>
                <w:szCs w:val="18"/>
              </w:rPr>
              <w:t xml:space="preserve">1.018</w:t>
            </w:r>
          </w:p>
        </w:tc>
        <w:tc>
          <w:tcPr>
            <w:tcW w:type="dxa" w:w="2771"/>
          </w:tcPr>
          <w:p>
            <w:pPr>
              <w:pStyle w:val="Compact"/>
              <w:spacing w:before="20" w:after="20" w:line="240" w:lineRule="auto"/>
              <w:jc w:val="center"/>
              <w:keepNext/>
            </w:pPr>
            <w:r>
              <w:rPr>
                <w:sz w:val="18"/>
                <w:szCs w:val="18"/>
              </w:rPr>
              <w:t xml:space="preserve">(0.094)</w:t>
            </w:r>
          </w:p>
        </w:tc>
        <w:tc>
          <w:tcPr>
            <w:tcW w:type="dxa" w:w="1539"/>
          </w:tcPr>
          <w:p>
            <w:pPr>
              <w:pStyle w:val="Compact"/>
              <w:spacing w:before="20" w:after="20" w:line="240" w:lineRule="auto"/>
              <w:jc w:val="center"/>
              <w:keepNext/>
            </w:pPr>
            <w:r>
              <w:rPr>
                <w:sz w:val="18"/>
                <w:szCs w:val="18"/>
              </w:rPr>
              <w:t xml:space="preserve">0.853</w:t>
            </w:r>
          </w:p>
        </w:tc>
      </w:tr>
      <w:tr>
        <w:trPr>
          <w:cantSplit/>
        </w:trPr>
        <w:tc>
          <w:tcPr>
            <w:tcW w:type="dxa" w:w="3079"/>
          </w:tcPr>
          <w:p>
            <w:pPr>
              <w:pStyle w:val="Compact"/>
              <w:spacing w:before="20" w:after="20" w:line="240" w:lineRule="auto"/>
              <w:keepNext/>
            </w:pPr>
            <w:r>
              <w:rPr>
                <w:sz w:val="18"/>
                <w:szCs w:val="18"/>
              </w:rPr>
              <w:t xml:space="preserve">대만(TW)</w:t>
            </w:r>
          </w:p>
        </w:tc>
        <w:tc>
          <w:tcPr>
            <w:tcW w:type="dxa" w:w="1679"/>
          </w:tcPr>
          <w:p>
            <w:pPr>
              <w:pStyle w:val="Compact"/>
              <w:spacing w:before="20" w:after="20" w:line="240" w:lineRule="auto"/>
              <w:jc w:val="center"/>
              <w:keepNext/>
            </w:pPr>
            <w:r>
              <w:rPr>
                <w:sz w:val="18"/>
                <w:szCs w:val="18"/>
              </w:rPr>
              <w:t xml:space="preserve">1.021</w:t>
            </w:r>
          </w:p>
        </w:tc>
        <w:tc>
          <w:tcPr>
            <w:tcW w:type="dxa" w:w="2771"/>
          </w:tcPr>
          <w:p>
            <w:pPr>
              <w:pStyle w:val="Compact"/>
              <w:spacing w:before="20" w:after="20" w:line="240" w:lineRule="auto"/>
              <w:jc w:val="center"/>
              <w:keepNext/>
            </w:pPr>
            <w:r>
              <w:rPr>
                <w:sz w:val="18"/>
                <w:szCs w:val="18"/>
              </w:rPr>
              <w:t xml:space="preserve">(0.083)</w:t>
            </w:r>
          </w:p>
        </w:tc>
        <w:tc>
          <w:tcPr>
            <w:tcW w:type="dxa" w:w="1539"/>
          </w:tcPr>
          <w:p>
            <w:pPr>
              <w:pStyle w:val="Compact"/>
              <w:spacing w:before="20" w:after="20" w:line="240" w:lineRule="auto"/>
              <w:jc w:val="center"/>
              <w:keepNext/>
            </w:pPr>
            <w:r>
              <w:rPr>
                <w:sz w:val="18"/>
                <w:szCs w:val="18"/>
              </w:rPr>
              <w:t xml:space="preserve">0.801</w:t>
            </w:r>
          </w:p>
        </w:tc>
      </w:tr>
      <w:tr>
        <w:trPr>
          <w:cantSplit/>
        </w:trPr>
        <w:tc>
          <w:tcPr>
            <w:tcW w:type="dxa" w:w="3079"/>
          </w:tcPr>
          <w:p>
            <w:pPr>
              <w:pStyle w:val="Compact"/>
              <w:spacing w:before="20" w:after="20" w:line="240" w:lineRule="auto"/>
              <w:keepNext/>
            </w:pPr>
            <w:r>
              <w:rPr>
                <w:sz w:val="18"/>
                <w:szCs w:val="18"/>
              </w:rPr>
              <w:t xml:space="preserve">일본(JP)</w:t>
            </w:r>
          </w:p>
        </w:tc>
        <w:tc>
          <w:tcPr>
            <w:tcW w:type="dxa" w:w="1679"/>
          </w:tcPr>
          <w:p>
            <w:pPr>
              <w:pStyle w:val="Compact"/>
              <w:spacing w:before="20" w:after="20" w:line="240" w:lineRule="auto"/>
              <w:jc w:val="center"/>
              <w:keepNext/>
            </w:pPr>
            <w:r>
              <w:rPr>
                <w:sz w:val="18"/>
                <w:szCs w:val="18"/>
              </w:rPr>
              <w:t xml:space="preserve">1.270*</w:t>
            </w:r>
          </w:p>
        </w:tc>
        <w:tc>
          <w:tcPr>
            <w:tcW w:type="dxa" w:w="2771"/>
          </w:tcPr>
          <w:p>
            <w:pPr>
              <w:pStyle w:val="Compact"/>
              <w:spacing w:before="20" w:after="20" w:line="240" w:lineRule="auto"/>
              <w:jc w:val="center"/>
              <w:keepNext/>
            </w:pPr>
            <w:r>
              <w:rPr>
                <w:sz w:val="18"/>
                <w:szCs w:val="18"/>
              </w:rPr>
              <w:t xml:space="preserve">(0.133)</w:t>
            </w:r>
          </w:p>
        </w:tc>
        <w:tc>
          <w:tcPr>
            <w:tcW w:type="dxa" w:w="1539"/>
          </w:tcPr>
          <w:p>
            <w:pPr>
              <w:pStyle w:val="Compact"/>
              <w:spacing w:before="20" w:after="20" w:line="240" w:lineRule="auto"/>
              <w:jc w:val="center"/>
              <w:keepNext/>
            </w:pPr>
            <w:r>
              <w:rPr>
                <w:sz w:val="18"/>
                <w:szCs w:val="18"/>
              </w:rPr>
              <w:t xml:space="preserve">0.073</w:t>
            </w:r>
          </w:p>
        </w:tc>
      </w:tr>
      <w:tr>
        <w:trPr>
          <w:cantSplit/>
        </w:trPr>
        <w:tc>
          <w:tcPr>
            <w:tcW w:type="dxa" w:w="3079"/>
          </w:tcPr>
          <w:p>
            <w:pPr>
              <w:pStyle w:val="Compact"/>
              <w:spacing w:before="20" w:after="20" w:line="240" w:lineRule="auto"/>
              <w:keepNext/>
            </w:pPr>
            <w:r>
              <w:rPr>
                <w:sz w:val="18"/>
                <w:szCs w:val="18"/>
              </w:rPr>
              <w:t xml:space="preserve">EPO(EP)</w:t>
            </w:r>
          </w:p>
        </w:tc>
        <w:tc>
          <w:tcPr>
            <w:tcW w:type="dxa" w:w="1679"/>
          </w:tcPr>
          <w:p>
            <w:pPr>
              <w:pStyle w:val="Compact"/>
              <w:spacing w:before="20" w:after="20" w:line="240" w:lineRule="auto"/>
              <w:jc w:val="center"/>
              <w:keepNext/>
            </w:pPr>
            <w:r>
              <w:rPr>
                <w:sz w:val="18"/>
                <w:szCs w:val="18"/>
              </w:rPr>
              <w:t xml:space="preserve">0.993</w:t>
            </w:r>
          </w:p>
        </w:tc>
        <w:tc>
          <w:tcPr>
            <w:tcW w:type="dxa" w:w="2771"/>
          </w:tcPr>
          <w:p>
            <w:pPr>
              <w:pStyle w:val="Compact"/>
              <w:spacing w:before="20" w:after="20" w:line="240" w:lineRule="auto"/>
              <w:jc w:val="center"/>
              <w:keepNext/>
            </w:pPr>
            <w:r>
              <w:rPr>
                <w:sz w:val="18"/>
                <w:szCs w:val="18"/>
              </w:rPr>
              <w:t xml:space="preserve">(0.080)</w:t>
            </w:r>
          </w:p>
        </w:tc>
        <w:tc>
          <w:tcPr>
            <w:tcW w:type="dxa" w:w="1539"/>
          </w:tcPr>
          <w:p>
            <w:pPr>
              <w:pStyle w:val="Compact"/>
              <w:spacing w:before="20" w:after="20" w:line="240" w:lineRule="auto"/>
              <w:jc w:val="center"/>
              <w:keepNext/>
            </w:pPr>
            <w:r>
              <w:rPr>
                <w:sz w:val="18"/>
                <w:szCs w:val="18"/>
              </w:rPr>
              <w:t xml:space="preserve">0.933</w:t>
            </w:r>
          </w:p>
        </w:tc>
      </w:tr>
      <w:tr>
        <w:trPr>
          <w:cantSplit/>
        </w:trPr>
        <w:tc>
          <w:tcPr>
            <w:tcW w:type="dxa" w:w="3079"/>
          </w:tcPr>
          <w:p>
            <w:pPr>
              <w:pStyle w:val="Compact"/>
              <w:spacing w:before="20" w:after="20" w:line="240" w:lineRule="auto"/>
              <w:keepNext/>
            </w:pPr>
            <w:r>
              <w:rPr>
                <w:sz w:val="18"/>
                <w:szCs w:val="18"/>
              </w:rPr>
              <w:t xml:space="preserve">PCT(WO)</w:t>
            </w:r>
          </w:p>
        </w:tc>
        <w:tc>
          <w:tcPr>
            <w:tcW w:type="dxa" w:w="1679"/>
          </w:tcPr>
          <w:p>
            <w:pPr>
              <w:pStyle w:val="Compact"/>
              <w:spacing w:before="20" w:after="20" w:line="240" w:lineRule="auto"/>
              <w:jc w:val="center"/>
              <w:keepNext/>
            </w:pPr>
            <w:r>
              <w:rPr>
                <w:sz w:val="18"/>
                <w:szCs w:val="18"/>
              </w:rPr>
              <w:t xml:space="preserve">0.826***</w:t>
            </w:r>
          </w:p>
        </w:tc>
        <w:tc>
          <w:tcPr>
            <w:tcW w:type="dxa" w:w="2771"/>
          </w:tcPr>
          <w:p>
            <w:pPr>
              <w:pStyle w:val="Compact"/>
              <w:spacing w:before="20" w:after="20" w:line="240" w:lineRule="auto"/>
              <w:jc w:val="center"/>
              <w:keepNext/>
            </w:pPr>
            <w:r>
              <w:rPr>
                <w:sz w:val="18"/>
                <w:szCs w:val="18"/>
              </w:rPr>
              <w:t xml:space="preserve">(0.073)</w:t>
            </w:r>
          </w:p>
        </w:tc>
        <w:tc>
          <w:tcPr>
            <w:tcW w:type="dxa" w:w="1539"/>
          </w:tcPr>
          <w:p>
            <w:pPr>
              <w:pStyle w:val="Compact"/>
              <w:spacing w:before="20" w:after="20" w:line="240" w:lineRule="auto"/>
              <w:jc w:val="center"/>
              <w:keepNext/>
            </w:pPr>
            <w:r>
              <w:rPr>
                <w:sz w:val="18"/>
                <w:szCs w:val="18"/>
              </w:rPr>
              <w:t xml:space="preserve">0.009</w:t>
            </w:r>
          </w:p>
        </w:tc>
      </w:tr>
      <w:tr>
        <w:trPr>
          <w:cantSplit/>
        </w:trPr>
        <w:tc>
          <w:tcPr>
            <w:tcW w:type="dxa" w:w="3079"/>
          </w:tcPr>
          <w:p>
            <w:pPr>
              <w:pStyle w:val="Compact"/>
              <w:spacing w:before="20" w:after="20" w:line="240" w:lineRule="auto"/>
              <w:keepNext/>
            </w:pPr>
            <w:r>
              <w:rPr>
                <w:sz w:val="18"/>
                <w:szCs w:val="18"/>
              </w:rPr>
              <w:t xml:space="preserve">기타</w:t>
            </w:r>
          </w:p>
        </w:tc>
        <w:tc>
          <w:tcPr>
            <w:tcW w:type="dxa" w:w="1679"/>
          </w:tcPr>
          <w:p>
            <w:pPr>
              <w:pStyle w:val="Compact"/>
              <w:spacing w:before="20" w:after="20" w:line="240" w:lineRule="auto"/>
              <w:jc w:val="center"/>
              <w:keepNext/>
            </w:pPr>
            <w:r>
              <w:rPr>
                <w:sz w:val="18"/>
                <w:szCs w:val="18"/>
              </w:rPr>
              <w:t xml:space="preserve">1.057</w:t>
            </w:r>
          </w:p>
        </w:tc>
        <w:tc>
          <w:tcPr>
            <w:tcW w:type="dxa" w:w="2771"/>
          </w:tcPr>
          <w:p>
            <w:pPr>
              <w:pStyle w:val="Compact"/>
              <w:spacing w:before="20" w:after="20" w:line="240" w:lineRule="auto"/>
              <w:jc w:val="center"/>
              <w:keepNext/>
            </w:pPr>
            <w:r>
              <w:rPr>
                <w:sz w:val="18"/>
                <w:szCs w:val="18"/>
              </w:rPr>
              <w:t xml:space="preserve">(0.171)</w:t>
            </w:r>
          </w:p>
        </w:tc>
        <w:tc>
          <w:tcPr>
            <w:tcW w:type="dxa" w:w="1539"/>
          </w:tcPr>
          <w:p>
            <w:pPr>
              <w:pStyle w:val="Compact"/>
              <w:spacing w:before="20" w:after="20" w:line="240" w:lineRule="auto"/>
              <w:jc w:val="center"/>
              <w:keepNext/>
            </w:pPr>
            <w:r>
              <w:rPr>
                <w:sz w:val="18"/>
                <w:szCs w:val="18"/>
              </w:rPr>
              <w:t xml:space="preserve">0.745</w:t>
            </w:r>
          </w:p>
        </w:tc>
      </w:tr>
    </w:tbl>
    <w:p>
      <w:pPr>
        <w:pStyle w:val="BodyText"/>
        <w:keepNext/>
      </w:pPr>
      <w:r>
        <w:drawing>
          <wp:inline>
            <wp:extent cx="5334000" cy="3048000"/>
            <wp:effectExtent b="0" l="0" r="0" t="0"/>
            <wp:docPr descr="" title="" id="30" name="Picture"/>
            <a:graphic>
              <a:graphicData uri="http://schemas.openxmlformats.org/drawingml/2006/picture">
                <pic:pic>
                  <pic:nvPicPr>
                    <pic:cNvPr descr="figures/fig4_predicted_breadth_ko.png" id="31" name="Picture"/>
                    <pic:cNvPicPr>
                      <a:picLocks noChangeArrowheads="1" noChangeAspect="1"/>
                    </pic:cNvPicPr>
                  </pic:nvPicPr>
                  <pic:blipFill>
                    <a:blip r:embed="rId29"/>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rPr>
          <w:b/>
          <w:bCs/>
        </w:rPr>
        <w:t xml:space="preserve">그림 3.</w:t>
      </w:r>
      <w:r>
        <w:t xml:space="preserve"> </w:t>
      </w:r>
      <w:r>
        <w:t xml:space="preserve">출원청별 예측 기술범위(음이항; 출원연도는 표본 평균에 고정; 델타법 95% 신뢰구간; 출원청별 N은 표 4. 일본과 기타는 표본이 작아 구간이 넓다).</w:t>
      </w:r>
    </w:p>
    <w:bookmarkEnd w:id="32"/>
    <w:bookmarkStart w:id="33" w:name="제조공정-분류-여부"/>
    <w:p>
      <w:pPr>
        <w:pStyle w:val="Heading3"/>
      </w:pPr>
      <w:r>
        <w:t xml:space="preserve">5.2 제조공정 분류 여부</w:t>
      </w:r>
    </w:p>
    <w:p>
      <w:pPr>
        <w:pStyle w:val="FirstParagraph"/>
      </w:pPr>
      <w:r>
        <w:t xml:space="preserve">표 6은 출원이 제조공정 기호(H01L21)를 가지는지에 대한 이항 로짓이다. 기술범위가 가장 강한 관련 변수다. 세부 분류가 하나 늘 때마다 제조공정 기호를 가질 승산이 약 27% 높아진다(OR 1.267, p &lt; 0.01). 출원연도의 승산비는 1보다 작아(연간 OR 0.946, p &lt; 0.01), 최근 출원일수록 제조공정 기호를 가질 승산이 낮다. 출원청 가운데는 중국만 미국과 유의하게 달라서, 제조공정 기호를 가질 승산이 65% 높다(OR 1.650, p &lt; 0.05). 모형의 판별력을 나타내는 ROC 곡선 하면적은 0.707로, Hosmer et al.(2013)의 기준에서 받아들일 만한 수준의 하한에 해당한다. 이 모형은 제조공정 기호의 유무만을 묻는다. 경계를 넘는 통합형과 제조공정 기호만 있는 공정 단독형을 가르는 것은 다음 절의 다항 로짓이다.</w:t>
      </w:r>
    </w:p>
    <w:p>
      <w:pPr>
        <w:pStyle w:val="BodyText"/>
        <w:keepNext/>
      </w:pPr>
      <w:r>
        <w:rPr>
          <w:b/>
          <w:bCs/>
        </w:rPr>
        <w:t xml:space="preserve">표 6.</w:t>
      </w:r>
      <w:r>
        <w:t xml:space="preserve"> </w:t>
      </w:r>
      <w:r>
        <w:t xml:space="preserve">제조공정 분류 여부의 이항 로짓(종속변수 has_process; N = 928; 출원청 기준 = 미국; 로그우도 −547.6; 우도비 χ²(9) = 122.0, p &lt; 0.001; McFadden 의사 R² = 0.100; AIC 1,115.1; AUC 0.707; 괄호 안은 로그 계수의 표준오차; * p &lt; 0.10, ** p &lt; 0.05, *** p &lt; 0.01).</w:t>
      </w:r>
    </w:p>
    <w:tbl>
      <w:tblPr>
        <w:tblStyle w:val="Table"/>
        <w:tblW w:type="dxa" w:w="9068"/>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3079"/>
        <w:gridCol w:w="1679"/>
        <w:gridCol w:w="2771"/>
        <w:gridCol w:w="1539"/>
      </w:tblGrid>
      <w:tr>
        <w:trPr>
          <w:tblHeader w:val="on"/>
          <w:cantSplit/>
        </w:trPr>
        <w:tc>
          <w:tcPr>
            <w:tcW w:type="dxa" w:w="3079"/>
            <w:tcBorders>
              <w:bottom w:val="single" w:sz="4" w:space="0" w:color="000000"/>
            </w:tcBorders>
          </w:tcPr>
          <w:p>
            <w:pPr>
              <w:pStyle w:val="Compact"/>
              <w:spacing w:before="20" w:after="20" w:line="240" w:lineRule="auto"/>
              <w:keepNext/>
            </w:pPr>
          </w:p>
        </w:tc>
        <w:tc>
          <w:tcPr>
            <w:tcW w:type="dxa" w:w="1679"/>
            <w:tcBorders>
              <w:bottom w:val="single" w:sz="4" w:space="0" w:color="000000"/>
            </w:tcBorders>
          </w:tcPr>
          <w:p>
            <w:pPr>
              <w:pStyle w:val="Compact"/>
              <w:spacing w:before="20" w:after="20" w:line="240" w:lineRule="auto"/>
              <w:jc w:val="center"/>
              <w:keepNext/>
            </w:pPr>
            <w:r>
              <w:rPr>
                <w:sz w:val="18"/>
                <w:szCs w:val="18"/>
              </w:rPr>
              <w:t xml:space="preserve">승산비</w:t>
            </w:r>
          </w:p>
        </w:tc>
        <w:tc>
          <w:tcPr>
            <w:tcW w:type="dxa" w:w="2771"/>
            <w:tcBorders>
              <w:bottom w:val="single" w:sz="4" w:space="0" w:color="000000"/>
            </w:tcBorders>
          </w:tcPr>
          <w:p>
            <w:pPr>
              <w:pStyle w:val="Compact"/>
              <w:spacing w:before="20" w:after="20" w:line="240" w:lineRule="auto"/>
              <w:jc w:val="center"/>
              <w:keepNext/>
            </w:pPr>
            <w:r>
              <w:rPr>
                <w:sz w:val="18"/>
                <w:szCs w:val="18"/>
              </w:rPr>
              <w:t xml:space="preserve">로그 계수 표준오차</w:t>
            </w:r>
          </w:p>
        </w:tc>
        <w:tc>
          <w:tcPr>
            <w:tcW w:type="dxa" w:w="1539"/>
            <w:tcBorders>
              <w:bottom w:val="single" w:sz="4" w:space="0" w:color="000000"/>
            </w:tcBorders>
          </w:tcPr>
          <w:p>
            <w:pPr>
              <w:pStyle w:val="Compact"/>
              <w:spacing w:before="20" w:after="20" w:line="240" w:lineRule="auto"/>
              <w:jc w:val="center"/>
              <w:keepNext/>
            </w:pPr>
            <w:r>
              <w:rPr>
                <w:sz w:val="18"/>
                <w:szCs w:val="18"/>
              </w:rPr>
              <w:t xml:space="preserve">p</w:t>
            </w:r>
          </w:p>
        </w:tc>
      </w:tr>
      <w:tr>
        <w:trPr>
          <w:cantSplit/>
        </w:trPr>
        <w:tc>
          <w:tcPr>
            <w:tcW w:type="dxa" w:w="3079"/>
          </w:tcPr>
          <w:p>
            <w:pPr>
              <w:pStyle w:val="Compact"/>
              <w:spacing w:before="20" w:after="20" w:line="240" w:lineRule="auto"/>
              <w:keepNext/>
            </w:pPr>
            <w:r>
              <w:rPr>
                <w:sz w:val="18"/>
                <w:szCs w:val="18"/>
              </w:rPr>
              <w:t xml:space="preserve">출원연도(yc)</w:t>
            </w:r>
          </w:p>
        </w:tc>
        <w:tc>
          <w:tcPr>
            <w:tcW w:type="dxa" w:w="1679"/>
          </w:tcPr>
          <w:p>
            <w:pPr>
              <w:pStyle w:val="Compact"/>
              <w:spacing w:before="20" w:after="20" w:line="240" w:lineRule="auto"/>
              <w:jc w:val="center"/>
              <w:keepNext/>
            </w:pPr>
            <w:r>
              <w:rPr>
                <w:sz w:val="18"/>
                <w:szCs w:val="18"/>
              </w:rPr>
              <w:t xml:space="preserve">0.946***</w:t>
            </w:r>
          </w:p>
        </w:tc>
        <w:tc>
          <w:tcPr>
            <w:tcW w:type="dxa" w:w="2771"/>
          </w:tcPr>
          <w:p>
            <w:pPr>
              <w:pStyle w:val="Compact"/>
              <w:spacing w:before="20" w:after="20" w:line="240" w:lineRule="auto"/>
              <w:jc w:val="center"/>
              <w:keepNext/>
            </w:pPr>
            <w:r>
              <w:rPr>
                <w:sz w:val="18"/>
                <w:szCs w:val="18"/>
              </w:rPr>
              <w:t xml:space="preserve">(0.011)</w:t>
            </w:r>
          </w:p>
        </w:tc>
        <w:tc>
          <w:tcPr>
            <w:tcW w:type="dxa" w:w="1539"/>
          </w:tcPr>
          <w:p>
            <w:pPr>
              <w:pStyle w:val="Compact"/>
              <w:spacing w:before="20" w:after="20" w:line="240" w:lineRule="auto"/>
              <w:jc w:val="center"/>
              <w:keepNext/>
            </w:pPr>
            <w:r>
              <w:rPr>
                <w:sz w:val="18"/>
                <w:szCs w:val="18"/>
              </w:rPr>
              <w:t xml:space="preserve">&lt;0.001</w:t>
            </w:r>
          </w:p>
        </w:tc>
      </w:tr>
      <w:tr>
        <w:trPr>
          <w:cantSplit/>
        </w:trPr>
        <w:tc>
          <w:tcPr>
            <w:tcW w:type="dxa" w:w="3079"/>
          </w:tcPr>
          <w:p>
            <w:pPr>
              <w:pStyle w:val="Compact"/>
              <w:spacing w:before="20" w:after="20" w:line="240" w:lineRule="auto"/>
              <w:keepNext/>
            </w:pPr>
            <w:r>
              <w:rPr>
                <w:sz w:val="18"/>
                <w:szCs w:val="18"/>
              </w:rPr>
              <w:t xml:space="preserve">기술범위</w:t>
            </w:r>
          </w:p>
        </w:tc>
        <w:tc>
          <w:tcPr>
            <w:tcW w:type="dxa" w:w="1679"/>
          </w:tcPr>
          <w:p>
            <w:pPr>
              <w:pStyle w:val="Compact"/>
              <w:spacing w:before="20" w:after="20" w:line="240" w:lineRule="auto"/>
              <w:jc w:val="center"/>
              <w:keepNext/>
            </w:pPr>
            <w:r>
              <w:rPr>
                <w:sz w:val="18"/>
                <w:szCs w:val="18"/>
              </w:rPr>
              <w:t xml:space="preserve">1.267***</w:t>
            </w:r>
          </w:p>
        </w:tc>
        <w:tc>
          <w:tcPr>
            <w:tcW w:type="dxa" w:w="2771"/>
          </w:tcPr>
          <w:p>
            <w:pPr>
              <w:pStyle w:val="Compact"/>
              <w:spacing w:before="20" w:after="20" w:line="240" w:lineRule="auto"/>
              <w:jc w:val="center"/>
              <w:keepNext/>
            </w:pPr>
            <w:r>
              <w:rPr>
                <w:sz w:val="18"/>
                <w:szCs w:val="18"/>
              </w:rPr>
              <w:t xml:space="preserve">(0.027)</w:t>
            </w:r>
          </w:p>
        </w:tc>
        <w:tc>
          <w:tcPr>
            <w:tcW w:type="dxa" w:w="1539"/>
          </w:tcPr>
          <w:p>
            <w:pPr>
              <w:pStyle w:val="Compact"/>
              <w:spacing w:before="20" w:after="20" w:line="240" w:lineRule="auto"/>
              <w:jc w:val="center"/>
              <w:keepNext/>
            </w:pPr>
            <w:r>
              <w:rPr>
                <w:sz w:val="18"/>
                <w:szCs w:val="18"/>
              </w:rPr>
              <w:t xml:space="preserve">&lt;0.001</w:t>
            </w:r>
          </w:p>
        </w:tc>
      </w:tr>
      <w:tr>
        <w:trPr>
          <w:cantSplit/>
        </w:trPr>
        <w:tc>
          <w:tcPr>
            <w:tcW w:type="dxa" w:w="3079"/>
          </w:tcPr>
          <w:p>
            <w:pPr>
              <w:pStyle w:val="Compact"/>
              <w:spacing w:before="20" w:after="20" w:line="240" w:lineRule="auto"/>
              <w:keepNext/>
            </w:pPr>
            <w:r>
              <w:rPr>
                <w:sz w:val="18"/>
                <w:szCs w:val="18"/>
              </w:rPr>
              <w:t xml:space="preserve">중국(CN)</w:t>
            </w:r>
          </w:p>
        </w:tc>
        <w:tc>
          <w:tcPr>
            <w:tcW w:type="dxa" w:w="1679"/>
          </w:tcPr>
          <w:p>
            <w:pPr>
              <w:pStyle w:val="Compact"/>
              <w:spacing w:before="20" w:after="20" w:line="240" w:lineRule="auto"/>
              <w:jc w:val="center"/>
              <w:keepNext/>
            </w:pPr>
            <w:r>
              <w:rPr>
                <w:sz w:val="18"/>
                <w:szCs w:val="18"/>
              </w:rPr>
              <w:t xml:space="preserve">1.650**</w:t>
            </w:r>
          </w:p>
        </w:tc>
        <w:tc>
          <w:tcPr>
            <w:tcW w:type="dxa" w:w="2771"/>
          </w:tcPr>
          <w:p>
            <w:pPr>
              <w:pStyle w:val="Compact"/>
              <w:spacing w:before="20" w:after="20" w:line="240" w:lineRule="auto"/>
              <w:jc w:val="center"/>
              <w:keepNext/>
            </w:pPr>
            <w:r>
              <w:rPr>
                <w:sz w:val="18"/>
                <w:szCs w:val="18"/>
              </w:rPr>
              <w:t xml:space="preserve">(0.205)</w:t>
            </w:r>
          </w:p>
        </w:tc>
        <w:tc>
          <w:tcPr>
            <w:tcW w:type="dxa" w:w="1539"/>
          </w:tcPr>
          <w:p>
            <w:pPr>
              <w:pStyle w:val="Compact"/>
              <w:spacing w:before="20" w:after="20" w:line="240" w:lineRule="auto"/>
              <w:jc w:val="center"/>
              <w:keepNext/>
            </w:pPr>
            <w:r>
              <w:rPr>
                <w:sz w:val="18"/>
                <w:szCs w:val="18"/>
              </w:rPr>
              <w:t xml:space="preserve">0.015</w:t>
            </w:r>
          </w:p>
        </w:tc>
      </w:tr>
      <w:tr>
        <w:trPr>
          <w:cantSplit/>
        </w:trPr>
        <w:tc>
          <w:tcPr>
            <w:tcW w:type="dxa" w:w="3079"/>
          </w:tcPr>
          <w:p>
            <w:pPr>
              <w:pStyle w:val="Compact"/>
              <w:spacing w:before="20" w:after="20" w:line="240" w:lineRule="auto"/>
              <w:keepNext/>
            </w:pPr>
            <w:r>
              <w:rPr>
                <w:sz w:val="18"/>
                <w:szCs w:val="18"/>
              </w:rPr>
              <w:t xml:space="preserve">한국(KR)</w:t>
            </w:r>
          </w:p>
        </w:tc>
        <w:tc>
          <w:tcPr>
            <w:tcW w:type="dxa" w:w="1679"/>
          </w:tcPr>
          <w:p>
            <w:pPr>
              <w:pStyle w:val="Compact"/>
              <w:spacing w:before="20" w:after="20" w:line="240" w:lineRule="auto"/>
              <w:jc w:val="center"/>
              <w:keepNext/>
            </w:pPr>
            <w:r>
              <w:rPr>
                <w:sz w:val="18"/>
                <w:szCs w:val="18"/>
              </w:rPr>
              <w:t xml:space="preserve">1.430</w:t>
            </w:r>
          </w:p>
        </w:tc>
        <w:tc>
          <w:tcPr>
            <w:tcW w:type="dxa" w:w="2771"/>
          </w:tcPr>
          <w:p>
            <w:pPr>
              <w:pStyle w:val="Compact"/>
              <w:spacing w:before="20" w:after="20" w:line="240" w:lineRule="auto"/>
              <w:jc w:val="center"/>
              <w:keepNext/>
            </w:pPr>
            <w:r>
              <w:rPr>
                <w:sz w:val="18"/>
                <w:szCs w:val="18"/>
              </w:rPr>
              <w:t xml:space="preserve">(0.327)</w:t>
            </w:r>
          </w:p>
        </w:tc>
        <w:tc>
          <w:tcPr>
            <w:tcW w:type="dxa" w:w="1539"/>
          </w:tcPr>
          <w:p>
            <w:pPr>
              <w:pStyle w:val="Compact"/>
              <w:spacing w:before="20" w:after="20" w:line="240" w:lineRule="auto"/>
              <w:jc w:val="center"/>
              <w:keepNext/>
            </w:pPr>
            <w:r>
              <w:rPr>
                <w:sz w:val="18"/>
                <w:szCs w:val="18"/>
              </w:rPr>
              <w:t xml:space="preserve">0.274</w:t>
            </w:r>
          </w:p>
        </w:tc>
      </w:tr>
      <w:tr>
        <w:trPr>
          <w:cantSplit/>
        </w:trPr>
        <w:tc>
          <w:tcPr>
            <w:tcW w:type="dxa" w:w="3079"/>
          </w:tcPr>
          <w:p>
            <w:pPr>
              <w:pStyle w:val="Compact"/>
              <w:spacing w:before="20" w:after="20" w:line="240" w:lineRule="auto"/>
              <w:keepNext/>
            </w:pPr>
            <w:r>
              <w:rPr>
                <w:sz w:val="18"/>
                <w:szCs w:val="18"/>
              </w:rPr>
              <w:t xml:space="preserve">대만(TW)</w:t>
            </w:r>
          </w:p>
        </w:tc>
        <w:tc>
          <w:tcPr>
            <w:tcW w:type="dxa" w:w="1679"/>
          </w:tcPr>
          <w:p>
            <w:pPr>
              <w:pStyle w:val="Compact"/>
              <w:spacing w:before="20" w:after="20" w:line="240" w:lineRule="auto"/>
              <w:jc w:val="center"/>
              <w:keepNext/>
            </w:pPr>
            <w:r>
              <w:rPr>
                <w:sz w:val="18"/>
                <w:szCs w:val="18"/>
              </w:rPr>
              <w:t xml:space="preserve">1.555</w:t>
            </w:r>
          </w:p>
        </w:tc>
        <w:tc>
          <w:tcPr>
            <w:tcW w:type="dxa" w:w="2771"/>
          </w:tcPr>
          <w:p>
            <w:pPr>
              <w:pStyle w:val="Compact"/>
              <w:spacing w:before="20" w:after="20" w:line="240" w:lineRule="auto"/>
              <w:jc w:val="center"/>
              <w:keepNext/>
            </w:pPr>
            <w:r>
              <w:rPr>
                <w:sz w:val="18"/>
                <w:szCs w:val="18"/>
              </w:rPr>
              <w:t xml:space="preserve">(0.290)</w:t>
            </w:r>
          </w:p>
        </w:tc>
        <w:tc>
          <w:tcPr>
            <w:tcW w:type="dxa" w:w="1539"/>
          </w:tcPr>
          <w:p>
            <w:pPr>
              <w:pStyle w:val="Compact"/>
              <w:spacing w:before="20" w:after="20" w:line="240" w:lineRule="auto"/>
              <w:jc w:val="center"/>
              <w:keepNext/>
            </w:pPr>
            <w:r>
              <w:rPr>
                <w:sz w:val="18"/>
                <w:szCs w:val="18"/>
              </w:rPr>
              <w:t xml:space="preserve">0.128</w:t>
            </w:r>
          </w:p>
        </w:tc>
      </w:tr>
      <w:tr>
        <w:trPr>
          <w:cantSplit/>
        </w:trPr>
        <w:tc>
          <w:tcPr>
            <w:tcW w:type="dxa" w:w="3079"/>
          </w:tcPr>
          <w:p>
            <w:pPr>
              <w:pStyle w:val="Compact"/>
              <w:spacing w:before="20" w:after="20" w:line="240" w:lineRule="auto"/>
              <w:keepNext/>
            </w:pPr>
            <w:r>
              <w:rPr>
                <w:sz w:val="18"/>
                <w:szCs w:val="18"/>
              </w:rPr>
              <w:t xml:space="preserve">일본(JP)</w:t>
            </w:r>
          </w:p>
        </w:tc>
        <w:tc>
          <w:tcPr>
            <w:tcW w:type="dxa" w:w="1679"/>
          </w:tcPr>
          <w:p>
            <w:pPr>
              <w:pStyle w:val="Compact"/>
              <w:spacing w:before="20" w:after="20" w:line="240" w:lineRule="auto"/>
              <w:jc w:val="center"/>
              <w:keepNext/>
            </w:pPr>
            <w:r>
              <w:rPr>
                <w:sz w:val="18"/>
                <w:szCs w:val="18"/>
              </w:rPr>
              <w:t xml:space="preserve">0.483</w:t>
            </w:r>
          </w:p>
        </w:tc>
        <w:tc>
          <w:tcPr>
            <w:tcW w:type="dxa" w:w="2771"/>
          </w:tcPr>
          <w:p>
            <w:pPr>
              <w:pStyle w:val="Compact"/>
              <w:spacing w:before="20" w:after="20" w:line="240" w:lineRule="auto"/>
              <w:jc w:val="center"/>
              <w:keepNext/>
            </w:pPr>
            <w:r>
              <w:rPr>
                <w:sz w:val="18"/>
                <w:szCs w:val="18"/>
              </w:rPr>
              <w:t xml:space="preserve">(0.482)</w:t>
            </w:r>
          </w:p>
        </w:tc>
        <w:tc>
          <w:tcPr>
            <w:tcW w:type="dxa" w:w="1539"/>
          </w:tcPr>
          <w:p>
            <w:pPr>
              <w:pStyle w:val="Compact"/>
              <w:spacing w:before="20" w:after="20" w:line="240" w:lineRule="auto"/>
              <w:jc w:val="center"/>
              <w:keepNext/>
            </w:pPr>
            <w:r>
              <w:rPr>
                <w:sz w:val="18"/>
                <w:szCs w:val="18"/>
              </w:rPr>
              <w:t xml:space="preserve">0.131</w:t>
            </w:r>
          </w:p>
        </w:tc>
      </w:tr>
      <w:tr>
        <w:trPr>
          <w:cantSplit/>
        </w:trPr>
        <w:tc>
          <w:tcPr>
            <w:tcW w:type="dxa" w:w="3079"/>
          </w:tcPr>
          <w:p>
            <w:pPr>
              <w:pStyle w:val="Compact"/>
              <w:spacing w:before="20" w:after="20" w:line="240" w:lineRule="auto"/>
              <w:keepNext/>
            </w:pPr>
            <w:r>
              <w:rPr>
                <w:sz w:val="18"/>
                <w:szCs w:val="18"/>
              </w:rPr>
              <w:t xml:space="preserve">EPO(EP)</w:t>
            </w:r>
          </w:p>
        </w:tc>
        <w:tc>
          <w:tcPr>
            <w:tcW w:type="dxa" w:w="1679"/>
          </w:tcPr>
          <w:p>
            <w:pPr>
              <w:pStyle w:val="Compact"/>
              <w:spacing w:before="20" w:after="20" w:line="240" w:lineRule="auto"/>
              <w:jc w:val="center"/>
              <w:keepNext/>
            </w:pPr>
            <w:r>
              <w:rPr>
                <w:sz w:val="18"/>
                <w:szCs w:val="18"/>
              </w:rPr>
              <w:t xml:space="preserve">1.170</w:t>
            </w:r>
          </w:p>
        </w:tc>
        <w:tc>
          <w:tcPr>
            <w:tcW w:type="dxa" w:w="2771"/>
          </w:tcPr>
          <w:p>
            <w:pPr>
              <w:pStyle w:val="Compact"/>
              <w:spacing w:before="20" w:after="20" w:line="240" w:lineRule="auto"/>
              <w:jc w:val="center"/>
              <w:keepNext/>
            </w:pPr>
            <w:r>
              <w:rPr>
                <w:sz w:val="18"/>
                <w:szCs w:val="18"/>
              </w:rPr>
              <w:t xml:space="preserve">(0.267)</w:t>
            </w:r>
          </w:p>
        </w:tc>
        <w:tc>
          <w:tcPr>
            <w:tcW w:type="dxa" w:w="1539"/>
          </w:tcPr>
          <w:p>
            <w:pPr>
              <w:pStyle w:val="Compact"/>
              <w:spacing w:before="20" w:after="20" w:line="240" w:lineRule="auto"/>
              <w:jc w:val="center"/>
              <w:keepNext/>
            </w:pPr>
            <w:r>
              <w:rPr>
                <w:sz w:val="18"/>
                <w:szCs w:val="18"/>
              </w:rPr>
              <w:t xml:space="preserve">0.555</w:t>
            </w:r>
          </w:p>
        </w:tc>
      </w:tr>
      <w:tr>
        <w:trPr>
          <w:cantSplit/>
        </w:trPr>
        <w:tc>
          <w:tcPr>
            <w:tcW w:type="dxa" w:w="3079"/>
          </w:tcPr>
          <w:p>
            <w:pPr>
              <w:pStyle w:val="Compact"/>
              <w:spacing w:before="20" w:after="20" w:line="240" w:lineRule="auto"/>
              <w:keepNext/>
            </w:pPr>
            <w:r>
              <w:rPr>
                <w:sz w:val="18"/>
                <w:szCs w:val="18"/>
              </w:rPr>
              <w:t xml:space="preserve">PCT(WO)</w:t>
            </w:r>
          </w:p>
        </w:tc>
        <w:tc>
          <w:tcPr>
            <w:tcW w:type="dxa" w:w="1679"/>
          </w:tcPr>
          <w:p>
            <w:pPr>
              <w:pStyle w:val="Compact"/>
              <w:spacing w:before="20" w:after="20" w:line="240" w:lineRule="auto"/>
              <w:jc w:val="center"/>
              <w:keepNext/>
            </w:pPr>
            <w:r>
              <w:rPr>
                <w:sz w:val="18"/>
                <w:szCs w:val="18"/>
              </w:rPr>
              <w:t xml:space="preserve">1.398</w:t>
            </w:r>
          </w:p>
        </w:tc>
        <w:tc>
          <w:tcPr>
            <w:tcW w:type="dxa" w:w="2771"/>
          </w:tcPr>
          <w:p>
            <w:pPr>
              <w:pStyle w:val="Compact"/>
              <w:spacing w:before="20" w:after="20" w:line="240" w:lineRule="auto"/>
              <w:jc w:val="center"/>
              <w:keepNext/>
            </w:pPr>
            <w:r>
              <w:rPr>
                <w:sz w:val="18"/>
                <w:szCs w:val="18"/>
              </w:rPr>
              <w:t xml:space="preserve">(0.235)</w:t>
            </w:r>
          </w:p>
        </w:tc>
        <w:tc>
          <w:tcPr>
            <w:tcW w:type="dxa" w:w="1539"/>
          </w:tcPr>
          <w:p>
            <w:pPr>
              <w:pStyle w:val="Compact"/>
              <w:spacing w:before="20" w:after="20" w:line="240" w:lineRule="auto"/>
              <w:jc w:val="center"/>
              <w:keepNext/>
            </w:pPr>
            <w:r>
              <w:rPr>
                <w:sz w:val="18"/>
                <w:szCs w:val="18"/>
              </w:rPr>
              <w:t xml:space="preserve">0.155</w:t>
            </w:r>
          </w:p>
        </w:tc>
      </w:tr>
      <w:tr>
        <w:trPr>
          <w:cantSplit/>
        </w:trPr>
        <w:tc>
          <w:tcPr>
            <w:tcW w:type="dxa" w:w="3079"/>
          </w:tcPr>
          <w:p>
            <w:pPr>
              <w:pStyle w:val="Compact"/>
              <w:spacing w:before="20" w:after="20" w:line="240" w:lineRule="auto"/>
              <w:keepNext/>
            </w:pPr>
            <w:r>
              <w:rPr>
                <w:sz w:val="18"/>
                <w:szCs w:val="18"/>
              </w:rPr>
              <w:t xml:space="preserve">기타</w:t>
            </w:r>
          </w:p>
        </w:tc>
        <w:tc>
          <w:tcPr>
            <w:tcW w:type="dxa" w:w="1679"/>
          </w:tcPr>
          <w:p>
            <w:pPr>
              <w:pStyle w:val="Compact"/>
              <w:spacing w:before="20" w:after="20" w:line="240" w:lineRule="auto"/>
              <w:jc w:val="center"/>
              <w:keepNext/>
            </w:pPr>
            <w:r>
              <w:rPr>
                <w:sz w:val="18"/>
                <w:szCs w:val="18"/>
              </w:rPr>
              <w:t xml:space="preserve">2.132</w:t>
            </w:r>
          </w:p>
        </w:tc>
        <w:tc>
          <w:tcPr>
            <w:tcW w:type="dxa" w:w="2771"/>
          </w:tcPr>
          <w:p>
            <w:pPr>
              <w:pStyle w:val="Compact"/>
              <w:spacing w:before="20" w:after="20" w:line="240" w:lineRule="auto"/>
              <w:jc w:val="center"/>
              <w:keepNext/>
            </w:pPr>
            <w:r>
              <w:rPr>
                <w:sz w:val="18"/>
                <w:szCs w:val="18"/>
              </w:rPr>
              <w:t xml:space="preserve">(0.613)</w:t>
            </w:r>
          </w:p>
        </w:tc>
        <w:tc>
          <w:tcPr>
            <w:tcW w:type="dxa" w:w="1539"/>
          </w:tcPr>
          <w:p>
            <w:pPr>
              <w:pStyle w:val="Compact"/>
              <w:spacing w:before="20" w:after="20" w:line="240" w:lineRule="auto"/>
              <w:jc w:val="center"/>
              <w:keepNext/>
            </w:pPr>
            <w:r>
              <w:rPr>
                <w:sz w:val="18"/>
                <w:szCs w:val="18"/>
              </w:rPr>
              <w:t xml:space="preserve">0.217</w:t>
            </w:r>
          </w:p>
        </w:tc>
      </w:tr>
    </w:tbl>
    <w:bookmarkEnd w:id="33"/>
    <w:bookmarkStart w:id="43" w:name="공동분류-유형"/>
    <w:p>
      <w:pPr>
        <w:pStyle w:val="Heading3"/>
      </w:pPr>
      <w:r>
        <w:t xml:space="preserve">5.3 공동분류 유형</w:t>
      </w:r>
    </w:p>
    <w:p>
      <w:pPr>
        <w:pStyle w:val="FirstParagraph"/>
      </w:pPr>
      <w:r>
        <w:t xml:space="preserve">표 7은 조립 단독형을 기준으로 통합형과 공정 단독형의 상대위험비를 보고하는 다항 로짓이다. 이것이 경계 넘기에 대한 본 검정이다. 그림 4는 이 모형에서 기술범위와 출원연도를 바꾸었을 때 세 유형의 예측확률을 보여준다(다른 변수는 각 출원의 관측값에 둔 채 평균).</w:t>
      </w:r>
    </w:p>
    <w:p>
      <w:pPr>
        <w:pStyle w:val="BodyText"/>
      </w:pPr>
      <w:r>
        <w:rPr>
          <w:b/>
          <w:bCs/>
        </w:rPr>
        <w:t xml:space="preserve">기술적 다양성(H1).</w:t>
      </w:r>
      <w:r>
        <w:t xml:space="preserve"> </w:t>
      </w:r>
      <w:r>
        <w:t xml:space="preserve">세부 분류가 하나 늘 때마다 조립 단독형 대비 통합형일 상대위험은 40% 높아지고(RRR 1.403, p &lt; 0.01), 공정 단독형일 상대위험은 10% 낮아진다(RRR 0.905, p &lt; 0.05). 크기로 보면 기술범위가 3인 출원은 통합형으로 예측될 확률이 0.26, 조립 단독형 0.50, 공정 단독형 0.24이지만, 기술범위가 8인 출원은 통합형 0.68, 조립 단독형 0.24, 공정 단독형 0.08이다(그림 4 왼쪽). 넓은 출원은 두 영역에 걸치고, 좁은 출원은 한 영역에 머문다. 다만 유형과 기술범위가 같은 CPC 정보에서 만들어지므로, 이를 독립적인 인과적 결정요인으로 해석하지 않는다. H1은 통합형 특허가 선택된 CPC 영역 안에서 더 다양한 세부 기술을 포함한다는 구성적 특징으로서 지지된다.</w:t>
      </w:r>
    </w:p>
    <w:p>
      <w:pPr>
        <w:pStyle w:val="BodyText"/>
      </w:pPr>
      <w:r>
        <w:rPr>
          <w:b/>
          <w:bCs/>
        </w:rPr>
        <w:t xml:space="preserve">시간 변화(H2).</w:t>
      </w:r>
      <w:r>
        <w:t xml:space="preserve"> </w:t>
      </w:r>
      <w:r>
        <w:t xml:space="preserve">공정 단독형의 상대위험은 해마다 약 8.7%씩 떨어지는 반면(RRR 0.913, p &lt; 0.01), 통합형의 상대위험은 전 기간의 선형 추세로는 변하지 않는다(RRR 0.993, 비유의). 2010년 출원의 공정 단독형 예측확률은 0.27이지만 2022년 출원은 0.12이며, 같은 기간 조립 단독형은 0.31에서 0.40으로 늘고 통합형은 0.43에서 0.47로 거의 변하지 않는다(그림 4 오른쪽). 표 6에서 본 제조공정 분류의 감소는 주로 공정 단독형의 감소에서 온 것이다. H2는 지지된다.</w:t>
      </w:r>
    </w:p>
    <w:p>
      <w:pPr>
        <w:pStyle w:val="BodyText"/>
        <w:keepNext/>
      </w:pPr>
      <w:r>
        <w:drawing>
          <wp:inline>
            <wp:extent cx="5334000" cy="2133599"/>
            <wp:effectExtent b="0" l="0" r="0" t="0"/>
            <wp:docPr descr="" title="" id="35" name="Picture"/>
            <a:graphic>
              <a:graphicData uri="http://schemas.openxmlformats.org/drawingml/2006/picture">
                <pic:pic>
                  <pic:nvPicPr>
                    <pic:cNvPr descr="figures/fig_pred_types_ko.png" id="36" name="Picture"/>
                    <pic:cNvPicPr>
                      <a:picLocks noChangeArrowheads="1" noChangeAspect="1"/>
                    </pic:cNvPicPr>
                  </pic:nvPicPr>
                  <pic:blipFill>
                    <a:blip r:embed="rId34"/>
                    <a:stretch>
                      <a:fillRect/>
                    </a:stretch>
                  </pic:blipFill>
                  <pic:spPr bwMode="auto">
                    <a:xfrm>
                      <a:off x="0" y="0"/>
                      <a:ext cx="5334000" cy="2133599"/>
                    </a:xfrm>
                    <a:prstGeom prst="rect">
                      <a:avLst/>
                    </a:prstGeom>
                    <a:noFill/>
                    <a:ln w="9525">
                      <a:noFill/>
                      <a:headEnd/>
                      <a:tailEnd/>
                    </a:ln>
                  </pic:spPr>
                </pic:pic>
              </a:graphicData>
            </a:graphic>
          </wp:inline>
        </w:drawing>
      </w:r>
    </w:p>
    <w:p>
      <w:pPr>
        <w:pStyle w:val="BodyText"/>
      </w:pPr>
      <w:r>
        <w:rPr>
          <w:b/>
          <w:bCs/>
        </w:rPr>
        <w:t xml:space="preserve">그림 4.</w:t>
      </w:r>
      <w:r>
        <w:t xml:space="preserve"> </w:t>
      </w:r>
      <w:r>
        <w:t xml:space="preserve">기술범위(왼쪽)와 출원연도(오른쪽)에 따른 공동분류 유형별 예측확률(다항 로짓; 다른 변수는 각 출원의 관측값에 둔 채 평균).</w:t>
      </w:r>
    </w:p>
    <w:p>
      <w:pPr>
        <w:pStyle w:val="BodyText"/>
      </w:pPr>
      <w:r>
        <w:rPr>
          <w:b/>
          <w:bCs/>
        </w:rPr>
        <w:t xml:space="preserve">출원청(H3b).</w:t>
      </w:r>
      <w:r>
        <w:t xml:space="preserve"> </w:t>
      </w:r>
      <w:r>
        <w:t xml:space="preserve">중국 출원청 출원은 미국 출원청 출원보다 공정 단독형일 상대위험이 2.7배 높다(RRR 2.687, p &lt; 0.01). PCT 경로(RRR 1.997, p &lt; 0.05)도 높고, 대만은 10% 수준의 약한 증거만 있다(RRR 2.102, p = 0.07). 일본 출원청의 계수(RRR 0.086)는 26건에 기반하고 표본 기간에 따라 크게 달라지므로 해석하지 않는다(부록 B). 반면 통합형 방정식에서는 어느 출원청 계수도 유의하지 않다. 범위와 출원 시점을 통제하면 경계를 넘는 특허의 비중 자체는 출원청 사이에 다르지 않다. 관할권의 차이는 한 영역에 머무는 특허, 특히 공정 단독형에서 나타난다. 그림 5는 각 출원청에 출원되었을 때 공정 단독형으로 예측되는 평균 확률이다. 중국 출원청은 4건 중 1건(0.255), 미국 출원청은 7건 중 1건(0.143) 꼴이다. H3b는 기준 모형에서 지지되지만, 2023–2024년 출원을 제외하면 유의성을 잃으므로(제5.4절) 최근 출원 구성에 민감한 제한적 증거로 본다.</w:t>
      </w:r>
    </w:p>
    <w:p>
      <w:pPr>
        <w:pStyle w:val="BodyText"/>
        <w:keepNext/>
      </w:pPr>
      <w:r>
        <w:rPr>
          <w:b/>
          <w:bCs/>
        </w:rPr>
        <w:t xml:space="preserve">표 7.</w:t>
      </w:r>
      <w:r>
        <w:t xml:space="preserve"> </w:t>
      </w:r>
      <w:r>
        <w:t xml:space="preserve">공동분류 유형의 다항 로짓(기준 범주 = 조립 단독형; N = 928; 출원청 기준 = 미국; 로그우도 −774.5; 우도비 χ²(18) = 367.4, p &lt; 0.001; McFadden 의사 R² = 0.192; AIC 1,589.0; 괄호 안은 로그 계수의 표준오차; * p &lt; 0.10, ** p &lt; 0.05, *** p &lt; 0.01).</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80"/>
        <w:gridCol w:w="970"/>
        <w:gridCol w:w="1602"/>
        <w:gridCol w:w="890"/>
        <w:gridCol w:w="1335"/>
        <w:gridCol w:w="1602"/>
        <w:gridCol w:w="890"/>
      </w:tblGrid>
      <w:tr>
        <w:trPr>
          <w:tblHeader w:val="on"/>
          <w:cantSplit/>
        </w:trPr>
        <w:tc>
          <w:tcPr>
            <w:tcW w:type="dxa" w:w="1780"/>
            <w:tcBorders>
              <w:bottom w:val="single" w:sz="4" w:space="0" w:color="000000"/>
            </w:tcBorders>
          </w:tcPr>
          <w:p>
            <w:pPr>
              <w:pStyle w:val="Compact"/>
              <w:spacing w:before="20" w:after="20" w:line="240" w:lineRule="auto"/>
              <w:keepNext/>
            </w:pPr>
          </w:p>
        </w:tc>
        <w:tc>
          <w:tcPr>
            <w:tcW w:type="dxa" w:w="970"/>
            <w:tcBorders>
              <w:bottom w:val="single" w:sz="4" w:space="0" w:color="000000"/>
            </w:tcBorders>
          </w:tcPr>
          <w:p>
            <w:pPr>
              <w:pStyle w:val="Compact"/>
              <w:spacing w:before="20" w:after="20" w:line="240" w:lineRule="auto"/>
              <w:jc w:val="center"/>
              <w:keepNext/>
            </w:pPr>
            <w:r>
              <w:rPr>
                <w:sz w:val="16"/>
                <w:szCs w:val="16"/>
              </w:rPr>
              <w:t xml:space="preserve">통합형 RRR</w:t>
            </w:r>
          </w:p>
        </w:tc>
        <w:tc>
          <w:tcPr>
            <w:tcW w:type="dxa" w:w="1602"/>
            <w:tcBorders>
              <w:bottom w:val="single" w:sz="4" w:space="0" w:color="000000"/>
            </w:tcBorders>
          </w:tcPr>
          <w:p>
            <w:pPr>
              <w:pStyle w:val="Compact"/>
              <w:spacing w:before="20" w:after="20" w:line="240" w:lineRule="auto"/>
              <w:jc w:val="center"/>
              <w:keepNext/>
            </w:pPr>
            <w:r>
              <w:rPr>
                <w:sz w:val="16"/>
                <w:szCs w:val="16"/>
              </w:rPr>
              <w:t xml:space="preserve">로그 계수 표준오차</w:t>
            </w:r>
          </w:p>
        </w:tc>
        <w:tc>
          <w:tcPr>
            <w:tcW w:type="dxa" w:w="890"/>
            <w:tcBorders>
              <w:bottom w:val="single" w:sz="4" w:space="0" w:color="000000"/>
            </w:tcBorders>
          </w:tcPr>
          <w:p>
            <w:pPr>
              <w:pStyle w:val="Compact"/>
              <w:spacing w:before="20" w:after="20" w:line="240" w:lineRule="auto"/>
              <w:jc w:val="center"/>
              <w:keepNext/>
            </w:pPr>
            <w:r>
              <w:rPr>
                <w:sz w:val="16"/>
                <w:szCs w:val="16"/>
              </w:rPr>
              <w:t xml:space="preserve">p</w:t>
            </w:r>
          </w:p>
        </w:tc>
        <w:tc>
          <w:tcPr>
            <w:tcW w:type="dxa" w:w="1335"/>
            <w:tcBorders>
              <w:bottom w:val="single" w:sz="4" w:space="0" w:color="000000"/>
            </w:tcBorders>
          </w:tcPr>
          <w:p>
            <w:pPr>
              <w:pStyle w:val="Compact"/>
              <w:spacing w:before="20" w:after="20" w:line="240" w:lineRule="auto"/>
              <w:jc w:val="center"/>
              <w:keepNext/>
            </w:pPr>
            <w:r>
              <w:rPr>
                <w:sz w:val="16"/>
                <w:szCs w:val="16"/>
              </w:rPr>
              <w:t xml:space="preserve">공정 단독형 RRR</w:t>
            </w:r>
          </w:p>
        </w:tc>
        <w:tc>
          <w:tcPr>
            <w:tcW w:type="dxa" w:w="1602"/>
            <w:tcBorders>
              <w:bottom w:val="single" w:sz="4" w:space="0" w:color="000000"/>
            </w:tcBorders>
          </w:tcPr>
          <w:p>
            <w:pPr>
              <w:pStyle w:val="Compact"/>
              <w:spacing w:before="20" w:after="20" w:line="240" w:lineRule="auto"/>
              <w:jc w:val="center"/>
              <w:keepNext/>
            </w:pPr>
            <w:r>
              <w:rPr>
                <w:sz w:val="16"/>
                <w:szCs w:val="16"/>
              </w:rPr>
              <w:t xml:space="preserve">로그 계수 표준오차</w:t>
            </w:r>
          </w:p>
        </w:tc>
        <w:tc>
          <w:tcPr>
            <w:tcW w:type="dxa" w:w="890"/>
            <w:tcBorders>
              <w:bottom w:val="single" w:sz="4" w:space="0" w:color="000000"/>
            </w:tcBorders>
          </w:tcPr>
          <w:p>
            <w:pPr>
              <w:pStyle w:val="Compact"/>
              <w:spacing w:before="20" w:after="20" w:line="240" w:lineRule="auto"/>
              <w:jc w:val="center"/>
              <w:keepNext/>
            </w:pPr>
            <w:r>
              <w:rPr>
                <w:sz w:val="16"/>
                <w:szCs w:val="16"/>
              </w:rPr>
              <w:t xml:space="preserve">p</w:t>
            </w:r>
          </w:p>
        </w:tc>
      </w:tr>
      <w:tr>
        <w:trPr>
          <w:cantSplit/>
        </w:trPr>
        <w:tc>
          <w:tcPr>
            <w:tcW w:type="dxa" w:w="1780"/>
          </w:tcPr>
          <w:p>
            <w:pPr>
              <w:pStyle w:val="Compact"/>
              <w:spacing w:before="20" w:after="20" w:line="240" w:lineRule="auto"/>
              <w:keepNext/>
            </w:pPr>
            <w:r>
              <w:rPr>
                <w:sz w:val="16"/>
                <w:szCs w:val="16"/>
              </w:rPr>
              <w:t xml:space="preserve">출원연도(yc)</w:t>
            </w:r>
          </w:p>
        </w:tc>
        <w:tc>
          <w:tcPr>
            <w:tcW w:type="dxa" w:w="970"/>
          </w:tcPr>
          <w:p>
            <w:pPr>
              <w:pStyle w:val="Compact"/>
              <w:spacing w:before="20" w:after="20" w:line="240" w:lineRule="auto"/>
              <w:jc w:val="center"/>
              <w:keepNext/>
            </w:pPr>
            <w:r>
              <w:rPr>
                <w:sz w:val="16"/>
                <w:szCs w:val="16"/>
              </w:rPr>
              <w:t xml:space="preserve">0.993</w:t>
            </w:r>
          </w:p>
        </w:tc>
        <w:tc>
          <w:tcPr>
            <w:tcW w:type="dxa" w:w="1602"/>
          </w:tcPr>
          <w:p>
            <w:pPr>
              <w:pStyle w:val="Compact"/>
              <w:spacing w:before="20" w:after="20" w:line="240" w:lineRule="auto"/>
              <w:jc w:val="center"/>
              <w:keepNext/>
            </w:pPr>
            <w:r>
              <w:rPr>
                <w:sz w:val="16"/>
                <w:szCs w:val="16"/>
              </w:rPr>
              <w:t xml:space="preserve">(0.015)</w:t>
            </w:r>
          </w:p>
        </w:tc>
        <w:tc>
          <w:tcPr>
            <w:tcW w:type="dxa" w:w="890"/>
          </w:tcPr>
          <w:p>
            <w:pPr>
              <w:pStyle w:val="Compact"/>
              <w:spacing w:before="20" w:after="20" w:line="240" w:lineRule="auto"/>
              <w:jc w:val="center"/>
              <w:keepNext/>
            </w:pPr>
            <w:r>
              <w:rPr>
                <w:sz w:val="16"/>
                <w:szCs w:val="16"/>
              </w:rPr>
              <w:t xml:space="preserve">0.654</w:t>
            </w:r>
          </w:p>
        </w:tc>
        <w:tc>
          <w:tcPr>
            <w:tcW w:type="dxa" w:w="1335"/>
          </w:tcPr>
          <w:p>
            <w:pPr>
              <w:pStyle w:val="Compact"/>
              <w:spacing w:before="20" w:after="20" w:line="240" w:lineRule="auto"/>
              <w:jc w:val="center"/>
              <w:keepNext/>
            </w:pPr>
            <w:r>
              <w:rPr>
                <w:sz w:val="16"/>
                <w:szCs w:val="16"/>
              </w:rPr>
              <w:t xml:space="preserve">0.913***</w:t>
            </w:r>
          </w:p>
        </w:tc>
        <w:tc>
          <w:tcPr>
            <w:tcW w:type="dxa" w:w="1602"/>
          </w:tcPr>
          <w:p>
            <w:pPr>
              <w:pStyle w:val="Compact"/>
              <w:spacing w:before="20" w:after="20" w:line="240" w:lineRule="auto"/>
              <w:jc w:val="center"/>
              <w:keepNext/>
            </w:pPr>
            <w:r>
              <w:rPr>
                <w:sz w:val="16"/>
                <w:szCs w:val="16"/>
              </w:rPr>
              <w:t xml:space="preserve">(0.015)</w:t>
            </w:r>
          </w:p>
        </w:tc>
        <w:tc>
          <w:tcPr>
            <w:tcW w:type="dxa" w:w="890"/>
          </w:tcPr>
          <w:p>
            <w:pPr>
              <w:pStyle w:val="Compact"/>
              <w:spacing w:before="20" w:after="20" w:line="240" w:lineRule="auto"/>
              <w:jc w:val="center"/>
              <w:keepNext/>
            </w:pPr>
            <w:r>
              <w:rPr>
                <w:sz w:val="16"/>
                <w:szCs w:val="16"/>
              </w:rPr>
              <w:t xml:space="preserve">&lt;0.001</w:t>
            </w:r>
          </w:p>
        </w:tc>
      </w:tr>
      <w:tr>
        <w:trPr>
          <w:cantSplit/>
        </w:trPr>
        <w:tc>
          <w:tcPr>
            <w:tcW w:type="dxa" w:w="1780"/>
          </w:tcPr>
          <w:p>
            <w:pPr>
              <w:pStyle w:val="Compact"/>
              <w:spacing w:before="20" w:after="20" w:line="240" w:lineRule="auto"/>
              <w:keepNext/>
            </w:pPr>
            <w:r>
              <w:rPr>
                <w:sz w:val="16"/>
                <w:szCs w:val="16"/>
              </w:rPr>
              <w:t xml:space="preserve">기술범위</w:t>
            </w:r>
          </w:p>
        </w:tc>
        <w:tc>
          <w:tcPr>
            <w:tcW w:type="dxa" w:w="970"/>
          </w:tcPr>
          <w:p>
            <w:pPr>
              <w:pStyle w:val="Compact"/>
              <w:spacing w:before="20" w:after="20" w:line="240" w:lineRule="auto"/>
              <w:jc w:val="center"/>
              <w:keepNext/>
            </w:pPr>
            <w:r>
              <w:rPr>
                <w:sz w:val="16"/>
                <w:szCs w:val="16"/>
              </w:rPr>
              <w:t xml:space="preserve">1.403***</w:t>
            </w:r>
          </w:p>
        </w:tc>
        <w:tc>
          <w:tcPr>
            <w:tcW w:type="dxa" w:w="1602"/>
          </w:tcPr>
          <w:p>
            <w:pPr>
              <w:pStyle w:val="Compact"/>
              <w:spacing w:before="20" w:after="20" w:line="240" w:lineRule="auto"/>
              <w:jc w:val="center"/>
              <w:keepNext/>
            </w:pPr>
            <w:r>
              <w:rPr>
                <w:sz w:val="16"/>
                <w:szCs w:val="16"/>
              </w:rPr>
              <w:t xml:space="preserve">(0.031)</w:t>
            </w:r>
          </w:p>
        </w:tc>
        <w:tc>
          <w:tcPr>
            <w:tcW w:type="dxa" w:w="890"/>
          </w:tcPr>
          <w:p>
            <w:pPr>
              <w:pStyle w:val="Compact"/>
              <w:spacing w:before="20" w:after="20" w:line="240" w:lineRule="auto"/>
              <w:jc w:val="center"/>
              <w:keepNext/>
            </w:pPr>
            <w:r>
              <w:rPr>
                <w:sz w:val="16"/>
                <w:szCs w:val="16"/>
              </w:rPr>
              <w:t xml:space="preserve">&lt;0.001</w:t>
            </w:r>
          </w:p>
        </w:tc>
        <w:tc>
          <w:tcPr>
            <w:tcW w:type="dxa" w:w="1335"/>
          </w:tcPr>
          <w:p>
            <w:pPr>
              <w:pStyle w:val="Compact"/>
              <w:spacing w:before="20" w:after="20" w:line="240" w:lineRule="auto"/>
              <w:jc w:val="center"/>
              <w:keepNext/>
            </w:pPr>
            <w:r>
              <w:rPr>
                <w:sz w:val="16"/>
                <w:szCs w:val="16"/>
              </w:rPr>
              <w:t xml:space="preserve">0.905**</w:t>
            </w:r>
          </w:p>
        </w:tc>
        <w:tc>
          <w:tcPr>
            <w:tcW w:type="dxa" w:w="1602"/>
          </w:tcPr>
          <w:p>
            <w:pPr>
              <w:pStyle w:val="Compact"/>
              <w:spacing w:before="20" w:after="20" w:line="240" w:lineRule="auto"/>
              <w:jc w:val="center"/>
              <w:keepNext/>
            </w:pPr>
            <w:r>
              <w:rPr>
                <w:sz w:val="16"/>
                <w:szCs w:val="16"/>
              </w:rPr>
              <w:t xml:space="preserve">(0.048)</w:t>
            </w:r>
          </w:p>
        </w:tc>
        <w:tc>
          <w:tcPr>
            <w:tcW w:type="dxa" w:w="890"/>
          </w:tcPr>
          <w:p>
            <w:pPr>
              <w:pStyle w:val="Compact"/>
              <w:spacing w:before="20" w:after="20" w:line="240" w:lineRule="auto"/>
              <w:jc w:val="center"/>
              <w:keepNext/>
            </w:pPr>
            <w:r>
              <w:rPr>
                <w:sz w:val="16"/>
                <w:szCs w:val="16"/>
              </w:rPr>
              <w:t xml:space="preserve">0.039</w:t>
            </w:r>
          </w:p>
        </w:tc>
      </w:tr>
      <w:tr>
        <w:trPr>
          <w:cantSplit/>
        </w:trPr>
        <w:tc>
          <w:tcPr>
            <w:tcW w:type="dxa" w:w="1780"/>
          </w:tcPr>
          <w:p>
            <w:pPr>
              <w:pStyle w:val="Compact"/>
              <w:spacing w:before="20" w:after="20" w:line="240" w:lineRule="auto"/>
              <w:keepNext/>
            </w:pPr>
            <w:r>
              <w:rPr>
                <w:sz w:val="16"/>
                <w:szCs w:val="16"/>
              </w:rPr>
              <w:t xml:space="preserve">중국(CN)</w:t>
            </w:r>
          </w:p>
        </w:tc>
        <w:tc>
          <w:tcPr>
            <w:tcW w:type="dxa" w:w="970"/>
          </w:tcPr>
          <w:p>
            <w:pPr>
              <w:pStyle w:val="Compact"/>
              <w:spacing w:before="20" w:after="20" w:line="240" w:lineRule="auto"/>
              <w:jc w:val="center"/>
              <w:keepNext/>
            </w:pPr>
            <w:r>
              <w:rPr>
                <w:sz w:val="16"/>
                <w:szCs w:val="16"/>
              </w:rPr>
              <w:t xml:space="preserve">1.205</w:t>
            </w:r>
          </w:p>
        </w:tc>
        <w:tc>
          <w:tcPr>
            <w:tcW w:type="dxa" w:w="1602"/>
          </w:tcPr>
          <w:p>
            <w:pPr>
              <w:pStyle w:val="Compact"/>
              <w:spacing w:before="20" w:after="20" w:line="240" w:lineRule="auto"/>
              <w:jc w:val="center"/>
              <w:keepNext/>
            </w:pPr>
            <w:r>
              <w:rPr>
                <w:sz w:val="16"/>
                <w:szCs w:val="16"/>
              </w:rPr>
              <w:t xml:space="preserve">(0.233)</w:t>
            </w:r>
          </w:p>
        </w:tc>
        <w:tc>
          <w:tcPr>
            <w:tcW w:type="dxa" w:w="890"/>
          </w:tcPr>
          <w:p>
            <w:pPr>
              <w:pStyle w:val="Compact"/>
              <w:spacing w:before="20" w:after="20" w:line="240" w:lineRule="auto"/>
              <w:jc w:val="center"/>
              <w:keepNext/>
            </w:pPr>
            <w:r>
              <w:rPr>
                <w:sz w:val="16"/>
                <w:szCs w:val="16"/>
              </w:rPr>
              <w:t xml:space="preserve">0.423</w:t>
            </w:r>
          </w:p>
        </w:tc>
        <w:tc>
          <w:tcPr>
            <w:tcW w:type="dxa" w:w="1335"/>
          </w:tcPr>
          <w:p>
            <w:pPr>
              <w:pStyle w:val="Compact"/>
              <w:spacing w:before="20" w:after="20" w:line="240" w:lineRule="auto"/>
              <w:jc w:val="center"/>
              <w:keepNext/>
            </w:pPr>
            <w:r>
              <w:rPr>
                <w:sz w:val="16"/>
                <w:szCs w:val="16"/>
              </w:rPr>
              <w:t xml:space="preserve">2.687***</w:t>
            </w:r>
          </w:p>
        </w:tc>
        <w:tc>
          <w:tcPr>
            <w:tcW w:type="dxa" w:w="1602"/>
          </w:tcPr>
          <w:p>
            <w:pPr>
              <w:pStyle w:val="Compact"/>
              <w:spacing w:before="20" w:after="20" w:line="240" w:lineRule="auto"/>
              <w:jc w:val="center"/>
              <w:keepNext/>
            </w:pPr>
            <w:r>
              <w:rPr>
                <w:sz w:val="16"/>
                <w:szCs w:val="16"/>
              </w:rPr>
              <w:t xml:space="preserve">(0.276)</w:t>
            </w:r>
          </w:p>
        </w:tc>
        <w:tc>
          <w:tcPr>
            <w:tcW w:type="dxa" w:w="890"/>
          </w:tcPr>
          <w:p>
            <w:pPr>
              <w:pStyle w:val="Compact"/>
              <w:spacing w:before="20" w:after="20" w:line="240" w:lineRule="auto"/>
              <w:jc w:val="center"/>
              <w:keepNext/>
            </w:pPr>
            <w:r>
              <w:rPr>
                <w:sz w:val="16"/>
                <w:szCs w:val="16"/>
              </w:rPr>
              <w:t xml:space="preserve">&lt;0.001</w:t>
            </w:r>
          </w:p>
        </w:tc>
      </w:tr>
      <w:tr>
        <w:trPr>
          <w:cantSplit/>
        </w:trPr>
        <w:tc>
          <w:tcPr>
            <w:tcW w:type="dxa" w:w="1780"/>
          </w:tcPr>
          <w:p>
            <w:pPr>
              <w:pStyle w:val="Compact"/>
              <w:spacing w:before="20" w:after="20" w:line="240" w:lineRule="auto"/>
              <w:keepNext/>
            </w:pPr>
            <w:r>
              <w:rPr>
                <w:sz w:val="16"/>
                <w:szCs w:val="16"/>
              </w:rPr>
              <w:t xml:space="preserve">한국(KR)</w:t>
            </w:r>
          </w:p>
        </w:tc>
        <w:tc>
          <w:tcPr>
            <w:tcW w:type="dxa" w:w="970"/>
          </w:tcPr>
          <w:p>
            <w:pPr>
              <w:pStyle w:val="Compact"/>
              <w:spacing w:before="20" w:after="20" w:line="240" w:lineRule="auto"/>
              <w:jc w:val="center"/>
              <w:keepNext/>
            </w:pPr>
            <w:r>
              <w:rPr>
                <w:sz w:val="16"/>
                <w:szCs w:val="16"/>
              </w:rPr>
              <w:t xml:space="preserve">1.166</w:t>
            </w:r>
          </w:p>
        </w:tc>
        <w:tc>
          <w:tcPr>
            <w:tcW w:type="dxa" w:w="1602"/>
          </w:tcPr>
          <w:p>
            <w:pPr>
              <w:pStyle w:val="Compact"/>
              <w:spacing w:before="20" w:after="20" w:line="240" w:lineRule="auto"/>
              <w:jc w:val="center"/>
              <w:keepNext/>
            </w:pPr>
            <w:r>
              <w:rPr>
                <w:sz w:val="16"/>
                <w:szCs w:val="16"/>
              </w:rPr>
              <w:t xml:space="preserve">(0.381)</w:t>
            </w:r>
          </w:p>
        </w:tc>
        <w:tc>
          <w:tcPr>
            <w:tcW w:type="dxa" w:w="890"/>
          </w:tcPr>
          <w:p>
            <w:pPr>
              <w:pStyle w:val="Compact"/>
              <w:spacing w:before="20" w:after="20" w:line="240" w:lineRule="auto"/>
              <w:jc w:val="center"/>
              <w:keepNext/>
            </w:pPr>
            <w:r>
              <w:rPr>
                <w:sz w:val="16"/>
                <w:szCs w:val="16"/>
              </w:rPr>
              <w:t xml:space="preserve">0.687</w:t>
            </w:r>
          </w:p>
        </w:tc>
        <w:tc>
          <w:tcPr>
            <w:tcW w:type="dxa" w:w="1335"/>
          </w:tcPr>
          <w:p>
            <w:pPr>
              <w:pStyle w:val="Compact"/>
              <w:spacing w:before="20" w:after="20" w:line="240" w:lineRule="auto"/>
              <w:jc w:val="center"/>
              <w:keepNext/>
            </w:pPr>
            <w:r>
              <w:rPr>
                <w:sz w:val="16"/>
                <w:szCs w:val="16"/>
              </w:rPr>
              <w:t xml:space="preserve">1.906</w:t>
            </w:r>
          </w:p>
        </w:tc>
        <w:tc>
          <w:tcPr>
            <w:tcW w:type="dxa" w:w="1602"/>
          </w:tcPr>
          <w:p>
            <w:pPr>
              <w:pStyle w:val="Compact"/>
              <w:spacing w:before="20" w:after="20" w:line="240" w:lineRule="auto"/>
              <w:jc w:val="center"/>
              <w:keepNext/>
            </w:pPr>
            <w:r>
              <w:rPr>
                <w:sz w:val="16"/>
                <w:szCs w:val="16"/>
              </w:rPr>
              <w:t xml:space="preserve">(0.419)</w:t>
            </w:r>
          </w:p>
        </w:tc>
        <w:tc>
          <w:tcPr>
            <w:tcW w:type="dxa" w:w="890"/>
          </w:tcPr>
          <w:p>
            <w:pPr>
              <w:pStyle w:val="Compact"/>
              <w:spacing w:before="20" w:after="20" w:line="240" w:lineRule="auto"/>
              <w:jc w:val="center"/>
              <w:keepNext/>
            </w:pPr>
            <w:r>
              <w:rPr>
                <w:sz w:val="16"/>
                <w:szCs w:val="16"/>
              </w:rPr>
              <w:t xml:space="preserve">0.124</w:t>
            </w:r>
          </w:p>
        </w:tc>
      </w:tr>
      <w:tr>
        <w:trPr>
          <w:cantSplit/>
        </w:trPr>
        <w:tc>
          <w:tcPr>
            <w:tcW w:type="dxa" w:w="1780"/>
          </w:tcPr>
          <w:p>
            <w:pPr>
              <w:pStyle w:val="Compact"/>
              <w:spacing w:before="20" w:after="20" w:line="240" w:lineRule="auto"/>
              <w:keepNext/>
            </w:pPr>
            <w:r>
              <w:rPr>
                <w:sz w:val="16"/>
                <w:szCs w:val="16"/>
              </w:rPr>
              <w:t xml:space="preserve">대만(TW)</w:t>
            </w:r>
          </w:p>
        </w:tc>
        <w:tc>
          <w:tcPr>
            <w:tcW w:type="dxa" w:w="970"/>
          </w:tcPr>
          <w:p>
            <w:pPr>
              <w:pStyle w:val="Compact"/>
              <w:spacing w:before="20" w:after="20" w:line="240" w:lineRule="auto"/>
              <w:jc w:val="center"/>
              <w:keepNext/>
            </w:pPr>
            <w:r>
              <w:rPr>
                <w:sz w:val="16"/>
                <w:szCs w:val="16"/>
              </w:rPr>
              <w:t xml:space="preserve">1.312</w:t>
            </w:r>
          </w:p>
        </w:tc>
        <w:tc>
          <w:tcPr>
            <w:tcW w:type="dxa" w:w="1602"/>
          </w:tcPr>
          <w:p>
            <w:pPr>
              <w:pStyle w:val="Compact"/>
              <w:spacing w:before="20" w:after="20" w:line="240" w:lineRule="auto"/>
              <w:jc w:val="center"/>
              <w:keepNext/>
            </w:pPr>
            <w:r>
              <w:rPr>
                <w:sz w:val="16"/>
                <w:szCs w:val="16"/>
              </w:rPr>
              <w:t xml:space="preserve">(0.322)</w:t>
            </w:r>
          </w:p>
        </w:tc>
        <w:tc>
          <w:tcPr>
            <w:tcW w:type="dxa" w:w="890"/>
          </w:tcPr>
          <w:p>
            <w:pPr>
              <w:pStyle w:val="Compact"/>
              <w:spacing w:before="20" w:after="20" w:line="240" w:lineRule="auto"/>
              <w:jc w:val="center"/>
              <w:keepNext/>
            </w:pPr>
            <w:r>
              <w:rPr>
                <w:sz w:val="16"/>
                <w:szCs w:val="16"/>
              </w:rPr>
              <w:t xml:space="preserve">0.399</w:t>
            </w:r>
          </w:p>
        </w:tc>
        <w:tc>
          <w:tcPr>
            <w:tcW w:type="dxa" w:w="1335"/>
          </w:tcPr>
          <w:p>
            <w:pPr>
              <w:pStyle w:val="Compact"/>
              <w:spacing w:before="20" w:after="20" w:line="240" w:lineRule="auto"/>
              <w:jc w:val="center"/>
              <w:keepNext/>
            </w:pPr>
            <w:r>
              <w:rPr>
                <w:sz w:val="16"/>
                <w:szCs w:val="16"/>
              </w:rPr>
              <w:t xml:space="preserve">2.102*</w:t>
            </w:r>
          </w:p>
        </w:tc>
        <w:tc>
          <w:tcPr>
            <w:tcW w:type="dxa" w:w="1602"/>
          </w:tcPr>
          <w:p>
            <w:pPr>
              <w:pStyle w:val="Compact"/>
              <w:spacing w:before="20" w:after="20" w:line="240" w:lineRule="auto"/>
              <w:jc w:val="center"/>
              <w:keepNext/>
            </w:pPr>
            <w:r>
              <w:rPr>
                <w:sz w:val="16"/>
                <w:szCs w:val="16"/>
              </w:rPr>
              <w:t xml:space="preserve">(0.407)</w:t>
            </w:r>
          </w:p>
        </w:tc>
        <w:tc>
          <w:tcPr>
            <w:tcW w:type="dxa" w:w="890"/>
          </w:tcPr>
          <w:p>
            <w:pPr>
              <w:pStyle w:val="Compact"/>
              <w:spacing w:before="20" w:after="20" w:line="240" w:lineRule="auto"/>
              <w:jc w:val="center"/>
              <w:keepNext/>
            </w:pPr>
            <w:r>
              <w:rPr>
                <w:sz w:val="16"/>
                <w:szCs w:val="16"/>
              </w:rPr>
              <w:t xml:space="preserve">0.068</w:t>
            </w:r>
          </w:p>
        </w:tc>
      </w:tr>
      <w:tr>
        <w:trPr>
          <w:cantSplit/>
        </w:trPr>
        <w:tc>
          <w:tcPr>
            <w:tcW w:type="dxa" w:w="1780"/>
          </w:tcPr>
          <w:p>
            <w:pPr>
              <w:pStyle w:val="Compact"/>
              <w:spacing w:before="20" w:after="20" w:line="240" w:lineRule="auto"/>
              <w:keepNext/>
            </w:pPr>
            <w:r>
              <w:rPr>
                <w:sz w:val="16"/>
                <w:szCs w:val="16"/>
              </w:rPr>
              <w:t xml:space="preserve">일본(JP)</w:t>
            </w:r>
          </w:p>
        </w:tc>
        <w:tc>
          <w:tcPr>
            <w:tcW w:type="dxa" w:w="970"/>
          </w:tcPr>
          <w:p>
            <w:pPr>
              <w:pStyle w:val="Compact"/>
              <w:spacing w:before="20" w:after="20" w:line="240" w:lineRule="auto"/>
              <w:jc w:val="center"/>
              <w:keepNext/>
            </w:pPr>
            <w:r>
              <w:rPr>
                <w:sz w:val="16"/>
                <w:szCs w:val="16"/>
              </w:rPr>
              <w:t xml:space="preserve">1.046</w:t>
            </w:r>
          </w:p>
        </w:tc>
        <w:tc>
          <w:tcPr>
            <w:tcW w:type="dxa" w:w="1602"/>
          </w:tcPr>
          <w:p>
            <w:pPr>
              <w:pStyle w:val="Compact"/>
              <w:spacing w:before="20" w:after="20" w:line="240" w:lineRule="auto"/>
              <w:jc w:val="center"/>
              <w:keepNext/>
            </w:pPr>
            <w:r>
              <w:rPr>
                <w:sz w:val="16"/>
                <w:szCs w:val="16"/>
              </w:rPr>
              <w:t xml:space="preserve">(0.557)</w:t>
            </w:r>
          </w:p>
        </w:tc>
        <w:tc>
          <w:tcPr>
            <w:tcW w:type="dxa" w:w="890"/>
          </w:tcPr>
          <w:p>
            <w:pPr>
              <w:pStyle w:val="Compact"/>
              <w:spacing w:before="20" w:after="20" w:line="240" w:lineRule="auto"/>
              <w:jc w:val="center"/>
              <w:keepNext/>
            </w:pPr>
            <w:r>
              <w:rPr>
                <w:sz w:val="16"/>
                <w:szCs w:val="16"/>
              </w:rPr>
              <w:t xml:space="preserve">0.935</w:t>
            </w:r>
          </w:p>
        </w:tc>
        <w:tc>
          <w:tcPr>
            <w:tcW w:type="dxa" w:w="1335"/>
          </w:tcPr>
          <w:p>
            <w:pPr>
              <w:pStyle w:val="Compact"/>
              <w:spacing w:before="20" w:after="20" w:line="240" w:lineRule="auto"/>
              <w:jc w:val="center"/>
              <w:keepNext/>
            </w:pPr>
            <w:r>
              <w:rPr>
                <w:sz w:val="16"/>
                <w:szCs w:val="16"/>
              </w:rPr>
              <w:t xml:space="preserve">0.086***</w:t>
            </w:r>
          </w:p>
        </w:tc>
        <w:tc>
          <w:tcPr>
            <w:tcW w:type="dxa" w:w="1602"/>
          </w:tcPr>
          <w:p>
            <w:pPr>
              <w:pStyle w:val="Compact"/>
              <w:spacing w:before="20" w:after="20" w:line="240" w:lineRule="auto"/>
              <w:jc w:val="center"/>
              <w:keepNext/>
            </w:pPr>
            <w:r>
              <w:rPr>
                <w:sz w:val="16"/>
                <w:szCs w:val="16"/>
              </w:rPr>
              <w:t xml:space="preserve">(0.816)</w:t>
            </w:r>
          </w:p>
        </w:tc>
        <w:tc>
          <w:tcPr>
            <w:tcW w:type="dxa" w:w="890"/>
          </w:tcPr>
          <w:p>
            <w:pPr>
              <w:pStyle w:val="Compact"/>
              <w:spacing w:before="20" w:after="20" w:line="240" w:lineRule="auto"/>
              <w:jc w:val="center"/>
              <w:keepNext/>
            </w:pPr>
            <w:r>
              <w:rPr>
                <w:sz w:val="16"/>
                <w:szCs w:val="16"/>
              </w:rPr>
              <w:t xml:space="preserve">0.003</w:t>
            </w:r>
          </w:p>
        </w:tc>
      </w:tr>
      <w:tr>
        <w:trPr>
          <w:cantSplit/>
        </w:trPr>
        <w:tc>
          <w:tcPr>
            <w:tcW w:type="dxa" w:w="1780"/>
          </w:tcPr>
          <w:p>
            <w:pPr>
              <w:pStyle w:val="Compact"/>
              <w:spacing w:before="20" w:after="20" w:line="240" w:lineRule="auto"/>
              <w:keepNext/>
            </w:pPr>
            <w:r>
              <w:rPr>
                <w:sz w:val="16"/>
                <w:szCs w:val="16"/>
              </w:rPr>
              <w:t xml:space="preserve">EPO(EP)</w:t>
            </w:r>
          </w:p>
        </w:tc>
        <w:tc>
          <w:tcPr>
            <w:tcW w:type="dxa" w:w="970"/>
          </w:tcPr>
          <w:p>
            <w:pPr>
              <w:pStyle w:val="Compact"/>
              <w:spacing w:before="20" w:after="20" w:line="240" w:lineRule="auto"/>
              <w:jc w:val="center"/>
              <w:keepNext/>
            </w:pPr>
            <w:r>
              <w:rPr>
                <w:sz w:val="16"/>
                <w:szCs w:val="16"/>
              </w:rPr>
              <w:t xml:space="preserve">1.307</w:t>
            </w:r>
          </w:p>
        </w:tc>
        <w:tc>
          <w:tcPr>
            <w:tcW w:type="dxa" w:w="1602"/>
          </w:tcPr>
          <w:p>
            <w:pPr>
              <w:pStyle w:val="Compact"/>
              <w:spacing w:before="20" w:after="20" w:line="240" w:lineRule="auto"/>
              <w:jc w:val="center"/>
              <w:keepNext/>
            </w:pPr>
            <w:r>
              <w:rPr>
                <w:sz w:val="16"/>
                <w:szCs w:val="16"/>
              </w:rPr>
              <w:t xml:space="preserve">(0.291)</w:t>
            </w:r>
          </w:p>
        </w:tc>
        <w:tc>
          <w:tcPr>
            <w:tcW w:type="dxa" w:w="890"/>
          </w:tcPr>
          <w:p>
            <w:pPr>
              <w:pStyle w:val="Compact"/>
              <w:spacing w:before="20" w:after="20" w:line="240" w:lineRule="auto"/>
              <w:jc w:val="center"/>
              <w:keepNext/>
            </w:pPr>
            <w:r>
              <w:rPr>
                <w:sz w:val="16"/>
                <w:szCs w:val="16"/>
              </w:rPr>
              <w:t xml:space="preserve">0.358</w:t>
            </w:r>
          </w:p>
        </w:tc>
        <w:tc>
          <w:tcPr>
            <w:tcW w:type="dxa" w:w="1335"/>
          </w:tcPr>
          <w:p>
            <w:pPr>
              <w:pStyle w:val="Compact"/>
              <w:spacing w:before="20" w:after="20" w:line="240" w:lineRule="auto"/>
              <w:jc w:val="center"/>
              <w:keepNext/>
            </w:pPr>
            <w:r>
              <w:rPr>
                <w:sz w:val="16"/>
                <w:szCs w:val="16"/>
              </w:rPr>
              <w:t xml:space="preserve">0.858</w:t>
            </w:r>
          </w:p>
        </w:tc>
        <w:tc>
          <w:tcPr>
            <w:tcW w:type="dxa" w:w="1602"/>
          </w:tcPr>
          <w:p>
            <w:pPr>
              <w:pStyle w:val="Compact"/>
              <w:spacing w:before="20" w:after="20" w:line="240" w:lineRule="auto"/>
              <w:jc w:val="center"/>
              <w:keepNext/>
            </w:pPr>
            <w:r>
              <w:rPr>
                <w:sz w:val="16"/>
                <w:szCs w:val="16"/>
              </w:rPr>
              <w:t xml:space="preserve">(0.438)</w:t>
            </w:r>
          </w:p>
        </w:tc>
        <w:tc>
          <w:tcPr>
            <w:tcW w:type="dxa" w:w="890"/>
          </w:tcPr>
          <w:p>
            <w:pPr>
              <w:pStyle w:val="Compact"/>
              <w:spacing w:before="20" w:after="20" w:line="240" w:lineRule="auto"/>
              <w:jc w:val="center"/>
              <w:keepNext/>
            </w:pPr>
            <w:r>
              <w:rPr>
                <w:sz w:val="16"/>
                <w:szCs w:val="16"/>
              </w:rPr>
              <w:t xml:space="preserve">0.726</w:t>
            </w:r>
          </w:p>
        </w:tc>
      </w:tr>
      <w:tr>
        <w:trPr>
          <w:cantSplit/>
        </w:trPr>
        <w:tc>
          <w:tcPr>
            <w:tcW w:type="dxa" w:w="1780"/>
          </w:tcPr>
          <w:p>
            <w:pPr>
              <w:pStyle w:val="Compact"/>
              <w:spacing w:before="20" w:after="20" w:line="240" w:lineRule="auto"/>
              <w:keepNext/>
            </w:pPr>
            <w:r>
              <w:rPr>
                <w:sz w:val="16"/>
                <w:szCs w:val="16"/>
              </w:rPr>
              <w:t xml:space="preserve">PCT(WO)</w:t>
            </w:r>
          </w:p>
        </w:tc>
        <w:tc>
          <w:tcPr>
            <w:tcW w:type="dxa" w:w="970"/>
          </w:tcPr>
          <w:p>
            <w:pPr>
              <w:pStyle w:val="Compact"/>
              <w:spacing w:before="20" w:after="20" w:line="240" w:lineRule="auto"/>
              <w:jc w:val="center"/>
              <w:keepNext/>
            </w:pPr>
            <w:r>
              <w:rPr>
                <w:sz w:val="16"/>
                <w:szCs w:val="16"/>
              </w:rPr>
              <w:t xml:space="preserve">1.126</w:t>
            </w:r>
          </w:p>
        </w:tc>
        <w:tc>
          <w:tcPr>
            <w:tcW w:type="dxa" w:w="1602"/>
          </w:tcPr>
          <w:p>
            <w:pPr>
              <w:pStyle w:val="Compact"/>
              <w:spacing w:before="20" w:after="20" w:line="240" w:lineRule="auto"/>
              <w:jc w:val="center"/>
              <w:keepNext/>
            </w:pPr>
            <w:r>
              <w:rPr>
                <w:sz w:val="16"/>
                <w:szCs w:val="16"/>
              </w:rPr>
              <w:t xml:space="preserve">(0.268)</w:t>
            </w:r>
          </w:p>
        </w:tc>
        <w:tc>
          <w:tcPr>
            <w:tcW w:type="dxa" w:w="890"/>
          </w:tcPr>
          <w:p>
            <w:pPr>
              <w:pStyle w:val="Compact"/>
              <w:spacing w:before="20" w:after="20" w:line="240" w:lineRule="auto"/>
              <w:jc w:val="center"/>
              <w:keepNext/>
            </w:pPr>
            <w:r>
              <w:rPr>
                <w:sz w:val="16"/>
                <w:szCs w:val="16"/>
              </w:rPr>
              <w:t xml:space="preserve">0.659</w:t>
            </w:r>
          </w:p>
        </w:tc>
        <w:tc>
          <w:tcPr>
            <w:tcW w:type="dxa" w:w="1335"/>
          </w:tcPr>
          <w:p>
            <w:pPr>
              <w:pStyle w:val="Compact"/>
              <w:spacing w:before="20" w:after="20" w:line="240" w:lineRule="auto"/>
              <w:jc w:val="center"/>
              <w:keepNext/>
            </w:pPr>
            <w:r>
              <w:rPr>
                <w:sz w:val="16"/>
                <w:szCs w:val="16"/>
              </w:rPr>
              <w:t xml:space="preserve">1.997**</w:t>
            </w:r>
          </w:p>
        </w:tc>
        <w:tc>
          <w:tcPr>
            <w:tcW w:type="dxa" w:w="1602"/>
          </w:tcPr>
          <w:p>
            <w:pPr>
              <w:pStyle w:val="Compact"/>
              <w:spacing w:before="20" w:after="20" w:line="240" w:lineRule="auto"/>
              <w:jc w:val="center"/>
              <w:keepNext/>
            </w:pPr>
            <w:r>
              <w:rPr>
                <w:sz w:val="16"/>
                <w:szCs w:val="16"/>
              </w:rPr>
              <w:t xml:space="preserve">(0.323)</w:t>
            </w:r>
          </w:p>
        </w:tc>
        <w:tc>
          <w:tcPr>
            <w:tcW w:type="dxa" w:w="890"/>
          </w:tcPr>
          <w:p>
            <w:pPr>
              <w:pStyle w:val="Compact"/>
              <w:spacing w:before="20" w:after="20" w:line="240" w:lineRule="auto"/>
              <w:jc w:val="center"/>
              <w:keepNext/>
            </w:pPr>
            <w:r>
              <w:rPr>
                <w:sz w:val="16"/>
                <w:szCs w:val="16"/>
              </w:rPr>
              <w:t xml:space="preserve">0.032</w:t>
            </w:r>
          </w:p>
        </w:tc>
      </w:tr>
      <w:tr>
        <w:trPr>
          <w:cantSplit/>
        </w:trPr>
        <w:tc>
          <w:tcPr>
            <w:tcW w:type="dxa" w:w="1780"/>
          </w:tcPr>
          <w:p>
            <w:pPr>
              <w:pStyle w:val="Compact"/>
              <w:spacing w:before="20" w:after="20" w:line="240" w:lineRule="auto"/>
              <w:keepNext/>
            </w:pPr>
            <w:r>
              <w:rPr>
                <w:sz w:val="16"/>
                <w:szCs w:val="16"/>
              </w:rPr>
              <w:t xml:space="preserve">기타</w:t>
            </w:r>
          </w:p>
        </w:tc>
        <w:tc>
          <w:tcPr>
            <w:tcW w:type="dxa" w:w="970"/>
          </w:tcPr>
          <w:p>
            <w:pPr>
              <w:pStyle w:val="Compact"/>
              <w:spacing w:before="20" w:after="20" w:line="240" w:lineRule="auto"/>
              <w:jc w:val="center"/>
              <w:keepNext/>
            </w:pPr>
            <w:r>
              <w:rPr>
                <w:sz w:val="16"/>
                <w:szCs w:val="16"/>
              </w:rPr>
              <w:t xml:space="preserve">2.326</w:t>
            </w:r>
          </w:p>
        </w:tc>
        <w:tc>
          <w:tcPr>
            <w:tcW w:type="dxa" w:w="1602"/>
          </w:tcPr>
          <w:p>
            <w:pPr>
              <w:pStyle w:val="Compact"/>
              <w:spacing w:before="20" w:after="20" w:line="240" w:lineRule="auto"/>
              <w:jc w:val="center"/>
              <w:keepNext/>
            </w:pPr>
            <w:r>
              <w:rPr>
                <w:sz w:val="16"/>
                <w:szCs w:val="16"/>
              </w:rPr>
              <w:t xml:space="preserve">(0.681)</w:t>
            </w:r>
          </w:p>
        </w:tc>
        <w:tc>
          <w:tcPr>
            <w:tcW w:type="dxa" w:w="890"/>
          </w:tcPr>
          <w:p>
            <w:pPr>
              <w:pStyle w:val="Compact"/>
              <w:spacing w:before="20" w:after="20" w:line="240" w:lineRule="auto"/>
              <w:jc w:val="center"/>
              <w:keepNext/>
            </w:pPr>
            <w:r>
              <w:rPr>
                <w:sz w:val="16"/>
                <w:szCs w:val="16"/>
              </w:rPr>
              <w:t xml:space="preserve">0.215</w:t>
            </w:r>
          </w:p>
        </w:tc>
        <w:tc>
          <w:tcPr>
            <w:tcW w:type="dxa" w:w="1335"/>
          </w:tcPr>
          <w:p>
            <w:pPr>
              <w:pStyle w:val="Compact"/>
              <w:spacing w:before="20" w:after="20" w:line="240" w:lineRule="auto"/>
              <w:jc w:val="center"/>
              <w:keepNext/>
            </w:pPr>
            <w:r>
              <w:rPr>
                <w:sz w:val="16"/>
                <w:szCs w:val="16"/>
              </w:rPr>
              <w:t xml:space="preserve">1.901</w:t>
            </w:r>
          </w:p>
        </w:tc>
        <w:tc>
          <w:tcPr>
            <w:tcW w:type="dxa" w:w="1602"/>
          </w:tcPr>
          <w:p>
            <w:pPr>
              <w:pStyle w:val="Compact"/>
              <w:spacing w:before="20" w:after="20" w:line="240" w:lineRule="auto"/>
              <w:jc w:val="center"/>
              <w:keepNext/>
            </w:pPr>
            <w:r>
              <w:rPr>
                <w:sz w:val="16"/>
                <w:szCs w:val="16"/>
              </w:rPr>
              <w:t xml:space="preserve">(0.779)</w:t>
            </w:r>
          </w:p>
        </w:tc>
        <w:tc>
          <w:tcPr>
            <w:tcW w:type="dxa" w:w="890"/>
          </w:tcPr>
          <w:p>
            <w:pPr>
              <w:pStyle w:val="Compact"/>
              <w:spacing w:before="20" w:after="20" w:line="240" w:lineRule="auto"/>
              <w:jc w:val="center"/>
              <w:keepNext/>
            </w:pPr>
            <w:r>
              <w:rPr>
                <w:sz w:val="16"/>
                <w:szCs w:val="16"/>
              </w:rPr>
              <w:t xml:space="preserve">0.409</w:t>
            </w:r>
          </w:p>
        </w:tc>
      </w:tr>
    </w:tbl>
    <w:p>
      <w:pPr>
        <w:pStyle w:val="BodyText"/>
        <w:keepNext/>
      </w:pPr>
      <w:r>
        <w:drawing>
          <wp:inline>
            <wp:extent cx="5334000" cy="3048000"/>
            <wp:effectExtent b="0" l="0" r="0" t="0"/>
            <wp:docPr descr="" title="" id="38" name="Picture"/>
            <a:graphic>
              <a:graphicData uri="http://schemas.openxmlformats.org/drawingml/2006/picture">
                <pic:pic>
                  <pic:nvPicPr>
                    <pic:cNvPr descr="figures/fig6_predicted_process_only_ko.png" id="39" name="Picture"/>
                    <pic:cNvPicPr>
                      <a:picLocks noChangeArrowheads="1" noChangeAspect="1"/>
                    </pic:cNvPicPr>
                  </pic:nvPicPr>
                  <pic:blipFill>
                    <a:blip r:embed="rId37"/>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rPr>
          <w:b/>
          <w:bCs/>
        </w:rPr>
        <w:t xml:space="preserve">그림 5.</w:t>
      </w:r>
      <w:r>
        <w:t xml:space="preserve"> </w:t>
      </w:r>
      <w:r>
        <w:t xml:space="preserve">출원청별 공정 단독형의 평균 예측확률(다항 로짓; 다른 변수는 각 출원의 관측값에 둔 채 출원청만 바꾸어 표본 전체에서 평균한 값; 모수 추정치의 표본추출 분포에서 얻은 95% 신뢰구간; N = 928, 출원청별 N은 표 4. 일본(26건)과 기타(16건)는 구간이 넓어 해석하지 않는다).</w:t>
      </w:r>
    </w:p>
    <w:p>
      <w:pPr>
        <w:pStyle w:val="BodyText"/>
      </w:pPr>
      <w:r>
        <w:rPr>
          <w:b/>
          <w:bCs/>
        </w:rPr>
        <w:t xml:space="preserve">시기별 분포.</w:t>
      </w:r>
      <w:r>
        <w:t xml:space="preserve"> </w:t>
      </w:r>
      <w:r>
        <w:t xml:space="preserve">선형 연도 추세는 통합형 비중의 오르내림을 가린다. 표 8과 그림 6은 출원 집중도를 고려해 세 시기로 나눈 유형 분포다. 출원이 드문 1968–2014년을 한 시기로 묶고, 이후는 2015–2019년과 2020–2024년으로 나누었다. 공정 단독형의 비중은 2014년 이전 43.6%에서 2015–2019년 14.8%, 2020–2024년 10.4%로 계속 줄었다. 통합형은 31.3%에서 62.2%로 크게 늘었다가 44.3%로 낮아졌고, 조립 단독형은 25.1%와 23.0%에서 45.4%로 늘었다. 선형 연도 대신 기간 더미를 넣은 다항 로짓에서도 같은 그림이 나온다. 2014년 이전 대비 공정 단독형의 상대위험은 2015–2019년 0.273, 2020–2024년 0.101(모두 p &lt; 0.01)로 낮아지고, 통합형은 1.707(p = 0.09)로 올랐다가 0.762(비유의)로 내려온다. 2010년 이후 표본(N = 830)에서는 통합형의 연도 계수도 유의하게 음이다(RRR 0.934, p &lt; 0.05). 즉 공정 단독형의 감소는 전 기간에 걸쳐 일관되지만, 통합형은 2015–2019년에 정점을 찍고 최근에는 조립 단독형에 자리를 내주었다. 이 움직임은 가설로 예측한 것이 아니므로 제6.1절에서 탐색적 해석으로 다룬다.</w:t>
      </w:r>
    </w:p>
    <w:p>
      <w:pPr>
        <w:pStyle w:val="BodyText"/>
        <w:keepNext/>
      </w:pPr>
      <w:r>
        <w:rPr>
          <w:b/>
          <w:bCs/>
        </w:rPr>
        <w:t xml:space="preserve">표 8.</w:t>
      </w:r>
      <w:r>
        <w:t xml:space="preserve"> </w:t>
      </w:r>
      <w:r>
        <w:t xml:space="preserve">세 출원 시기별 공동분류 유형 분포(N = 928; 괄호 안은 행 비중; 첫 시기는 1968–2014년으로 이후 두 시기보다 길다).</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74"/>
        <w:gridCol w:w="1774"/>
        <w:gridCol w:w="1774"/>
        <w:gridCol w:w="1577"/>
        <w:gridCol w:w="591"/>
        <w:gridCol w:w="1577"/>
      </w:tblGrid>
      <w:tr>
        <w:trPr>
          <w:tblHeader w:val="on"/>
          <w:cantSplit/>
        </w:trPr>
        <w:tc>
          <w:tcPr>
            <w:tcW w:type="dxa" w:w="1774"/>
            <w:tcBorders>
              <w:bottom w:val="single" w:sz="4" w:space="0" w:color="000000"/>
            </w:tcBorders>
          </w:tcPr>
          <w:p>
            <w:pPr>
              <w:pStyle w:val="Compact"/>
              <w:spacing w:before="20" w:after="20" w:line="240" w:lineRule="auto"/>
              <w:keepNext/>
            </w:pPr>
            <w:r>
              <w:rPr>
                <w:sz w:val="17"/>
                <w:szCs w:val="17"/>
              </w:rPr>
              <w:t xml:space="preserve">출원 기간</w:t>
            </w:r>
          </w:p>
        </w:tc>
        <w:tc>
          <w:tcPr>
            <w:tcW w:type="dxa" w:w="1774"/>
            <w:tcBorders>
              <w:bottom w:val="single" w:sz="4" w:space="0" w:color="000000"/>
            </w:tcBorders>
          </w:tcPr>
          <w:p>
            <w:pPr>
              <w:pStyle w:val="Compact"/>
              <w:spacing w:before="20" w:after="20" w:line="240" w:lineRule="auto"/>
              <w:keepNext/>
            </w:pPr>
            <w:r>
              <w:rPr>
                <w:sz w:val="17"/>
                <w:szCs w:val="17"/>
              </w:rPr>
              <w:t xml:space="preserve">조립 단독형</w:t>
            </w:r>
          </w:p>
        </w:tc>
        <w:tc>
          <w:tcPr>
            <w:tcW w:type="dxa" w:w="1774"/>
            <w:tcBorders>
              <w:bottom w:val="single" w:sz="4" w:space="0" w:color="000000"/>
            </w:tcBorders>
          </w:tcPr>
          <w:p>
            <w:pPr>
              <w:pStyle w:val="Compact"/>
              <w:spacing w:before="20" w:after="20" w:line="240" w:lineRule="auto"/>
              <w:keepNext/>
            </w:pPr>
            <w:r>
              <w:rPr>
                <w:sz w:val="17"/>
                <w:szCs w:val="17"/>
              </w:rPr>
              <w:t xml:space="preserve">통합형</w:t>
            </w:r>
          </w:p>
        </w:tc>
        <w:tc>
          <w:tcPr>
            <w:tcW w:type="dxa" w:w="1577"/>
            <w:tcBorders>
              <w:bottom w:val="single" w:sz="4" w:space="0" w:color="000000"/>
            </w:tcBorders>
          </w:tcPr>
          <w:p>
            <w:pPr>
              <w:pStyle w:val="Compact"/>
              <w:spacing w:before="20" w:after="20" w:line="240" w:lineRule="auto"/>
              <w:keepNext/>
            </w:pPr>
            <w:r>
              <w:rPr>
                <w:sz w:val="17"/>
                <w:szCs w:val="17"/>
              </w:rPr>
              <w:t xml:space="preserve">공정 단독형</w:t>
            </w:r>
          </w:p>
        </w:tc>
        <w:tc>
          <w:tcPr>
            <w:tcW w:type="dxa" w:w="591"/>
            <w:tcBorders>
              <w:bottom w:val="single" w:sz="4" w:space="0" w:color="000000"/>
            </w:tcBorders>
          </w:tcPr>
          <w:p>
            <w:pPr>
              <w:pStyle w:val="Compact"/>
              <w:spacing w:before="20" w:after="20" w:line="240" w:lineRule="auto"/>
              <w:jc w:val="right"/>
              <w:keepNext/>
            </w:pPr>
            <w:r>
              <w:rPr>
                <w:sz w:val="17"/>
                <w:szCs w:val="17"/>
              </w:rPr>
              <w:t xml:space="preserve">N</w:t>
            </w:r>
          </w:p>
        </w:tc>
        <w:tc>
          <w:tcPr>
            <w:tcW w:type="dxa" w:w="1577"/>
            <w:tcBorders>
              <w:bottom w:val="single" w:sz="4" w:space="0" w:color="000000"/>
            </w:tcBorders>
          </w:tcPr>
          <w:p>
            <w:pPr>
              <w:pStyle w:val="Compact"/>
              <w:spacing w:before="20" w:after="20" w:line="240" w:lineRule="auto"/>
              <w:jc w:val="right"/>
              <w:keepNext/>
            </w:pPr>
            <w:r>
              <w:rPr>
                <w:sz w:val="17"/>
                <w:szCs w:val="17"/>
              </w:rPr>
              <w:t xml:space="preserve">제조공정 분류(%)</w:t>
            </w:r>
          </w:p>
        </w:tc>
      </w:tr>
      <w:tr>
        <w:trPr>
          <w:cantSplit/>
        </w:trPr>
        <w:tc>
          <w:tcPr>
            <w:tcW w:type="dxa" w:w="1774"/>
          </w:tcPr>
          <w:p>
            <w:pPr>
              <w:pStyle w:val="Compact"/>
              <w:spacing w:before="20" w:after="20" w:line="240" w:lineRule="auto"/>
              <w:keepNext/>
            </w:pPr>
            <w:r>
              <w:rPr>
                <w:sz w:val="17"/>
                <w:szCs w:val="17"/>
              </w:rPr>
              <w:t xml:space="preserve">–2014</w:t>
            </w:r>
          </w:p>
        </w:tc>
        <w:tc>
          <w:tcPr>
            <w:tcW w:type="dxa" w:w="1774"/>
          </w:tcPr>
          <w:p>
            <w:pPr>
              <w:pStyle w:val="Compact"/>
              <w:spacing w:before="20" w:after="20" w:line="240" w:lineRule="auto"/>
              <w:keepNext/>
            </w:pPr>
            <w:r>
              <w:rPr>
                <w:sz w:val="17"/>
                <w:szCs w:val="17"/>
              </w:rPr>
              <w:t xml:space="preserve">45 (25.1%)</w:t>
            </w:r>
          </w:p>
        </w:tc>
        <w:tc>
          <w:tcPr>
            <w:tcW w:type="dxa" w:w="1774"/>
          </w:tcPr>
          <w:p>
            <w:pPr>
              <w:pStyle w:val="Compact"/>
              <w:spacing w:before="20" w:after="20" w:line="240" w:lineRule="auto"/>
              <w:keepNext/>
            </w:pPr>
            <w:r>
              <w:rPr>
                <w:sz w:val="17"/>
                <w:szCs w:val="17"/>
              </w:rPr>
              <w:t xml:space="preserve">56 (31.3%)</w:t>
            </w:r>
          </w:p>
        </w:tc>
        <w:tc>
          <w:tcPr>
            <w:tcW w:type="dxa" w:w="1577"/>
          </w:tcPr>
          <w:p>
            <w:pPr>
              <w:pStyle w:val="Compact"/>
              <w:spacing w:before="20" w:after="20" w:line="240" w:lineRule="auto"/>
              <w:keepNext/>
            </w:pPr>
            <w:r>
              <w:rPr>
                <w:sz w:val="17"/>
                <w:szCs w:val="17"/>
              </w:rPr>
              <w:t xml:space="preserve">78 (43.6%)</w:t>
            </w:r>
          </w:p>
        </w:tc>
        <w:tc>
          <w:tcPr>
            <w:tcW w:type="dxa" w:w="591"/>
          </w:tcPr>
          <w:p>
            <w:pPr>
              <w:pStyle w:val="Compact"/>
              <w:spacing w:before="20" w:after="20" w:line="240" w:lineRule="auto"/>
              <w:jc w:val="right"/>
              <w:keepNext/>
            </w:pPr>
            <w:r>
              <w:rPr>
                <w:sz w:val="17"/>
                <w:szCs w:val="17"/>
              </w:rPr>
              <w:t xml:space="preserve">179</w:t>
            </w:r>
          </w:p>
        </w:tc>
        <w:tc>
          <w:tcPr>
            <w:tcW w:type="dxa" w:w="1577"/>
          </w:tcPr>
          <w:p>
            <w:pPr>
              <w:pStyle w:val="Compact"/>
              <w:spacing w:before="20" w:after="20" w:line="240" w:lineRule="auto"/>
              <w:jc w:val="right"/>
              <w:keepNext/>
            </w:pPr>
            <w:r>
              <w:rPr>
                <w:sz w:val="17"/>
                <w:szCs w:val="17"/>
              </w:rPr>
              <w:t xml:space="preserve">74.9</w:t>
            </w:r>
          </w:p>
        </w:tc>
      </w:tr>
      <w:tr>
        <w:trPr>
          <w:cantSplit/>
        </w:trPr>
        <w:tc>
          <w:tcPr>
            <w:tcW w:type="dxa" w:w="1774"/>
          </w:tcPr>
          <w:p>
            <w:pPr>
              <w:pStyle w:val="Compact"/>
              <w:spacing w:before="20" w:after="20" w:line="240" w:lineRule="auto"/>
              <w:keepNext/>
            </w:pPr>
            <w:r>
              <w:rPr>
                <w:sz w:val="17"/>
                <w:szCs w:val="17"/>
              </w:rPr>
              <w:t xml:space="preserve">2015–2019</w:t>
            </w:r>
          </w:p>
        </w:tc>
        <w:tc>
          <w:tcPr>
            <w:tcW w:type="dxa" w:w="1774"/>
          </w:tcPr>
          <w:p>
            <w:pPr>
              <w:pStyle w:val="Compact"/>
              <w:spacing w:before="20" w:after="20" w:line="240" w:lineRule="auto"/>
              <w:keepNext/>
            </w:pPr>
            <w:r>
              <w:rPr>
                <w:sz w:val="17"/>
                <w:szCs w:val="17"/>
              </w:rPr>
              <w:t xml:space="preserve">48 (23.0%)</w:t>
            </w:r>
          </w:p>
        </w:tc>
        <w:tc>
          <w:tcPr>
            <w:tcW w:type="dxa" w:w="1774"/>
          </w:tcPr>
          <w:p>
            <w:pPr>
              <w:pStyle w:val="Compact"/>
              <w:spacing w:before="20" w:after="20" w:line="240" w:lineRule="auto"/>
              <w:keepNext/>
            </w:pPr>
            <w:r>
              <w:rPr>
                <w:sz w:val="17"/>
                <w:szCs w:val="17"/>
              </w:rPr>
              <w:t xml:space="preserve">130 (62.2%)</w:t>
            </w:r>
          </w:p>
        </w:tc>
        <w:tc>
          <w:tcPr>
            <w:tcW w:type="dxa" w:w="1577"/>
          </w:tcPr>
          <w:p>
            <w:pPr>
              <w:pStyle w:val="Compact"/>
              <w:spacing w:before="20" w:after="20" w:line="240" w:lineRule="auto"/>
              <w:keepNext/>
            </w:pPr>
            <w:r>
              <w:rPr>
                <w:sz w:val="17"/>
                <w:szCs w:val="17"/>
              </w:rPr>
              <w:t xml:space="preserve">31 (14.8%)</w:t>
            </w:r>
          </w:p>
        </w:tc>
        <w:tc>
          <w:tcPr>
            <w:tcW w:type="dxa" w:w="591"/>
          </w:tcPr>
          <w:p>
            <w:pPr>
              <w:pStyle w:val="Compact"/>
              <w:spacing w:before="20" w:after="20" w:line="240" w:lineRule="auto"/>
              <w:jc w:val="right"/>
              <w:keepNext/>
            </w:pPr>
            <w:r>
              <w:rPr>
                <w:sz w:val="17"/>
                <w:szCs w:val="17"/>
              </w:rPr>
              <w:t xml:space="preserve">209</w:t>
            </w:r>
          </w:p>
        </w:tc>
        <w:tc>
          <w:tcPr>
            <w:tcW w:type="dxa" w:w="1577"/>
          </w:tcPr>
          <w:p>
            <w:pPr>
              <w:pStyle w:val="Compact"/>
              <w:spacing w:before="20" w:after="20" w:line="240" w:lineRule="auto"/>
              <w:jc w:val="right"/>
              <w:keepNext/>
            </w:pPr>
            <w:r>
              <w:rPr>
                <w:sz w:val="17"/>
                <w:szCs w:val="17"/>
              </w:rPr>
              <w:t xml:space="preserve">77.0</w:t>
            </w:r>
          </w:p>
        </w:tc>
      </w:tr>
      <w:tr>
        <w:trPr>
          <w:cantSplit/>
        </w:trPr>
        <w:tc>
          <w:tcPr>
            <w:tcW w:type="dxa" w:w="1774"/>
          </w:tcPr>
          <w:p>
            <w:pPr>
              <w:pStyle w:val="Compact"/>
              <w:spacing w:before="20" w:after="20" w:line="240" w:lineRule="auto"/>
              <w:keepNext/>
            </w:pPr>
            <w:r>
              <w:rPr>
                <w:sz w:val="17"/>
                <w:szCs w:val="17"/>
              </w:rPr>
              <w:t xml:space="preserve">2020–2024</w:t>
            </w:r>
          </w:p>
        </w:tc>
        <w:tc>
          <w:tcPr>
            <w:tcW w:type="dxa" w:w="1774"/>
          </w:tcPr>
          <w:p>
            <w:pPr>
              <w:pStyle w:val="Compact"/>
              <w:spacing w:before="20" w:after="20" w:line="240" w:lineRule="auto"/>
              <w:keepNext/>
            </w:pPr>
            <w:r>
              <w:rPr>
                <w:sz w:val="17"/>
                <w:szCs w:val="17"/>
              </w:rPr>
              <w:t xml:space="preserve">245 (45.4%)</w:t>
            </w:r>
          </w:p>
        </w:tc>
        <w:tc>
          <w:tcPr>
            <w:tcW w:type="dxa" w:w="1774"/>
          </w:tcPr>
          <w:p>
            <w:pPr>
              <w:pStyle w:val="Compact"/>
              <w:spacing w:before="20" w:after="20" w:line="240" w:lineRule="auto"/>
              <w:keepNext/>
            </w:pPr>
            <w:r>
              <w:rPr>
                <w:sz w:val="17"/>
                <w:szCs w:val="17"/>
              </w:rPr>
              <w:t xml:space="preserve">239 (44.3%)</w:t>
            </w:r>
          </w:p>
        </w:tc>
        <w:tc>
          <w:tcPr>
            <w:tcW w:type="dxa" w:w="1577"/>
          </w:tcPr>
          <w:p>
            <w:pPr>
              <w:pStyle w:val="Compact"/>
              <w:spacing w:before="20" w:after="20" w:line="240" w:lineRule="auto"/>
              <w:keepNext/>
            </w:pPr>
            <w:r>
              <w:rPr>
                <w:sz w:val="17"/>
                <w:szCs w:val="17"/>
              </w:rPr>
              <w:t xml:space="preserve">56 (10.4%)</w:t>
            </w:r>
          </w:p>
        </w:tc>
        <w:tc>
          <w:tcPr>
            <w:tcW w:type="dxa" w:w="591"/>
          </w:tcPr>
          <w:p>
            <w:pPr>
              <w:pStyle w:val="Compact"/>
              <w:spacing w:before="20" w:after="20" w:line="240" w:lineRule="auto"/>
              <w:jc w:val="right"/>
              <w:keepNext/>
            </w:pPr>
            <w:r>
              <w:rPr>
                <w:sz w:val="17"/>
                <w:szCs w:val="17"/>
              </w:rPr>
              <w:t xml:space="preserve">540</w:t>
            </w:r>
          </w:p>
        </w:tc>
        <w:tc>
          <w:tcPr>
            <w:tcW w:type="dxa" w:w="1577"/>
          </w:tcPr>
          <w:p>
            <w:pPr>
              <w:pStyle w:val="Compact"/>
              <w:spacing w:before="20" w:after="20" w:line="240" w:lineRule="auto"/>
              <w:jc w:val="right"/>
              <w:keepNext/>
            </w:pPr>
            <w:r>
              <w:rPr>
                <w:sz w:val="17"/>
                <w:szCs w:val="17"/>
              </w:rPr>
              <w:t xml:space="preserve">54.6</w:t>
            </w:r>
          </w:p>
        </w:tc>
      </w:tr>
    </w:tbl>
    <w:p>
      <w:pPr>
        <w:pStyle w:val="BodyText"/>
        <w:keepNext/>
      </w:pPr>
      <w:r>
        <w:drawing>
          <wp:inline>
            <wp:extent cx="5334000" cy="3200400"/>
            <wp:effectExtent b="0" l="0" r="0" t="0"/>
            <wp:docPr descr="" title="" id="41" name="Picture"/>
            <a:graphic>
              <a:graphicData uri="http://schemas.openxmlformats.org/drawingml/2006/picture">
                <pic:pic>
                  <pic:nvPicPr>
                    <pic:cNvPr descr="figures/fig7_period_shares_ko.png" id="42" name="Picture"/>
                    <pic:cNvPicPr>
                      <a:picLocks noChangeArrowheads="1" noChangeAspect="1"/>
                    </pic:cNvPicPr>
                  </pic:nvPicPr>
                  <pic:blipFill>
                    <a:blip r:embed="rId40"/>
                    <a:stretch>
                      <a:fillRect/>
                    </a:stretch>
                  </pic:blipFill>
                  <pic:spPr bwMode="auto">
                    <a:xfrm>
                      <a:off x="0" y="0"/>
                      <a:ext cx="5334000" cy="3200400"/>
                    </a:xfrm>
                    <a:prstGeom prst="rect">
                      <a:avLst/>
                    </a:prstGeom>
                    <a:noFill/>
                    <a:ln w="9525">
                      <a:noFill/>
                      <a:headEnd/>
                      <a:tailEnd/>
                    </a:ln>
                  </pic:spPr>
                </pic:pic>
              </a:graphicData>
            </a:graphic>
          </wp:inline>
        </w:drawing>
      </w:r>
    </w:p>
    <w:p>
      <w:pPr>
        <w:pStyle w:val="BodyText"/>
      </w:pPr>
      <w:r>
        <w:rPr>
          <w:b/>
          <w:bCs/>
        </w:rPr>
        <w:t xml:space="preserve">그림 6.</w:t>
      </w:r>
      <w:r>
        <w:t xml:space="preserve"> </w:t>
      </w:r>
      <w:r>
        <w:t xml:space="preserve">세 출원 시기별 공동분류 유형의 구성비(N = 928; 첫 시기는 1968–2014년으로 이후 두 시기보다 길다).</w:t>
      </w:r>
    </w:p>
    <w:bookmarkEnd w:id="43"/>
    <w:bookmarkStart w:id="44" w:name="강건성과-민감도-분석"/>
    <w:p>
      <w:pPr>
        <w:pStyle w:val="Heading3"/>
      </w:pPr>
      <w:r>
        <w:t xml:space="preserve">5.4 강건성과 민감도 분석</w:t>
      </w:r>
    </w:p>
    <w:p>
      <w:pPr>
        <w:pStyle w:val="FirstParagraph"/>
      </w:pPr>
      <w:r>
        <w:t xml:space="preserve">결과가 표본과 변수 정의에 따라 달라지는지 확인하기 위해 원자료에서 표본과 변수를 바꾸어 다시 추정하였다. 표 9는 핵심 계수를 비교하고, 전체 계수는 부록 B에 실었다.</w:t>
      </w:r>
    </w:p>
    <w:p>
      <w:pPr>
        <w:pStyle w:val="BodyText"/>
        <w:keepNext/>
      </w:pPr>
      <w:r>
        <w:rPr>
          <w:b/>
          <w:bCs/>
        </w:rPr>
        <w:t xml:space="preserve">표 9.</w:t>
      </w:r>
      <w:r>
        <w:t xml:space="preserve"> </w:t>
      </w:r>
      <w:r>
        <w:t xml:space="preserve">핵심 계수의 재추정 결과 비교(다항 로짓 RRR, 기준 범주 = 조립 단독형; 출원청 기준 = 미국; 마지막 열은 음이항 IRR; * p &lt; 0.10, ** p &lt; 0.05, *** p &lt; 0.01).</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959"/>
        <w:gridCol w:w="480"/>
        <w:gridCol w:w="1143"/>
        <w:gridCol w:w="1583"/>
        <w:gridCol w:w="1583"/>
        <w:gridCol w:w="1319"/>
      </w:tblGrid>
      <w:tr>
        <w:trPr>
          <w:tblHeader w:val="on"/>
          <w:cantSplit/>
        </w:trPr>
        <w:tc>
          <w:tcPr>
            <w:tcW w:type="dxa" w:w="2959"/>
            <w:tcBorders>
              <w:bottom w:val="single" w:sz="4" w:space="0" w:color="000000"/>
            </w:tcBorders>
          </w:tcPr>
          <w:p>
            <w:pPr>
              <w:pStyle w:val="Compact"/>
              <w:spacing w:before="20" w:after="20" w:line="240" w:lineRule="auto"/>
              <w:keepNext/>
            </w:pPr>
            <w:r>
              <w:rPr>
                <w:sz w:val="14"/>
                <w:szCs w:val="14"/>
              </w:rPr>
              <w:t xml:space="preserve">표본·변수</w:t>
            </w:r>
          </w:p>
        </w:tc>
        <w:tc>
          <w:tcPr>
            <w:tcW w:type="dxa" w:w="480"/>
            <w:tcBorders>
              <w:bottom w:val="single" w:sz="4" w:space="0" w:color="000000"/>
            </w:tcBorders>
          </w:tcPr>
          <w:p>
            <w:pPr>
              <w:pStyle w:val="Compact"/>
              <w:spacing w:before="20" w:after="20" w:line="240" w:lineRule="auto"/>
              <w:jc w:val="right"/>
              <w:keepNext/>
            </w:pPr>
            <w:r>
              <w:rPr>
                <w:sz w:val="14"/>
                <w:szCs w:val="14"/>
              </w:rPr>
              <w:t xml:space="preserve">N</w:t>
            </w:r>
          </w:p>
        </w:tc>
        <w:tc>
          <w:tcPr>
            <w:tcW w:type="dxa" w:w="1143"/>
            <w:tcBorders>
              <w:bottom w:val="single" w:sz="4" w:space="0" w:color="000000"/>
            </w:tcBorders>
          </w:tcPr>
          <w:p>
            <w:pPr>
              <w:pStyle w:val="Compact"/>
              <w:spacing w:before="20" w:after="20" w:line="240" w:lineRule="auto"/>
              <w:keepNext/>
            </w:pPr>
            <w:r>
              <w:rPr>
                <w:sz w:val="14"/>
                <w:szCs w:val="14"/>
              </w:rPr>
              <w:t xml:space="preserve">범위 → 통합형</w:t>
            </w:r>
          </w:p>
        </w:tc>
        <w:tc>
          <w:tcPr>
            <w:tcW w:type="dxa" w:w="1583"/>
            <w:tcBorders>
              <w:bottom w:val="single" w:sz="4" w:space="0" w:color="000000"/>
            </w:tcBorders>
          </w:tcPr>
          <w:p>
            <w:pPr>
              <w:pStyle w:val="Compact"/>
              <w:spacing w:before="20" w:after="20" w:line="240" w:lineRule="auto"/>
              <w:keepNext/>
            </w:pPr>
            <w:r>
              <w:rPr>
                <w:sz w:val="14"/>
                <w:szCs w:val="14"/>
              </w:rPr>
              <w:t xml:space="preserve">연도 → 공정 단독형</w:t>
            </w:r>
          </w:p>
        </w:tc>
        <w:tc>
          <w:tcPr>
            <w:tcW w:type="dxa" w:w="1583"/>
            <w:tcBorders>
              <w:bottom w:val="single" w:sz="4" w:space="0" w:color="000000"/>
            </w:tcBorders>
          </w:tcPr>
          <w:p>
            <w:pPr>
              <w:pStyle w:val="Compact"/>
              <w:spacing w:before="20" w:after="20" w:line="240" w:lineRule="auto"/>
              <w:keepNext/>
            </w:pPr>
            <w:r>
              <w:rPr>
                <w:sz w:val="14"/>
                <w:szCs w:val="14"/>
              </w:rPr>
              <w:t xml:space="preserve">중국 → 공정 단독형</w:t>
            </w:r>
          </w:p>
        </w:tc>
        <w:tc>
          <w:tcPr>
            <w:tcW w:type="dxa" w:w="1319"/>
            <w:tcBorders>
              <w:bottom w:val="single" w:sz="4" w:space="0" w:color="000000"/>
            </w:tcBorders>
          </w:tcPr>
          <w:p>
            <w:pPr>
              <w:pStyle w:val="Compact"/>
              <w:spacing w:before="20" w:after="20" w:line="240" w:lineRule="auto"/>
              <w:keepNext/>
            </w:pPr>
            <w:r>
              <w:rPr>
                <w:sz w:val="14"/>
                <w:szCs w:val="14"/>
              </w:rPr>
              <w:t xml:space="preserve">중국 → 범위(IRR)</w:t>
            </w:r>
          </w:p>
        </w:tc>
      </w:tr>
      <w:tr>
        <w:trPr>
          <w:cantSplit/>
        </w:trPr>
        <w:tc>
          <w:tcPr>
            <w:tcW w:type="dxa" w:w="2959"/>
          </w:tcPr>
          <w:p>
            <w:pPr>
              <w:pStyle w:val="Compact"/>
              <w:spacing w:before="20" w:after="20" w:line="240" w:lineRule="auto"/>
              <w:keepNext/>
            </w:pPr>
            <w:r>
              <w:rPr>
                <w:sz w:val="14"/>
                <w:szCs w:val="14"/>
              </w:rPr>
              <w:t xml:space="preserve">기준(표 5·7)</w:t>
            </w:r>
          </w:p>
        </w:tc>
        <w:tc>
          <w:tcPr>
            <w:tcW w:type="dxa" w:w="480"/>
          </w:tcPr>
          <w:p>
            <w:pPr>
              <w:pStyle w:val="Compact"/>
              <w:spacing w:before="20" w:after="20" w:line="240" w:lineRule="auto"/>
              <w:jc w:val="right"/>
              <w:keepNext/>
            </w:pPr>
            <w:r>
              <w:rPr>
                <w:sz w:val="14"/>
                <w:szCs w:val="14"/>
              </w:rPr>
              <w:t xml:space="preserve">928</w:t>
            </w:r>
          </w:p>
        </w:tc>
        <w:tc>
          <w:tcPr>
            <w:tcW w:type="dxa" w:w="1143"/>
          </w:tcPr>
          <w:p>
            <w:pPr>
              <w:pStyle w:val="Compact"/>
              <w:spacing w:before="20" w:after="20" w:line="240" w:lineRule="auto"/>
              <w:keepNext/>
            </w:pPr>
            <w:r>
              <w:rPr>
                <w:sz w:val="14"/>
                <w:szCs w:val="14"/>
              </w:rPr>
              <w:t xml:space="preserve">1.403***</w:t>
            </w:r>
          </w:p>
        </w:tc>
        <w:tc>
          <w:tcPr>
            <w:tcW w:type="dxa" w:w="1583"/>
          </w:tcPr>
          <w:p>
            <w:pPr>
              <w:pStyle w:val="Compact"/>
              <w:spacing w:before="20" w:after="20" w:line="240" w:lineRule="auto"/>
              <w:keepNext/>
            </w:pPr>
            <w:r>
              <w:rPr>
                <w:sz w:val="14"/>
                <w:szCs w:val="14"/>
              </w:rPr>
              <w:t xml:space="preserve">0.913***</w:t>
            </w:r>
          </w:p>
        </w:tc>
        <w:tc>
          <w:tcPr>
            <w:tcW w:type="dxa" w:w="1583"/>
          </w:tcPr>
          <w:p>
            <w:pPr>
              <w:pStyle w:val="Compact"/>
              <w:spacing w:before="20" w:after="20" w:line="240" w:lineRule="auto"/>
              <w:keepNext/>
            </w:pPr>
            <w:r>
              <w:rPr>
                <w:sz w:val="14"/>
                <w:szCs w:val="14"/>
              </w:rPr>
              <w:t xml:space="preserve">2.687***</w:t>
            </w:r>
          </w:p>
        </w:tc>
        <w:tc>
          <w:tcPr>
            <w:tcW w:type="dxa" w:w="1319"/>
          </w:tcPr>
          <w:p>
            <w:pPr>
              <w:pStyle w:val="Compact"/>
              <w:spacing w:before="20" w:after="20" w:line="240" w:lineRule="auto"/>
              <w:keepNext/>
            </w:pPr>
            <w:r>
              <w:rPr>
                <w:sz w:val="14"/>
                <w:szCs w:val="14"/>
              </w:rPr>
              <w:t xml:space="preserve">0.785***</w:t>
            </w:r>
          </w:p>
        </w:tc>
      </w:tr>
      <w:tr>
        <w:trPr>
          <w:cantSplit/>
        </w:trPr>
        <w:tc>
          <w:tcPr>
            <w:tcW w:type="dxa" w:w="2959"/>
          </w:tcPr>
          <w:p>
            <w:pPr>
              <w:pStyle w:val="Compact"/>
              <w:spacing w:before="20" w:after="20" w:line="240" w:lineRule="auto"/>
              <w:keepNext/>
            </w:pPr>
            <w:r>
              <w:rPr>
                <w:sz w:val="14"/>
                <w:szCs w:val="14"/>
              </w:rPr>
              <w:t xml:space="preserve">기준 + 동일 제목 군집 표준오차</w:t>
            </w:r>
          </w:p>
        </w:tc>
        <w:tc>
          <w:tcPr>
            <w:tcW w:type="dxa" w:w="480"/>
          </w:tcPr>
          <w:p>
            <w:pPr>
              <w:pStyle w:val="Compact"/>
              <w:spacing w:before="20" w:after="20" w:line="240" w:lineRule="auto"/>
              <w:jc w:val="right"/>
              <w:keepNext/>
            </w:pPr>
            <w:r>
              <w:rPr>
                <w:sz w:val="14"/>
                <w:szCs w:val="14"/>
              </w:rPr>
              <w:t xml:space="preserve">928</w:t>
            </w:r>
          </w:p>
        </w:tc>
        <w:tc>
          <w:tcPr>
            <w:tcW w:type="dxa" w:w="1143"/>
          </w:tcPr>
          <w:p>
            <w:pPr>
              <w:pStyle w:val="Compact"/>
              <w:spacing w:before="20" w:after="20" w:line="240" w:lineRule="auto"/>
              <w:keepNext/>
            </w:pPr>
            <w:r>
              <w:rPr>
                <w:sz w:val="14"/>
                <w:szCs w:val="14"/>
              </w:rPr>
              <w:t xml:space="preserve">1.403***</w:t>
            </w:r>
          </w:p>
        </w:tc>
        <w:tc>
          <w:tcPr>
            <w:tcW w:type="dxa" w:w="1583"/>
          </w:tcPr>
          <w:p>
            <w:pPr>
              <w:pStyle w:val="Compact"/>
              <w:spacing w:before="20" w:after="20" w:line="240" w:lineRule="auto"/>
              <w:keepNext/>
            </w:pPr>
            <w:r>
              <w:rPr>
                <w:sz w:val="14"/>
                <w:szCs w:val="14"/>
              </w:rPr>
              <w:t xml:space="preserve">0.913***</w:t>
            </w:r>
          </w:p>
        </w:tc>
        <w:tc>
          <w:tcPr>
            <w:tcW w:type="dxa" w:w="1583"/>
          </w:tcPr>
          <w:p>
            <w:pPr>
              <w:pStyle w:val="Compact"/>
              <w:spacing w:before="20" w:after="20" w:line="240" w:lineRule="auto"/>
              <w:keepNext/>
            </w:pPr>
            <w:r>
              <w:rPr>
                <w:sz w:val="14"/>
                <w:szCs w:val="14"/>
              </w:rPr>
              <w:t xml:space="preserve">2.687***</w:t>
            </w:r>
          </w:p>
        </w:tc>
        <w:tc>
          <w:tcPr>
            <w:tcW w:type="dxa" w:w="1319"/>
          </w:tcPr>
          <w:p>
            <w:pPr>
              <w:pStyle w:val="Compact"/>
              <w:spacing w:before="20" w:after="20" w:line="240" w:lineRule="auto"/>
              <w:keepNext/>
            </w:pPr>
            <w:r>
              <w:rPr>
                <w:sz w:val="14"/>
                <w:szCs w:val="14"/>
              </w:rPr>
              <w:t xml:space="preserve">0.785***</w:t>
            </w:r>
          </w:p>
        </w:tc>
      </w:tr>
      <w:tr>
        <w:trPr>
          <w:cantSplit/>
        </w:trPr>
        <w:tc>
          <w:tcPr>
            <w:tcW w:type="dxa" w:w="2959"/>
          </w:tcPr>
          <w:p>
            <w:pPr>
              <w:pStyle w:val="Compact"/>
              <w:spacing w:before="20" w:after="20" w:line="240" w:lineRule="auto"/>
              <w:keepNext/>
            </w:pPr>
            <w:r>
              <w:rPr>
                <w:sz w:val="14"/>
                <w:szCs w:val="14"/>
              </w:rPr>
              <w:t xml:space="preserve">동일 제목 중복 제거(제목당 1건)</w:t>
            </w:r>
          </w:p>
        </w:tc>
        <w:tc>
          <w:tcPr>
            <w:tcW w:type="dxa" w:w="480"/>
          </w:tcPr>
          <w:p>
            <w:pPr>
              <w:pStyle w:val="Compact"/>
              <w:spacing w:before="20" w:after="20" w:line="240" w:lineRule="auto"/>
              <w:jc w:val="right"/>
              <w:keepNext/>
            </w:pPr>
            <w:r>
              <w:rPr>
                <w:sz w:val="14"/>
                <w:szCs w:val="14"/>
              </w:rPr>
              <w:t xml:space="preserve">473</w:t>
            </w:r>
          </w:p>
        </w:tc>
        <w:tc>
          <w:tcPr>
            <w:tcW w:type="dxa" w:w="1143"/>
          </w:tcPr>
          <w:p>
            <w:pPr>
              <w:pStyle w:val="Compact"/>
              <w:spacing w:before="20" w:after="20" w:line="240" w:lineRule="auto"/>
              <w:keepNext/>
            </w:pPr>
            <w:r>
              <w:rPr>
                <w:sz w:val="14"/>
                <w:szCs w:val="14"/>
              </w:rPr>
              <w:t xml:space="preserve">1.295***</w:t>
            </w:r>
          </w:p>
        </w:tc>
        <w:tc>
          <w:tcPr>
            <w:tcW w:type="dxa" w:w="1583"/>
          </w:tcPr>
          <w:p>
            <w:pPr>
              <w:pStyle w:val="Compact"/>
              <w:spacing w:before="20" w:after="20" w:line="240" w:lineRule="auto"/>
              <w:keepNext/>
            </w:pPr>
            <w:r>
              <w:rPr>
                <w:sz w:val="14"/>
                <w:szCs w:val="14"/>
              </w:rPr>
              <w:t xml:space="preserve">0.935***</w:t>
            </w:r>
          </w:p>
        </w:tc>
        <w:tc>
          <w:tcPr>
            <w:tcW w:type="dxa" w:w="1583"/>
          </w:tcPr>
          <w:p>
            <w:pPr>
              <w:pStyle w:val="Compact"/>
              <w:spacing w:before="20" w:after="20" w:line="240" w:lineRule="auto"/>
              <w:keepNext/>
            </w:pPr>
            <w:r>
              <w:rPr>
                <w:sz w:val="14"/>
                <w:szCs w:val="14"/>
              </w:rPr>
              <w:t xml:space="preserve">2.721***</w:t>
            </w:r>
          </w:p>
        </w:tc>
        <w:tc>
          <w:tcPr>
            <w:tcW w:type="dxa" w:w="1319"/>
          </w:tcPr>
          <w:p>
            <w:pPr>
              <w:pStyle w:val="Compact"/>
              <w:spacing w:before="20" w:after="20" w:line="240" w:lineRule="auto"/>
              <w:keepNext/>
            </w:pPr>
            <w:r>
              <w:rPr>
                <w:sz w:val="14"/>
                <w:szCs w:val="14"/>
              </w:rPr>
              <w:t xml:space="preserve">0.792***</w:t>
            </w:r>
          </w:p>
        </w:tc>
      </w:tr>
      <w:tr>
        <w:trPr>
          <w:cantSplit/>
        </w:trPr>
        <w:tc>
          <w:tcPr>
            <w:tcW w:type="dxa" w:w="2959"/>
          </w:tcPr>
          <w:p>
            <w:pPr>
              <w:pStyle w:val="Compact"/>
              <w:spacing w:before="20" w:after="20" w:line="240" w:lineRule="auto"/>
              <w:keepNext/>
            </w:pPr>
            <w:r>
              <w:rPr>
                <w:sz w:val="14"/>
                <w:szCs w:val="14"/>
              </w:rPr>
              <w:t xml:space="preserve">좁은 전공정 정의(조립 단계 공정 제외)</w:t>
            </w:r>
          </w:p>
        </w:tc>
        <w:tc>
          <w:tcPr>
            <w:tcW w:type="dxa" w:w="480"/>
          </w:tcPr>
          <w:p>
            <w:pPr>
              <w:pStyle w:val="Compact"/>
              <w:spacing w:before="20" w:after="20" w:line="240" w:lineRule="auto"/>
              <w:jc w:val="right"/>
              <w:keepNext/>
            </w:pPr>
            <w:r>
              <w:rPr>
                <w:sz w:val="14"/>
                <w:szCs w:val="14"/>
              </w:rPr>
              <w:t xml:space="preserve">908</w:t>
            </w:r>
          </w:p>
        </w:tc>
        <w:tc>
          <w:tcPr>
            <w:tcW w:type="dxa" w:w="1143"/>
          </w:tcPr>
          <w:p>
            <w:pPr>
              <w:pStyle w:val="Compact"/>
              <w:spacing w:before="20" w:after="20" w:line="240" w:lineRule="auto"/>
              <w:keepNext/>
            </w:pPr>
            <w:r>
              <w:rPr>
                <w:sz w:val="14"/>
                <w:szCs w:val="14"/>
              </w:rPr>
              <w:t xml:space="preserve">1.352***</w:t>
            </w:r>
          </w:p>
        </w:tc>
        <w:tc>
          <w:tcPr>
            <w:tcW w:type="dxa" w:w="1583"/>
          </w:tcPr>
          <w:p>
            <w:pPr>
              <w:pStyle w:val="Compact"/>
              <w:spacing w:before="20" w:after="20" w:line="240" w:lineRule="auto"/>
              <w:keepNext/>
            </w:pPr>
            <w:r>
              <w:rPr>
                <w:sz w:val="14"/>
                <w:szCs w:val="14"/>
              </w:rPr>
              <w:t xml:space="preserve">0.898***</w:t>
            </w:r>
          </w:p>
        </w:tc>
        <w:tc>
          <w:tcPr>
            <w:tcW w:type="dxa" w:w="1583"/>
          </w:tcPr>
          <w:p>
            <w:pPr>
              <w:pStyle w:val="Compact"/>
              <w:spacing w:before="20" w:after="20" w:line="240" w:lineRule="auto"/>
              <w:keepNext/>
            </w:pPr>
            <w:r>
              <w:rPr>
                <w:sz w:val="14"/>
                <w:szCs w:val="14"/>
              </w:rPr>
              <w:t xml:space="preserve">3.299***</w:t>
            </w:r>
          </w:p>
        </w:tc>
        <w:tc>
          <w:tcPr>
            <w:tcW w:type="dxa" w:w="1319"/>
          </w:tcPr>
          <w:p>
            <w:pPr>
              <w:pStyle w:val="Compact"/>
              <w:spacing w:before="20" w:after="20" w:line="240" w:lineRule="auto"/>
              <w:keepNext/>
            </w:pPr>
            <w:r>
              <w:rPr>
                <w:sz w:val="14"/>
                <w:szCs w:val="14"/>
              </w:rPr>
              <w:t xml:space="preserve">—</w:t>
            </w:r>
          </w:p>
        </w:tc>
      </w:tr>
      <w:tr>
        <w:trPr>
          <w:cantSplit/>
        </w:trPr>
        <w:tc>
          <w:tcPr>
            <w:tcW w:type="dxa" w:w="2959"/>
          </w:tcPr>
          <w:p>
            <w:pPr>
              <w:pStyle w:val="Compact"/>
              <w:spacing w:before="20" w:after="20" w:line="240" w:lineRule="auto"/>
              <w:keepNext/>
            </w:pPr>
            <w:r>
              <w:rPr>
                <w:sz w:val="14"/>
                <w:szCs w:val="14"/>
              </w:rPr>
              <w:t xml:space="preserve">무관 용법 68건 제외</w:t>
            </w:r>
          </w:p>
        </w:tc>
        <w:tc>
          <w:tcPr>
            <w:tcW w:type="dxa" w:w="480"/>
          </w:tcPr>
          <w:p>
            <w:pPr>
              <w:pStyle w:val="Compact"/>
              <w:spacing w:before="20" w:after="20" w:line="240" w:lineRule="auto"/>
              <w:jc w:val="right"/>
              <w:keepNext/>
            </w:pPr>
            <w:r>
              <w:rPr>
                <w:sz w:val="14"/>
                <w:szCs w:val="14"/>
              </w:rPr>
              <w:t xml:space="preserve">860</w:t>
            </w:r>
          </w:p>
        </w:tc>
        <w:tc>
          <w:tcPr>
            <w:tcW w:type="dxa" w:w="1143"/>
          </w:tcPr>
          <w:p>
            <w:pPr>
              <w:pStyle w:val="Compact"/>
              <w:spacing w:before="20" w:after="20" w:line="240" w:lineRule="auto"/>
              <w:keepNext/>
            </w:pPr>
            <w:r>
              <w:rPr>
                <w:sz w:val="14"/>
                <w:szCs w:val="14"/>
              </w:rPr>
              <w:t xml:space="preserve">1.384***</w:t>
            </w:r>
          </w:p>
        </w:tc>
        <w:tc>
          <w:tcPr>
            <w:tcW w:type="dxa" w:w="1583"/>
          </w:tcPr>
          <w:p>
            <w:pPr>
              <w:pStyle w:val="Compact"/>
              <w:spacing w:before="20" w:after="20" w:line="240" w:lineRule="auto"/>
              <w:keepNext/>
            </w:pPr>
            <w:r>
              <w:rPr>
                <w:sz w:val="14"/>
                <w:szCs w:val="14"/>
              </w:rPr>
              <w:t xml:space="preserve">0.820***</w:t>
            </w:r>
          </w:p>
        </w:tc>
        <w:tc>
          <w:tcPr>
            <w:tcW w:type="dxa" w:w="1583"/>
          </w:tcPr>
          <w:p>
            <w:pPr>
              <w:pStyle w:val="Compact"/>
              <w:spacing w:before="20" w:after="20" w:line="240" w:lineRule="auto"/>
              <w:keepNext/>
            </w:pPr>
            <w:r>
              <w:rPr>
                <w:sz w:val="14"/>
                <w:szCs w:val="14"/>
              </w:rPr>
              <w:t xml:space="preserve">3.235***</w:t>
            </w:r>
          </w:p>
        </w:tc>
        <w:tc>
          <w:tcPr>
            <w:tcW w:type="dxa" w:w="1319"/>
          </w:tcPr>
          <w:p>
            <w:pPr>
              <w:pStyle w:val="Compact"/>
              <w:spacing w:before="20" w:after="20" w:line="240" w:lineRule="auto"/>
              <w:keepNext/>
            </w:pPr>
            <w:r>
              <w:rPr>
                <w:sz w:val="14"/>
                <w:szCs w:val="14"/>
              </w:rPr>
              <w:t xml:space="preserve">0.785***</w:t>
            </w:r>
          </w:p>
        </w:tc>
      </w:tr>
      <w:tr>
        <w:trPr>
          <w:cantSplit/>
        </w:trPr>
        <w:tc>
          <w:tcPr>
            <w:tcW w:type="dxa" w:w="2959"/>
          </w:tcPr>
          <w:p>
            <w:pPr>
              <w:pStyle w:val="Compact"/>
              <w:spacing w:before="20" w:after="20" w:line="240" w:lineRule="auto"/>
              <w:keepNext/>
            </w:pPr>
            <w:r>
              <w:rPr>
                <w:sz w:val="14"/>
                <w:szCs w:val="14"/>
              </w:rPr>
              <w:t xml:space="preserve">핵심 표본(제목에 hybrid bonding)</w:t>
            </w:r>
          </w:p>
        </w:tc>
        <w:tc>
          <w:tcPr>
            <w:tcW w:type="dxa" w:w="480"/>
          </w:tcPr>
          <w:p>
            <w:pPr>
              <w:pStyle w:val="Compact"/>
              <w:spacing w:before="20" w:after="20" w:line="240" w:lineRule="auto"/>
              <w:jc w:val="right"/>
              <w:keepNext/>
            </w:pPr>
            <w:r>
              <w:rPr>
                <w:sz w:val="14"/>
                <w:szCs w:val="14"/>
              </w:rPr>
              <w:t xml:space="preserve">467</w:t>
            </w:r>
          </w:p>
        </w:tc>
        <w:tc>
          <w:tcPr>
            <w:tcW w:type="dxa" w:w="1143"/>
          </w:tcPr>
          <w:p>
            <w:pPr>
              <w:pStyle w:val="Compact"/>
              <w:spacing w:before="20" w:after="20" w:line="240" w:lineRule="auto"/>
              <w:keepNext/>
            </w:pPr>
            <w:r>
              <w:rPr>
                <w:sz w:val="14"/>
                <w:szCs w:val="14"/>
              </w:rPr>
              <w:t xml:space="preserve">1.485***</w:t>
            </w:r>
          </w:p>
        </w:tc>
        <w:tc>
          <w:tcPr>
            <w:tcW w:type="dxa" w:w="1583"/>
          </w:tcPr>
          <w:p>
            <w:pPr>
              <w:pStyle w:val="Compact"/>
              <w:spacing w:before="20" w:after="20" w:line="240" w:lineRule="auto"/>
              <w:keepNext/>
            </w:pPr>
            <w:r>
              <w:rPr>
                <w:sz w:val="14"/>
                <w:szCs w:val="14"/>
              </w:rPr>
              <w:t xml:space="preserve">1.029</w:t>
            </w:r>
          </w:p>
        </w:tc>
        <w:tc>
          <w:tcPr>
            <w:tcW w:type="dxa" w:w="1583"/>
          </w:tcPr>
          <w:p>
            <w:pPr>
              <w:pStyle w:val="Compact"/>
              <w:spacing w:before="20" w:after="20" w:line="240" w:lineRule="auto"/>
              <w:keepNext/>
            </w:pPr>
            <w:r>
              <w:rPr>
                <w:sz w:val="14"/>
                <w:szCs w:val="14"/>
              </w:rPr>
              <w:t xml:space="preserve">7.211***</w:t>
            </w:r>
          </w:p>
        </w:tc>
        <w:tc>
          <w:tcPr>
            <w:tcW w:type="dxa" w:w="1319"/>
          </w:tcPr>
          <w:p>
            <w:pPr>
              <w:pStyle w:val="Compact"/>
              <w:spacing w:before="20" w:after="20" w:line="240" w:lineRule="auto"/>
              <w:keepNext/>
            </w:pPr>
            <w:r>
              <w:rPr>
                <w:sz w:val="14"/>
                <w:szCs w:val="14"/>
              </w:rPr>
              <w:t xml:space="preserve">0.786***</w:t>
            </w:r>
          </w:p>
        </w:tc>
      </w:tr>
      <w:tr>
        <w:trPr>
          <w:cantSplit/>
        </w:trPr>
        <w:tc>
          <w:tcPr>
            <w:tcW w:type="dxa" w:w="2959"/>
          </w:tcPr>
          <w:p>
            <w:pPr>
              <w:pStyle w:val="Compact"/>
              <w:spacing w:before="20" w:after="20" w:line="240" w:lineRule="auto"/>
              <w:keepNext/>
            </w:pPr>
            <w:r>
              <w:rPr>
                <w:sz w:val="14"/>
                <w:szCs w:val="14"/>
              </w:rPr>
              <w:t xml:space="preserve">2023–2024년 제외</w:t>
            </w:r>
          </w:p>
        </w:tc>
        <w:tc>
          <w:tcPr>
            <w:tcW w:type="dxa" w:w="480"/>
          </w:tcPr>
          <w:p>
            <w:pPr>
              <w:pStyle w:val="Compact"/>
              <w:spacing w:before="20" w:after="20" w:line="240" w:lineRule="auto"/>
              <w:jc w:val="right"/>
              <w:keepNext/>
            </w:pPr>
            <w:r>
              <w:rPr>
                <w:sz w:val="14"/>
                <w:szCs w:val="14"/>
              </w:rPr>
              <w:t xml:space="preserve">753</w:t>
            </w:r>
          </w:p>
        </w:tc>
        <w:tc>
          <w:tcPr>
            <w:tcW w:type="dxa" w:w="1143"/>
          </w:tcPr>
          <w:p>
            <w:pPr>
              <w:pStyle w:val="Compact"/>
              <w:spacing w:before="20" w:after="20" w:line="240" w:lineRule="auto"/>
              <w:keepNext/>
            </w:pPr>
            <w:r>
              <w:rPr>
                <w:sz w:val="14"/>
                <w:szCs w:val="14"/>
              </w:rPr>
              <w:t xml:space="preserve">1.418***</w:t>
            </w:r>
          </w:p>
        </w:tc>
        <w:tc>
          <w:tcPr>
            <w:tcW w:type="dxa" w:w="1583"/>
          </w:tcPr>
          <w:p>
            <w:pPr>
              <w:pStyle w:val="Compact"/>
              <w:spacing w:before="20" w:after="20" w:line="240" w:lineRule="auto"/>
              <w:keepNext/>
            </w:pPr>
            <w:r>
              <w:rPr>
                <w:sz w:val="14"/>
                <w:szCs w:val="14"/>
              </w:rPr>
              <w:t xml:space="preserve">0.909***</w:t>
            </w:r>
          </w:p>
        </w:tc>
        <w:tc>
          <w:tcPr>
            <w:tcW w:type="dxa" w:w="1583"/>
          </w:tcPr>
          <w:p>
            <w:pPr>
              <w:pStyle w:val="Compact"/>
              <w:spacing w:before="20" w:after="20" w:line="240" w:lineRule="auto"/>
              <w:keepNext/>
            </w:pPr>
            <w:r>
              <w:rPr>
                <w:sz w:val="14"/>
                <w:szCs w:val="14"/>
              </w:rPr>
              <w:t xml:space="preserve">1.651</w:t>
            </w:r>
          </w:p>
        </w:tc>
        <w:tc>
          <w:tcPr>
            <w:tcW w:type="dxa" w:w="1319"/>
          </w:tcPr>
          <w:p>
            <w:pPr>
              <w:pStyle w:val="Compact"/>
              <w:spacing w:before="20" w:after="20" w:line="240" w:lineRule="auto"/>
              <w:keepNext/>
            </w:pPr>
            <w:r>
              <w:rPr>
                <w:sz w:val="14"/>
                <w:szCs w:val="14"/>
              </w:rPr>
              <w:t xml:space="preserve">0.808***</w:t>
            </w:r>
          </w:p>
        </w:tc>
      </w:tr>
    </w:tbl>
    <w:p>
      <w:pPr>
        <w:pStyle w:val="BodyText"/>
      </w:pPr>
      <w:r>
        <w:rPr>
          <w:i/>
          <w:iCs/>
        </w:rPr>
        <w:t xml:space="preserve">주:</w:t>
      </w:r>
      <w:r>
        <w:t xml:space="preserve"> </w:t>
      </w:r>
      <w:r>
        <w:t xml:space="preserve">군집 표준오차 행은 점추정치가 기준과 같고 유의성만 동일 제목 군집 기준이다. 좁은 전공정 정의는 기술범위 변수를 바꾸지 않으므로 마지막 열은 기준과 같다. 표준오차와 나머지 계수, 그리고 각 클래스의 첫 기호를 뺀 조정 범위의 탐색적 결과는 부록 B에 있다.</w:t>
      </w:r>
    </w:p>
    <w:p>
      <w:pPr>
        <w:pStyle w:val="BodyText"/>
      </w:pPr>
      <w:r>
        <w:rPr>
          <w:b/>
          <w:bCs/>
        </w:rPr>
        <w:t xml:space="preserve">관측치의 독립성.</w:t>
      </w:r>
      <w:r>
        <w:t xml:space="preserve"> </w:t>
      </w:r>
      <w:r>
        <w:t xml:space="preserve">같은 제목의 출원을 한 군집으로 묶어 표준오차를 다시 계산해도 표 9의 네 계수는 모두 1% 수준에서 유의하다. 유의성을 잃는 것은 범위 → 공정 단독형(RRR 0.905, p = 0.29)과 일본 → 공정 단독형(p = 0.06) 두 계수뿐이다.</w:t>
      </w:r>
    </w:p>
    <w:p>
      <w:pPr>
        <w:pStyle w:val="BodyText"/>
      </w:pPr>
      <w:r>
        <w:rPr>
          <w:b/>
          <w:bCs/>
        </w:rPr>
        <w:t xml:space="preserve">범위의 기계적 부분.</w:t>
      </w:r>
      <w:r>
        <w:t xml:space="preserve"> </w:t>
      </w:r>
      <w:r>
        <w:t xml:space="preserve">통합형은 정의상 두 클래스의 기호를 하나씩은 가지므로 범위가 2 이상일 수밖에 없다. 이 최소 기호 수의 차이가 결과를 만드는지 보기 위해 각 보유 클래스의 첫 기호를 뺀 조정 지표로 다시 추정해 보면, 통합형의 RRR은 1.403에서 1.262로 줄지만 정적 연관 자체는 남는다(부록 B). 그렇다고 이 지표가 기계적 연관을 완전히 걷어낸 독립적 검정인 것은 아니다. 조정 지표 역시 유형 정보를 이용해 만들어지기 때문이다. 그래서 이 결과를 H1의 결정적 증거로 쓰지 않으며, H1은 인과효과가 아니라 통합형 특허의 구성적 특성으로 해석한다.</w:t>
      </w:r>
    </w:p>
    <w:p>
      <w:pPr>
        <w:pStyle w:val="BodyText"/>
      </w:pPr>
      <w:r>
        <w:rPr>
          <w:b/>
          <w:bCs/>
        </w:rPr>
        <w:t xml:space="preserve">동일 제목 중복.</w:t>
      </w:r>
      <w:r>
        <w:t xml:space="preserve"> </w:t>
      </w:r>
      <w:r>
        <w:t xml:space="preserve">제목이 같은 출원 가운데 가장 이른 출원 1건만 남기면 표본은 473건이 된다. 네 가설의 핵심 계수는 모두 1% 수준에서 유지된다. 같은 제목의 미국–중국 출원 쌍 37개를 보면 기술범위는 34쌍, 유형은 36쌍에서 같다. 따라서 출원청 간 차이는 같은 발명의 분류가 관할권마다 달라서가 아니라, 어떤 발명이 어느 출원청에 진입했는가의 선택 차이를 반영할 가능성이 크다.</w:t>
      </w:r>
    </w:p>
    <w:p>
      <w:pPr>
        <w:pStyle w:val="BodyText"/>
      </w:pPr>
      <w:r>
        <w:rPr>
          <w:b/>
          <w:bCs/>
        </w:rPr>
        <w:t xml:space="preserve">전공정의 정의.</w:t>
      </w:r>
      <w:r>
        <w:t xml:space="preserve"> </w:t>
      </w:r>
      <w:r>
        <w:t xml:space="preserve">제4.2절에서 밝혔듯이 H01L21에는 조립 단계의 제조공정도 들어 있다. 이를 제조공정으로 세지 않는 좁은 정의를 쓰면(어느 기호도 남지 않는 20건 제외, N = 908) 제조공정 기호를 가진 출원은 52.0%로 낮아지고, 유형 분포는 조립 단독형 46.8%, 통합형 37.2%, 공정 단독형 16.0%로 바뀌어 조립 단독형이 가장 많아진다. 즉 통합형이 최다 유형이라는 기술통계는 정의에 따라 달라지지만, 보수적 정의에서도 출원의 3분의 1 이상이 두 영역의 기호를 함께 가지며, 네 가설의 계수는 부호와 유의성이 그대로다.</w:t>
      </w:r>
    </w:p>
    <w:p>
      <w:pPr>
        <w:pStyle w:val="BodyText"/>
      </w:pPr>
      <w:r>
        <w:rPr>
          <w:b/>
          <w:bCs/>
        </w:rPr>
        <w:t xml:space="preserve">검색어의 정밀도.</w:t>
      </w:r>
      <w:r>
        <w:t xml:space="preserve"> </w:t>
      </w:r>
      <w:r>
        <w:t xml:space="preserve">무관한 용법 68건을 뺀 표본(N = 860)에서 유형 분포는 통합형 47.4%, 조립 단독형 35.4%, 공정 단독형 17.2%이며 핵심 계수는 모두 유지된다. 제목에</w:t>
      </w:r>
      <w:r>
        <w:t xml:space="preserve"> </w:t>
      </w:r>
      <w:r>
        <w:rPr>
          <w:i/>
          <w:iCs/>
        </w:rPr>
        <w:t xml:space="preserve">hybrid bonding</w:t>
      </w:r>
      <w:r>
        <w:t xml:space="preserve">이 들어 있는 핵심 표본(N = 467)에서는 통합형 49.5%, 조립 단독형 38.3%, 공정 단독형 12.2%이며, 범위 → 통합형(1.485), 중국 → 공정 단독형(7.211), 중국 → 범위(IRR 0.786)는 모두 1% 수준에서 유지된다. 다만 이 표본은 2015년 이전 출원이 30건뿐이어서 연도 계수는 유의하지 않다(1.029). 공정 단독형의 감소는 상당 부분</w:t>
      </w:r>
      <w:r>
        <w:t xml:space="preserve"> </w:t>
      </w:r>
      <w:r>
        <w:rPr>
          <w:i/>
          <w:iCs/>
        </w:rPr>
        <w:t xml:space="preserve">direct bonding</w:t>
      </w:r>
      <w:r>
        <w:t xml:space="preserve"> </w:t>
      </w:r>
      <w:r>
        <w:t xml:space="preserve">시기의 웨이퍼 접합 공정 출원에서</w:t>
      </w:r>
      <w:r>
        <w:t xml:space="preserve"> </w:t>
      </w:r>
      <w:r>
        <w:rPr>
          <w:i/>
          <w:iCs/>
        </w:rPr>
        <w:t xml:space="preserve">hybrid bonding</w:t>
      </w:r>
      <w:r>
        <w:t xml:space="preserve"> </w:t>
      </w:r>
      <w:r>
        <w:t xml:space="preserve">시기의 구조 출원으로 넘어온 변화이며, 핵심 표본만으로는 그 이전 시기를 관찰할 수 없기 때문이다.</w:t>
      </w:r>
    </w:p>
    <w:p>
      <w:pPr>
        <w:pStyle w:val="BodyText"/>
      </w:pPr>
      <w:r>
        <w:rPr>
          <w:b/>
          <w:bCs/>
        </w:rPr>
        <w:t xml:space="preserve">최근 출원의 공개 시차.</w:t>
      </w:r>
      <w:r>
        <w:t xml:space="preserve"> </w:t>
      </w:r>
      <w:r>
        <w:t xml:space="preserve">2023–2024년 출원은 아직 공개되지 않은 건이 많으므로 이 두 해를 뺀 표본(N = 753)으로 다시 추정하였다. 범위와 연도의 계수는 유지되고 중국 출원청의 범위가 좁다는 결과도 유지되지만(IRR 0.808, p &lt; 0.01), 중국 출원청의 공정 단독형 RRR은 1.651(p = 0.12)로 유의성을 잃는다. 2023–2024년 중국 출원청 출원 39건 중 18건이 공정 단독형인 반면 미국 출원청은 65건 중 3건에 그치기 때문이다. 따라서 H3b는 최근 출원 구성에 민감한 제한적 증거이며 제한적 지지로 판정한다.</w:t>
      </w:r>
    </w:p>
    <w:bookmarkEnd w:id="44"/>
    <w:bookmarkStart w:id="45" w:name="가설-판정"/>
    <w:p>
      <w:pPr>
        <w:pStyle w:val="Heading3"/>
      </w:pPr>
      <w:r>
        <w:t xml:space="preserve">5.5 가설 판정</w:t>
      </w:r>
    </w:p>
    <w:p>
      <w:pPr>
        <w:pStyle w:val="FirstParagraph"/>
      </w:pPr>
      <w:r>
        <w:t xml:space="preserve">표 10은 기준 모형(표 5·7)과 제5.4절의 재추정 결과를 함께 고려한 가설 판정이다.</w:t>
      </w:r>
    </w:p>
    <w:p>
      <w:pPr>
        <w:pStyle w:val="BodyText"/>
        <w:keepNext/>
      </w:pPr>
      <w:r>
        <w:rPr>
          <w:b/>
          <w:bCs/>
        </w:rPr>
        <w:t xml:space="preserve">표 10.</w:t>
      </w:r>
      <w:r>
        <w:t xml:space="preserve"> </w:t>
      </w:r>
      <w:r>
        <w:t xml:space="preserve">가설과 결과 요약(* p &lt; 0.10, ** p &lt; 0.05, *** p &lt; 0.01).</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599"/>
        <w:gridCol w:w="2698"/>
        <w:gridCol w:w="3298"/>
        <w:gridCol w:w="2473"/>
      </w:tblGrid>
      <w:tr>
        <w:trPr>
          <w:tblHeader w:val="on"/>
          <w:cantSplit/>
        </w:trPr>
        <w:tc>
          <w:tcPr>
            <w:tcW w:type="dxa" w:w="599"/>
            <w:tcBorders>
              <w:bottom w:val="single" w:sz="4" w:space="0" w:color="000000"/>
            </w:tcBorders>
          </w:tcPr>
          <w:p>
            <w:pPr>
              <w:pStyle w:val="Compact"/>
              <w:spacing w:before="20" w:after="20" w:line="240" w:lineRule="auto"/>
              <w:keepNext/>
            </w:pPr>
            <w:r>
              <w:rPr>
                <w:sz w:val="15"/>
                <w:szCs w:val="15"/>
              </w:rPr>
              <w:t xml:space="preserve">가설</w:t>
            </w:r>
          </w:p>
        </w:tc>
        <w:tc>
          <w:tcPr>
            <w:tcW w:type="dxa" w:w="2698"/>
            <w:tcBorders>
              <w:bottom w:val="single" w:sz="4" w:space="0" w:color="000000"/>
            </w:tcBorders>
          </w:tcPr>
          <w:p>
            <w:pPr>
              <w:pStyle w:val="Compact"/>
              <w:spacing w:before="20" w:after="20" w:line="240" w:lineRule="auto"/>
              <w:keepNext/>
            </w:pPr>
            <w:r>
              <w:rPr>
                <w:sz w:val="15"/>
                <w:szCs w:val="15"/>
              </w:rPr>
              <w:t xml:space="preserve">예측</w:t>
            </w:r>
          </w:p>
        </w:tc>
        <w:tc>
          <w:tcPr>
            <w:tcW w:type="dxa" w:w="3298"/>
            <w:tcBorders>
              <w:bottom w:val="single" w:sz="4" w:space="0" w:color="000000"/>
            </w:tcBorders>
          </w:tcPr>
          <w:p>
            <w:pPr>
              <w:pStyle w:val="Compact"/>
              <w:spacing w:before="20" w:after="20" w:line="240" w:lineRule="auto"/>
              <w:keepNext/>
            </w:pPr>
            <w:r>
              <w:rPr>
                <w:sz w:val="15"/>
                <w:szCs w:val="15"/>
              </w:rPr>
              <w:t xml:space="preserve">주요 증거</w:t>
            </w:r>
          </w:p>
        </w:tc>
        <w:tc>
          <w:tcPr>
            <w:tcW w:type="dxa" w:w="2473"/>
            <w:tcBorders>
              <w:bottom w:val="single" w:sz="4" w:space="0" w:color="000000"/>
            </w:tcBorders>
          </w:tcPr>
          <w:p>
            <w:pPr>
              <w:pStyle w:val="Compact"/>
              <w:spacing w:before="20" w:after="20" w:line="240" w:lineRule="auto"/>
              <w:keepNext/>
            </w:pPr>
            <w:r>
              <w:rPr>
                <w:sz w:val="15"/>
                <w:szCs w:val="15"/>
              </w:rPr>
              <w:t xml:space="preserve">판정</w:t>
            </w:r>
          </w:p>
        </w:tc>
      </w:tr>
      <w:tr>
        <w:trPr>
          <w:cantSplit/>
        </w:trPr>
        <w:tc>
          <w:tcPr>
            <w:tcW w:type="dxa" w:w="599"/>
          </w:tcPr>
          <w:p>
            <w:pPr>
              <w:pStyle w:val="Compact"/>
              <w:spacing w:before="20" w:after="20" w:line="240" w:lineRule="auto"/>
              <w:keepNext/>
            </w:pPr>
            <w:r>
              <w:rPr>
                <w:sz w:val="15"/>
                <w:szCs w:val="15"/>
              </w:rPr>
              <w:t xml:space="preserve">H1</w:t>
            </w:r>
          </w:p>
        </w:tc>
        <w:tc>
          <w:tcPr>
            <w:tcW w:type="dxa" w:w="2698"/>
          </w:tcPr>
          <w:p>
            <w:pPr>
              <w:pStyle w:val="Compact"/>
              <w:spacing w:before="20" w:after="20" w:line="240" w:lineRule="auto"/>
              <w:keepNext/>
            </w:pPr>
            <w:r>
              <w:rPr>
                <w:sz w:val="15"/>
                <w:szCs w:val="15"/>
              </w:rPr>
              <w:t xml:space="preserve">세부 기술이 다양할수록 통합형</w:t>
            </w:r>
          </w:p>
        </w:tc>
        <w:tc>
          <w:tcPr>
            <w:tcW w:type="dxa" w:w="3298"/>
          </w:tcPr>
          <w:p>
            <w:pPr>
              <w:pStyle w:val="Compact"/>
              <w:spacing w:before="20" w:after="20" w:line="240" w:lineRule="auto"/>
              <w:keepNext/>
            </w:pPr>
            <w:r>
              <w:rPr>
                <w:sz w:val="15"/>
                <w:szCs w:val="15"/>
              </w:rPr>
              <w:t xml:space="preserve">RRR 1.403***(표 7); 모든 재추정에서 1.295–1.485***(표 9)</w:t>
            </w:r>
          </w:p>
        </w:tc>
        <w:tc>
          <w:tcPr>
            <w:tcW w:type="dxa" w:w="2473"/>
          </w:tcPr>
          <w:p>
            <w:pPr>
              <w:pStyle w:val="Compact"/>
              <w:spacing w:before="20" w:after="20" w:line="240" w:lineRule="auto"/>
              <w:keepNext/>
            </w:pPr>
            <w:r>
              <w:rPr>
                <w:sz w:val="15"/>
                <w:szCs w:val="15"/>
              </w:rPr>
              <w:t xml:space="preserve">지지(구성적 연관)</w:t>
            </w:r>
          </w:p>
        </w:tc>
      </w:tr>
      <w:tr>
        <w:trPr>
          <w:cantSplit/>
        </w:trPr>
        <w:tc>
          <w:tcPr>
            <w:tcW w:type="dxa" w:w="599"/>
          </w:tcPr>
          <w:p>
            <w:pPr>
              <w:pStyle w:val="Compact"/>
              <w:spacing w:before="20" w:after="20" w:line="240" w:lineRule="auto"/>
              <w:keepNext/>
            </w:pPr>
            <w:r>
              <w:rPr>
                <w:sz w:val="15"/>
                <w:szCs w:val="15"/>
              </w:rPr>
              <w:t xml:space="preserve">H2</w:t>
            </w:r>
          </w:p>
        </w:tc>
        <w:tc>
          <w:tcPr>
            <w:tcW w:type="dxa" w:w="2698"/>
          </w:tcPr>
          <w:p>
            <w:pPr>
              <w:pStyle w:val="Compact"/>
              <w:spacing w:before="20" w:after="20" w:line="240" w:lineRule="auto"/>
              <w:keepNext/>
            </w:pPr>
            <w:r>
              <w:rPr>
                <w:sz w:val="15"/>
                <w:szCs w:val="15"/>
              </w:rPr>
              <w:t xml:space="preserve">최근 출원일수록 공정 단독형이 드묾</w:t>
            </w:r>
          </w:p>
        </w:tc>
        <w:tc>
          <w:tcPr>
            <w:tcW w:type="dxa" w:w="3298"/>
          </w:tcPr>
          <w:p>
            <w:pPr>
              <w:pStyle w:val="Compact"/>
              <w:spacing w:before="20" w:after="20" w:line="240" w:lineRule="auto"/>
              <w:keepNext/>
            </w:pPr>
            <w:r>
              <w:rPr>
                <w:sz w:val="15"/>
                <w:szCs w:val="15"/>
              </w:rPr>
              <w:t xml:space="preserve">RRR 0.913***(표 7); 기간 더미 0.273***/0.101***; 재추정에서 0.820–0.935***(표 9); 다만 2015년 이전 출원이 30건뿐인 핵심 표본에서는 시간 추세가 식별되지 않음</w:t>
            </w:r>
          </w:p>
        </w:tc>
        <w:tc>
          <w:tcPr>
            <w:tcW w:type="dxa" w:w="2473"/>
          </w:tcPr>
          <w:p>
            <w:pPr>
              <w:pStyle w:val="Compact"/>
              <w:spacing w:before="20" w:after="20" w:line="240" w:lineRule="auto"/>
              <w:keepNext/>
            </w:pPr>
            <w:r>
              <w:rPr>
                <w:sz w:val="15"/>
                <w:szCs w:val="15"/>
              </w:rPr>
              <w:t xml:space="preserve">지지</w:t>
            </w:r>
          </w:p>
        </w:tc>
      </w:tr>
      <w:tr>
        <w:trPr>
          <w:cantSplit/>
        </w:trPr>
        <w:tc>
          <w:tcPr>
            <w:tcW w:type="dxa" w:w="599"/>
          </w:tcPr>
          <w:p>
            <w:pPr>
              <w:pStyle w:val="Compact"/>
              <w:spacing w:before="20" w:after="20" w:line="240" w:lineRule="auto"/>
              <w:keepNext/>
            </w:pPr>
            <w:r>
              <w:rPr>
                <w:sz w:val="15"/>
                <w:szCs w:val="15"/>
              </w:rPr>
              <w:t xml:space="preserve">H3a</w:t>
            </w:r>
          </w:p>
        </w:tc>
        <w:tc>
          <w:tcPr>
            <w:tcW w:type="dxa" w:w="2698"/>
          </w:tcPr>
          <w:p>
            <w:pPr>
              <w:pStyle w:val="Compact"/>
              <w:spacing w:before="20" w:after="20" w:line="240" w:lineRule="auto"/>
              <w:keepNext/>
            </w:pPr>
            <w:r>
              <w:rPr>
                <w:sz w:val="15"/>
                <w:szCs w:val="15"/>
              </w:rPr>
              <w:t xml:space="preserve">중국 출원청 출원은 범위가 좁음</w:t>
            </w:r>
          </w:p>
        </w:tc>
        <w:tc>
          <w:tcPr>
            <w:tcW w:type="dxa" w:w="3298"/>
          </w:tcPr>
          <w:p>
            <w:pPr>
              <w:pStyle w:val="Compact"/>
              <w:spacing w:before="20" w:after="20" w:line="240" w:lineRule="auto"/>
              <w:keepNext/>
            </w:pPr>
            <w:r>
              <w:rPr>
                <w:sz w:val="15"/>
                <w:szCs w:val="15"/>
              </w:rPr>
              <w:t xml:space="preserve">IRR 0.785***(표 5); 모든 재추정에서 0.785–0.808***(표 9)</w:t>
            </w:r>
          </w:p>
        </w:tc>
        <w:tc>
          <w:tcPr>
            <w:tcW w:type="dxa" w:w="2473"/>
          </w:tcPr>
          <w:p>
            <w:pPr>
              <w:pStyle w:val="Compact"/>
              <w:spacing w:before="20" w:after="20" w:line="240" w:lineRule="auto"/>
              <w:keepNext/>
            </w:pPr>
            <w:r>
              <w:rPr>
                <w:sz w:val="15"/>
                <w:szCs w:val="15"/>
              </w:rPr>
              <w:t xml:space="preserve">지지</w:t>
            </w:r>
          </w:p>
        </w:tc>
      </w:tr>
      <w:tr>
        <w:trPr>
          <w:cantSplit/>
        </w:trPr>
        <w:tc>
          <w:tcPr>
            <w:tcW w:type="dxa" w:w="599"/>
          </w:tcPr>
          <w:p>
            <w:pPr>
              <w:pStyle w:val="Compact"/>
              <w:spacing w:before="20" w:after="20" w:line="240" w:lineRule="auto"/>
              <w:keepNext/>
            </w:pPr>
            <w:r>
              <w:rPr>
                <w:sz w:val="15"/>
                <w:szCs w:val="15"/>
              </w:rPr>
              <w:t xml:space="preserve">H3b</w:t>
            </w:r>
          </w:p>
        </w:tc>
        <w:tc>
          <w:tcPr>
            <w:tcW w:type="dxa" w:w="2698"/>
          </w:tcPr>
          <w:p>
            <w:pPr>
              <w:pStyle w:val="Compact"/>
              <w:spacing w:before="20" w:after="20" w:line="240" w:lineRule="auto"/>
              <w:keepNext/>
            </w:pPr>
            <w:r>
              <w:rPr>
                <w:sz w:val="15"/>
                <w:szCs w:val="15"/>
              </w:rPr>
              <w:t xml:space="preserve">중국 출원청 출원은 공정 단독형이 많음</w:t>
            </w:r>
          </w:p>
        </w:tc>
        <w:tc>
          <w:tcPr>
            <w:tcW w:type="dxa" w:w="3298"/>
          </w:tcPr>
          <w:p>
            <w:pPr>
              <w:pStyle w:val="Compact"/>
              <w:spacing w:before="20" w:after="20" w:line="240" w:lineRule="auto"/>
              <w:keepNext/>
            </w:pPr>
            <w:r>
              <w:rPr>
                <w:sz w:val="15"/>
                <w:szCs w:val="15"/>
              </w:rPr>
              <w:t xml:space="preserve">RRR 2.687***(표 7); 재추정에서 2.721–7.211***(표 9); 다만 2023–2024년 제외 시 1.651(비유의)</w:t>
            </w:r>
          </w:p>
        </w:tc>
        <w:tc>
          <w:tcPr>
            <w:tcW w:type="dxa" w:w="2473"/>
          </w:tcPr>
          <w:p>
            <w:pPr>
              <w:pStyle w:val="Compact"/>
              <w:spacing w:before="20" w:after="20" w:line="240" w:lineRule="auto"/>
              <w:keepNext/>
            </w:pPr>
            <w:r>
              <w:rPr>
                <w:sz w:val="15"/>
                <w:szCs w:val="15"/>
              </w:rPr>
              <w:t xml:space="preserve">제한적 지지(최근 출원 구성에 민감)</w:t>
            </w:r>
          </w:p>
        </w:tc>
      </w:tr>
    </w:tbl>
    <w:bookmarkEnd w:id="45"/>
    <w:bookmarkEnd w:id="46"/>
    <w:bookmarkStart w:id="50" w:name="논의"/>
    <w:p>
      <w:pPr>
        <w:pStyle w:val="Heading2"/>
      </w:pPr>
      <w:r>
        <w:t xml:space="preserve">6. 논의</w:t>
      </w:r>
    </w:p>
    <w:bookmarkStart w:id="47" w:name="이론적-함의"/>
    <w:p>
      <w:pPr>
        <w:pStyle w:val="Heading3"/>
      </w:pPr>
      <w:r>
        <w:t xml:space="preserve">6.1 이론적 함의</w:t>
      </w:r>
    </w:p>
    <w:p>
      <w:pPr>
        <w:pStyle w:val="FirstParagraph"/>
      </w:pPr>
      <w:r>
        <w:rPr>
          <w:b/>
          <w:bCs/>
        </w:rPr>
        <w:t xml:space="preserve">산업 안에서 일어나는 융합.</w:t>
      </w:r>
      <w:r>
        <w:t xml:space="preserve"> </w:t>
      </w:r>
      <w:r>
        <w:t xml:space="preserve">기존 문헌은 융합을 주로 산업과 산업, 기술 분야와 기술 분야 사이의 일로 다루어 왔다(Hacklin et al., 2010; Curran and Leker, 2011). 본 연구의 결과는 같은 개념이 한 산업을 가로지르는 경계, 곧 반도체 제조의 제조공정 영역과 접합 영역 사이에도 적용되며, 그 경계 넘기를 개별 특허에서 관찰할 수 있음을 보여준다. 하이브리드 본딩 관련 특허의 45.8%는 두 영역의 기호를 함께 가지며, 보수적 정의에서도 37.2%가 그렇다. 본 연구는 산업 아키텍처의 변화를 직접 검정하지 않는다. 다만 Jacobides et al.(2006)의 말대로 산업 아키텍처가 분업의 틀이라면, 단계 사이의 인터페이스가 흔들릴 때 발명이 그 양쪽을 함께 담기 시작하는 것은 그 틀이 다시 짜이는 데 선행할 수 있는 기술적 상호의존의 확대이며, 본 연구는 이를 특허 공동분류로 포착한다. Kapoor(2013)가 보인 것이 분업 속에서도 조직적 통합이 이어졌다는 사실이라면, 본 연구에서 관찰된 것은 그 통합의 기술적 바탕, 곧 두 영역의 지식이 개별 발명 안에서 결합되고 있다는 사실이다. 융합의 단계 논리(Hacklin et al., 2010)에 따르면 기술의 결합이 조직의 결합에 앞서므로, 경계를 넘는 특허의 분포는 조직 경계의 변화에 앞서 나타나는 지표가 될 수 있다는 가설을 후속 연구에 남긴다.</w:t>
      </w:r>
    </w:p>
    <w:p>
      <w:pPr>
        <w:pStyle w:val="BodyText"/>
      </w:pPr>
      <w:r>
        <w:rPr>
          <w:b/>
          <w:bCs/>
        </w:rPr>
        <w:t xml:space="preserve">융합의 미시 메커니즘으로서의 다양성.</w:t>
      </w:r>
      <w:r>
        <w:t xml:space="preserve"> </w:t>
      </w:r>
      <w:r>
        <w:t xml:space="preserve">Kodama(1992)의 융합은 기업의 연구개발 조직 수준에서, 융합 지수는 분야 수준에서 정의되었다. 본 연구의 특허 수준 증거는 그 메커니즘을 개별 발명의 기술적 다양성에 놓는다. 더 많은 세부 기술에 걸치는 출원이 제조공정과 접합 기호를 함께 가지는 출원이고, 좁은 출원은 한 영역에 머문다. 두 변수가 같은 CPC 정보에서 만들어지므로 이는 결정요인이 아니라 통합형 특허의 구성적 특징이다(제5.4절). 이는 범위가 가치를 지닌다는 Lerner(1994)의 발견, 잘게 나뉜 기술 시장에서 넓은 포트폴리오가 유리하다는 Ziedonis(2004)의 설명과 맞닿아 있다. 수율이 이웃 단계의 역량에 달린 기술에서 넓은 기술적 다양성은 보호 전략일 뿐 아니라 융합이 분류 속에서 취하는 형태다.</w:t>
      </w:r>
    </w:p>
    <w:p>
      <w:pPr>
        <w:pStyle w:val="BodyText"/>
      </w:pPr>
      <w:r>
        <w:rPr>
          <w:b/>
          <w:bCs/>
        </w:rPr>
        <w:t xml:space="preserve">축적이 아닌 재구성.</w:t>
      </w:r>
      <w:r>
        <w:t xml:space="preserve"> </w:t>
      </w:r>
      <w:r>
        <w:t xml:space="preserve">융합을 단순하게 생각하면 경계를 넘는 특허의 비중이 시간이 갈수록 계속 늘 것으로 기대하게 된다. 결과는 그렇지 않았다(표 8). 2014년 이전에서 2015–2019년으로 가면서 공정 단독형은 43.6%에서 14.8%로 줄고 통합형은 31.3%에서 62.2%로 늘었다. 초기에 중요했던 평탄화, 표면 활성화, 어닐링 같은 공정 발명이 성숙기에는 홀로 분류되기보다 접합 구조와 함께 분류되기 시작한 것이다. 2020–2024년에는 통합형이 44.3%로 낮아지고 조립 단독형이 45.4%로 늘었다. 기간별 기호 수도 같은 방향이다. 출원당 접합 계열(H01L24) 기호는 2014년 이전 3.03개에서 2015–2019년 4.73개로 늘었다가 2020–2024년 3.91개로 줄었고, 제조공정 계열(H01L21) 기호는 2.12개와 2.23개에서 1.46개로 줄었다. 적용이 웨이퍼 단위에서 다이 단위 접합으로 넓어지고 HBM과 칩렛이 양산에 가까워지면서, 발명의 중심이 접합 구조와 적층 자체로 이동한 것으로 읽을 수 있다. 융합은 더 많은 특허가 경계를 넘는 방식이 아니라, 경계를 넘는 내용이 단계마다 형태를 바꾸는 방식으로 진행된 셈이다. 이는 Hacklin et al.(2009)의 공진화 논리를 하나의 기술 안에서 관찰한 것에 해당한다. 다만 이 해석은 가설로 미리 세운 것이 아니며, 접합 코드를 부여하는 심사 관행이 넓어졌을 가능성과 최근 출원의 분류가 아직 끝나지 않았을 가능성을 본 연구의 자료로는 배제할 수 없으므로 탐색적 해석으로 제시한다.</w:t>
      </w:r>
    </w:p>
    <w:p>
      <w:pPr>
        <w:pStyle w:val="BodyText"/>
      </w:pPr>
      <w:r>
        <w:rPr>
          <w:b/>
          <w:bCs/>
        </w:rPr>
        <w:t xml:space="preserve">관할권이 분류에 남기는 흔적.</w:t>
      </w:r>
      <w:r>
        <w:t xml:space="preserve"> </w:t>
      </w:r>
      <w:r>
        <w:t xml:space="preserve">출원청 간 차이가 나타난 곳은 통합형이 아니라 공정 단독형과 기술범위였다. 중국 출원청에 진입한 발명 포트폴리오는 범위가 좁고, 특정 제조공정에 집중된 출원이 상대적으로 많다. 적층 전체를 포괄하기 전에 특정 제조 단계부터 확보하는 추격 단계의 출원 양상(Lee and Lim, 2001)과 정합적인 패턴이고, 중국 특허의 양적 팽창과 보조금 정책에 관한 증거(Hu and Jefferson, 2009; Dang and Motohashi, 2015)와도 어긋나지 않는다. 그렇다고 이를 추격 전략의 직접적인 증거로 읽을 수는 없다. 출원청 계수는 관할권의 인과효과가 아니라 각 출원청에 제출된 발명 포트폴리오의 조건부 구성 차이이며, 출원인과 패밀리 정보가 통제되지 않았기 때문이다. 출원청 효과에는 출원인의 국적과 유형, 같은 발명의 해외 출원 여부, 심사 기준과 분류 관행이 뒤섞여 있고, 공정 단독형 편중은 최근 출원 구성에 민감한 제한적 결과이기도 하다. 그보다 확실하게 말할 수 있는 것은, 범위와 시점을 통제하면 통합형의 비중 자체는 출원청 간에 다르지 않다는 점이다. 본 표본에서 출원청별 차이는 공동분류형보다 한 영역에만 분류된 출원에서 더 두드러지게 관찰되었다. 한국과 대만은 범위와 통합형에서 미국과 비슷한데, 미국 출원인과 정면으로 경쟁하는 메모리 제조사와 파운드리의 위치를 생각하면 자연스러운 결과다.</w:t>
      </w:r>
    </w:p>
    <w:bookmarkEnd w:id="47"/>
    <w:bookmarkStart w:id="48" w:name="실무적정책적-함의"/>
    <w:p>
      <w:pPr>
        <w:pStyle w:val="Heading3"/>
      </w:pPr>
      <w:r>
        <w:t xml:space="preserve">6.2 실무적·정책적 함의</w:t>
      </w:r>
    </w:p>
    <w:p>
      <w:pPr>
        <w:pStyle w:val="FirstParagraph"/>
      </w:pPr>
      <w:r>
        <w:t xml:space="preserve">자료가 출원인의 유형을 구분하지 않으므로 실무적 함의는 가능성의 수준에서만 제시한다. 조립·테스트 전문업체의 성과나 특허 경쟁력을 직접 비교한 연구는 아니다. 그러나 상당수 출원이 제조공정과 접합 기술을 함께 포함한다는 결과는, 하이브리드 본딩에서는 접합 장비를 잘 다루는 것만으로는 충분하지 않고 표면 평탄화, 오염 제어, 표면 화학, 정렬까지 아우르는 인접 공정 지식이 중요해질 수 있음을 시사한다. 독립적 산업 분석이 파운드리, 종합반도체기업, 라이선싱 기업을 특허 활동을 주도하는 출원인으로 꼽는 것(KnowMade, 2024)도 같은 방향을 가리킨다. 파운드리와 종합반도체기업의 패키징 내재화를 이 결과가 직접 입증하는 것은 아니다. 다만 제조공정과 접합 기술의 공동분류가 빈번하다는 사실은 두 공정 영역을 잇는 지식 범위가 하이브리드 본딩 관련 특허 활동에서 중요하다는 점을 보여주며, 이는 Kapoor와 Adner(2012)가 말한 지식 경계의 논리와 정합적이다.</w:t>
      </w:r>
    </w:p>
    <w:p>
      <w:pPr>
        <w:pStyle w:val="BodyText"/>
      </w:pPr>
      <w:r>
        <w:t xml:space="preserve">정책 면에서는 관할권 비교가 시사하는 바가 있다. 중국 출원청 표본의 좁은 클래스 내 CPC 범위는 견고하게 관찰되었다. 그 원인이 보조금 정책(Dang and Motohashi, 2015)인지, 출원인 구성인지, 기술 단계나 출원 선택인지는 본 자료로는 가릴 수 없다. 한국 출원청의 계수는 기준 모형에서 유의하지 않으므로 한국에 대한 함의는 표본 전체의 패턴에서 끌어낸 것임을 밝혀 둔다. 차세대 HBM을 하이브리드 본딩에 기대고 있는 한국의 메모리 산업에 이 결과가 시사하는 바는, 패키징 경쟁력이 패키징 노하우만이 아니라 평탄화, 표면 화학, 정렬 계측 같은 제조공정 역량, 그리고 이를 하나의 특허출원에서 통합적으로 보호하는 능력에 달려 있을 수 있다는 점이다.</w:t>
      </w:r>
    </w:p>
    <w:bookmarkEnd w:id="48"/>
    <w:bookmarkStart w:id="49" w:name="한계와-향후-연구"/>
    <w:p>
      <w:pPr>
        <w:pStyle w:val="Heading3"/>
      </w:pPr>
      <w:r>
        <w:t xml:space="preserve">6.3 한계와 향후 연구</w:t>
      </w:r>
    </w:p>
    <w:p>
      <w:pPr>
        <w:pStyle w:val="FirstParagraph"/>
      </w:pPr>
      <w:r>
        <w:t xml:space="preserve">본 연구의 한계는 여섯 가지로 정리된다. 첫째, 구성타당성이다. H01L21–H01L24 공동분류는 공정 단계 간 기술융합의 대리측정치이며, H01L21에는 조립 단계의 제조공정도 들어 있고, 기술범위는 유형과 같은 CPC 정보에서 만들어진다. 좁은 정의로도 회귀 결과는 유지되지만 통합형의 비중 같은 기술통계는 정의에 따라 달라진다. 둘째, 표본 선택이다. 제목 키워드 검색은 정밀하지만 제목에 관련어가 없는 출원을 놓치고,</w:t>
      </w:r>
      <w:r>
        <w:t xml:space="preserve"> </w:t>
      </w:r>
      <w:r>
        <w:rPr>
          <w:i/>
          <w:iCs/>
        </w:rPr>
        <w:t xml:space="preserve">direct bonding</w:t>
      </w:r>
      <w:r>
        <w:t xml:space="preserve">은 뜻이 넓어 무관한 용법 68건을 따로 걸러야 했다. 셋째, 관측단위와 중복이다. 분석단위는 출원이며 공식 패밀리 식별자가 없어 동일 제목으로 근사 조정했으므로, 관측치의 독립성은 완전히 보장되지 않는다. 넷째, 누락변수다. 출원인과 기업 유형, 국적, 응용처, 웨이퍼 단위와 다이 단위 접합의 구분, 두 클래스 밖의 CPC 기호가 자료에 없다. 이 때문에 중국 출원청의 프로필이 어떤 출원인 집단에서 비롯되는지는 가리지 못하며, PATSTAT의 출원인 정보와 정식 패밀리 식별자, 전체 CPC 기호를 결합하는 것이 다음 단계다. 다섯째, 시간과 공개 시차다. 초기 출원은 드물고, 연도 효과는 선형으로 가정했으며, 2023–2024년 출원은 불완전하게 관측된다. 또한 CPC는 주기적으로 개정되며 과거 출원도 소급 재분류될 수 있다. 본 연구는 사용된 PATSTAT 판본의 분류 스냅샷을 이용했으므로, 관찰된 시간 패턴의 일부는 기술 변화뿐 아니라 분류 관행의 변화도 반영할 수 있다. 여섯째, 인과성이다. 다양성과 유형은 함께 결정될 가능성이 높고 적절한 도구변수가 없으므로 인과관계는 주장하지 않으며, 출원청 계수는 관할권의 효과가 아니고, 산업 아키텍처와 기업 전략은 직접 검정하지 않는다. 끝으로 융합의 신호로 쓴 CPC 공동분류는 재현 가능하지만 발명보다 늦게 부여된다. 텍스트 기반 방법(Preschitschek et al., 2013; Zhu and Motohashi, 2022)은 더 이른 탐지가 가능하지만 학습된 모형에 의존한다. H01L21과 H01L24의 경계가 제도적으로 명확한 본 연구에서는 재현가능성을 택했다.</w:t>
      </w:r>
    </w:p>
    <w:p>
      <w:pPr>
        <w:pStyle w:val="BodyText"/>
      </w:pPr>
      <w:r>
        <w:t xml:space="preserve">본 연구의 설계는 다른 맥락에도 그대로 적용할 수 있다. 디스플레이의 첨단 리소그래피, 배터리의 셀-투-팩 통합, 항공우주 조립의 적층제조처럼 하류 단계가 상류 역량에 의존하기 시작한 공정기술은 모두 같은 두 클래스 규칙과 이산선택 모형으로 살필 수 있다. 여러 사례를 비교하면 여기서 본 재구성의 움직임이 일반적인지 알 수 있을 것이다. 또한 각 특허가 여러 기호의 집합이라는 점을 살려 고차 공출현을 보존하는 표현이나 일반성 지수(Petralia, 2020)를 쓰면, 하이브리드 본딩이 로직, 메모리, 이미지센서로 퍼져 가는 범용기술적 성격을 직접 검정할 수 있다.</w:t>
      </w:r>
    </w:p>
    <w:bookmarkEnd w:id="49"/>
    <w:bookmarkEnd w:id="50"/>
    <w:bookmarkStart w:id="51" w:name="결론"/>
    <w:p>
      <w:pPr>
        <w:pStyle w:val="Heading2"/>
      </w:pPr>
      <w:r>
        <w:t xml:space="preserve">7. 결론</w:t>
      </w:r>
    </w:p>
    <w:p>
      <w:pPr>
        <w:pStyle w:val="FirstParagraph"/>
      </w:pPr>
      <w:r>
        <w:t xml:space="preserve">기술융합은 그동안 주로 산업과 산업의 만남으로 연구되어 왔다. 본 연구는 융합이 한 산업의 공정 단계 사이에서도 일어나는지를 개별 출원 수준에서 물었다. 하이브리드 본딩 관련 출원 928건에 부여된 CPC 기호를 기준으로 각 출원을 조립 단독형, 공정 단독형, 통합형으로 나누고, 어떤 특성의 출원이 두 영역의 분류를 함께 가지는지를 추정하였다.</w:t>
      </w:r>
    </w:p>
    <w:p>
      <w:pPr>
        <w:pStyle w:val="BodyText"/>
      </w:pPr>
      <w:r>
        <w:t xml:space="preserve">결과는 견고성에 따라 세 층으로 나누어 읽을 수 있다. 가장 견고한 것은 세 가지다. 본 연구의 검색식으로 식별된 하이브리드 본딩 관련 출원에서 제조공정과 접합 기술의 공동분류는 45.8%에 이르렀고, 보수적 정의로도 37.2%여서 예외적인 현상이라 보기 어렵다. 공정 단독형의 상대위험은 표본과 정의를 어떻게 바꾸어도 최근 출원일수록 낮았다. 중국 출원청 출원은 미국 출원청 출원보다 두 클래스 안의 CPC 범위가 좁았고, 이 차이 역시 모든 표본에서 유지되었다.</w:t>
      </w:r>
    </w:p>
    <w:p>
      <w:pPr>
        <w:pStyle w:val="BodyText"/>
      </w:pPr>
      <w:r>
        <w:t xml:space="preserve">그다음 층의 보조 결과로는 통합형과 높은 기술적 다양성의 연관, 그리고 통합형 비중이 늘었다가 줄어든 시기별 움직임이 있다. 앞의 것은 통합형의 구성적 특징으로, 뒤의 것은 탐색적 해석으로 제시하였다. 제한적 결과는 중국 출원청의 공정 단독형 편중인데, 이는 최근 출원 구성에 민감하다. 출원인과 공식 패밀리 정보가 없는 본 자료에서 출원청별 차이는 관할권의 인과효과가 아니라 각 출원청에 진입한 발명 포트폴리오의 구성 차이로 해석해야 하며, 산업 아키텍처의 변화는 직접 검정하지 않았다.</w:t>
      </w:r>
    </w:p>
    <w:p>
      <w:pPr>
        <w:pStyle w:val="BodyText"/>
      </w:pPr>
      <w:r>
        <w:t xml:space="preserve">본 연구의 핵심 기여는 새로운 융합지수를 제안한 데 있지 않다. 공동분류를 개별 특허의 유형으로 재구성하여 특허 수준의 이질성과 관련 요인을 추정할 수 있게 하고, 이를 산업 내 공정 단계 간 융합이라는 새로운 사례에 적용한 데 있다.</w:t>
      </w:r>
    </w:p>
    <w:p>
      <w:r>
        <w:pict>
          <v:rect style="width:0;height:1.5pt" o:hralign="center" o:hrstd="t" o:hr="t"/>
        </w:pict>
      </w:r>
    </w:p>
    <w:bookmarkEnd w:id="51"/>
    <w:bookmarkStart w:id="52" w:name="참고문헌-references"/>
    <w:p>
      <w:pPr>
        <w:pStyle w:val="Heading2"/>
      </w:pPr>
      <w:r>
        <w:t xml:space="preserve">참고문헌 (References)</w:t>
      </w:r>
    </w:p>
    <w:p>
      <w:pPr>
        <w:pStyle w:val="FirstParagraph"/>
      </w:pPr>
      <w:r>
        <w:t xml:space="preserve">Arden, W., Brillouët, M., Cogez, P., Graef, M., Huizing, B., Mahnkopf, R., 2010.</w:t>
      </w:r>
      <w:r>
        <w:t xml:space="preserve"> </w:t>
      </w:r>
      <w:r>
        <w:t xml:space="preserve">“More-than-Moore”</w:t>
      </w:r>
      <w:r>
        <w:t xml:space="preserve"> </w:t>
      </w:r>
      <w:r>
        <w:t xml:space="preserve">white paper. International Technology Roadmap for Semiconductors (ITRS).</w:t>
      </w:r>
    </w:p>
    <w:p>
      <w:pPr>
        <w:pStyle w:val="BodyText"/>
      </w:pPr>
      <w:r>
        <w:t xml:space="preserve">Brown, C., Linden, G., 2009. Chips and Change: How Crisis Reshapes the Semiconductor Industry. MIT Press, Cambridge, MA.</w:t>
      </w:r>
    </w:p>
    <w:p>
      <w:pPr>
        <w:pStyle w:val="BodyText"/>
      </w:pPr>
      <w:r>
        <w:t xml:space="preserve">Bröring, S., Cloutier, L.M., Leker, J., 2006. The front end of innovation in an era of industry convergence: Evidence from nutraceuticals and functional foods. R&amp;D Management 36 (5), 487–498. https://doi.org/10.1111/j.1467-9310.2006.00449.x</w:t>
      </w:r>
    </w:p>
    <w:p>
      <w:pPr>
        <w:pStyle w:val="BodyText"/>
      </w:pPr>
      <w:r>
        <w:t xml:space="preserve">Cameron, A.C., Trivedi, P.K., 2013. Regression Analysis of Count Data, 2nd ed. Cambridge University Press, Cambridge.</w:t>
      </w:r>
    </w:p>
    <w:p>
      <w:pPr>
        <w:pStyle w:val="BodyText"/>
      </w:pPr>
      <w:r>
        <w:t xml:space="preserve">Caviggioli, F., 2016. Technology fusion: Identification and analysis of the drivers of technology convergence using patent data. Technovation 55–56, 22–32. https://doi.org/10.1016/j.technovation.2016.04.003</w:t>
      </w:r>
    </w:p>
    <w:p>
      <w:pPr>
        <w:pStyle w:val="BodyText"/>
      </w:pPr>
      <w:r>
        <w:t xml:space="preserve">Cho, Y., Kim, M., 2014. Entropy and gravity concepts as new methodological indexes to investigate technological convergence: Patent network-based approach. PLOS ONE 9 (6), e98009. https://doi.org/10.1371/journal.pone.0098009</w:t>
      </w:r>
    </w:p>
    <w:p>
      <w:pPr>
        <w:pStyle w:val="BodyText"/>
      </w:pPr>
      <w:r>
        <w:t xml:space="preserve">Curran, C.-S., Bröring, S., Leker, J., 2010. Anticipating converging industries using publicly available data. Technological Forecasting and Social Change 77 (3), 385–395. https://doi.org/10.1016/j.techfore.2009.10.002</w:t>
      </w:r>
    </w:p>
    <w:p>
      <w:pPr>
        <w:pStyle w:val="BodyText"/>
      </w:pPr>
      <w:r>
        <w:t xml:space="preserve">Curran, C.-S., Leker, J., 2011. Patent indicators for monitoring convergence – Examples from NFF and ICT. Technological Forecasting and Social Change 78 (2), 256–273. https://doi.org/10.1016/j.techfore.2010.06.021</w:t>
      </w:r>
    </w:p>
    <w:p>
      <w:pPr>
        <w:pStyle w:val="BodyText"/>
      </w:pPr>
      <w:r>
        <w:t xml:space="preserve">Dang, J., Motohashi, K., 2015. Patent statistics: A good indicator for innovation in China? Patent subsidy program impacts on patent quality. China Economic Review 35, 137–155. https://doi.org/10.1016/j.chieco.2015.03.012</w:t>
      </w:r>
    </w:p>
    <w:p>
      <w:pPr>
        <w:pStyle w:val="BodyText"/>
      </w:pPr>
      <w:r>
        <w:t xml:space="preserve">European Patent Office, 2025. PATSTAT Global (2025 edition) [Database]. EPO, Vienna.</w:t>
      </w:r>
    </w:p>
    <w:p>
      <w:pPr>
        <w:pStyle w:val="BodyText"/>
      </w:pPr>
      <w:r>
        <w:t xml:space="preserve">Gambardella, A., Torrisi, S., 1998. Does technological convergence imply convergence in markets? Evidence from the electronics industry. Research Policy 27 (5), 445–463. https://doi.org/10.1016/S0048-7333(98)00062-6</w:t>
      </w:r>
    </w:p>
    <w:p>
      <w:pPr>
        <w:pStyle w:val="BodyText"/>
      </w:pPr>
      <w:r>
        <w:t xml:space="preserve">Geum, Y., Kim, M.-S., Lee, S., 2016. How industrial convergence happens: A taxonomical approach based on empirical evidences. Technological Forecasting and Social Change 107, 112–120. https://doi.org/10.1016/j.techfore.2016.03.020</w:t>
      </w:r>
    </w:p>
    <w:p>
      <w:pPr>
        <w:pStyle w:val="BodyText"/>
      </w:pPr>
      <w:r>
        <w:t xml:space="preserve">Grimes, S., Du, D., 2022. China’s emerging role in the global semiconductor value chain. Telecommunications Policy 46 (2), 101959. https://doi.org/10.1016/j.telpol.2020.101959</w:t>
      </w:r>
    </w:p>
    <w:p>
      <w:pPr>
        <w:pStyle w:val="BodyText"/>
      </w:pPr>
      <w:r>
        <w:t xml:space="preserve">Hacklin, F., Marxt, C., Fahrni, F., 2009. Coevolutionary cycles of convergence: An extrapolation from the ICT industry. Technological Forecasting and Social Change 76 (6), 723–736. https://doi.org/10.1016/j.techfore.2009.03.003</w:t>
      </w:r>
    </w:p>
    <w:p>
      <w:pPr>
        <w:pStyle w:val="BodyText"/>
      </w:pPr>
      <w:r>
        <w:t xml:space="preserve">Hacklin, F., Marxt, C., Fahrni, F., 2010. An evolutionary perspective on convergence: Inducing a stage model of inter-industry innovation. International Journal of Technology Management 49 (1–3), 220–249. https://doi.org/10.1504/IJTM.2010.029419</w:t>
      </w:r>
    </w:p>
    <w:p>
      <w:pPr>
        <w:pStyle w:val="BodyText"/>
      </w:pPr>
      <w:r>
        <w:t xml:space="preserve">Hall, B.H., Ziedonis, R.H., 2001. The patent paradox revisited: An empirical study of patenting in the U.S. semiconductor industry, 1979–1995. RAND Journal of Economics 32 (1), 101–128. https://doi.org/10.2307/2696400</w:t>
      </w:r>
    </w:p>
    <w:p>
      <w:pPr>
        <w:pStyle w:val="BodyText"/>
      </w:pPr>
      <w:r>
        <w:t xml:space="preserve">Hosmer, D.W., Lemeshow, S., Sturdivant, R.X., 2013. Applied Logistic Regression, 3rd ed. Wiley, Hoboken, NJ.</w:t>
      </w:r>
    </w:p>
    <w:p>
      <w:pPr>
        <w:pStyle w:val="BodyText"/>
      </w:pPr>
      <w:r>
        <w:t xml:space="preserve">Hu, A.G., Jefferson, G.H., 2009. A great wall of patents: What is behind China’s recent patent explosion? Journal of Development Economics 90 (1), 57–68. https://doi.org/10.1016/j.jdeveco.2008.11.004</w:t>
      </w:r>
    </w:p>
    <w:p>
      <w:pPr>
        <w:pStyle w:val="BodyText"/>
      </w:pPr>
      <w:r>
        <w:t xml:space="preserve">Hwang, I., 2020. The effect of collaborative innovation on ICT-based technological convergence: A patent-based analysis. PLOS ONE 15 (2), e0228616. https://doi.org/10.1371/journal.pone.0228616</w:t>
      </w:r>
    </w:p>
    <w:p>
      <w:pPr>
        <w:pStyle w:val="BodyText"/>
      </w:pPr>
      <w:r>
        <w:t xml:space="preserve">Iyer, S.S., 2016. Heterogeneous integration for performance and scaling. IEEE Transactions on Components, Packaging and Manufacturing Technology 6 (7), 973–982. https://doi.org/10.1109/TCPMT.2015.2511626</w:t>
      </w:r>
    </w:p>
    <w:p>
      <w:pPr>
        <w:pStyle w:val="BodyText"/>
      </w:pPr>
      <w:r>
        <w:t xml:space="preserve">Jacobides, M.G., Knudsen, T., Augier, M., 2006. Benefiting from innovation: Value creation, value appropriation and the role of industry architectures. Research Policy 35 (8), 1200–1221. https://doi.org/10.1016/j.respol.2006.09.005</w:t>
      </w:r>
    </w:p>
    <w:p>
      <w:pPr>
        <w:pStyle w:val="BodyText"/>
      </w:pPr>
      <w:r>
        <w:t xml:space="preserve">Jeong, S., Kim, J.-C., Choi, J.Y., 2015. Technology convergence: What developmental stage are we in? Scientometrics 104 (3), 841–871. https://doi.org/10.1007/s11192-015-1606-6</w:t>
      </w:r>
    </w:p>
    <w:p>
      <w:pPr>
        <w:pStyle w:val="BodyText"/>
      </w:pPr>
      <w:r>
        <w:t xml:space="preserve">Kapoor, R., 2013. Persistence of integration in the face of specialization: How firms navigated the winds of disintegration and shaped the architecture of the semiconductor industry. Organization Science 24 (4), 1195–1213. https://doi.org/10.1287/orsc.1120.0802</w:t>
      </w:r>
    </w:p>
    <w:p>
      <w:pPr>
        <w:pStyle w:val="BodyText"/>
      </w:pPr>
      <w:r>
        <w:t xml:space="preserve">Kapoor, R., Adner, R., 2012. What firms make vs. what they know: How firms’ production and knowledge boundaries affect competitive advantage in the face of technological change. Organization Science 23 (5), 1227–1248. https://doi.org/10.1287/orsc.1110.0686</w:t>
      </w:r>
    </w:p>
    <w:p>
      <w:pPr>
        <w:pStyle w:val="BodyText"/>
      </w:pPr>
      <w:r>
        <w:t xml:space="preserve">Karvonen, M., Kässi, T., 2012. Industry convergence analysis with patent citations in changing value systems. International Journal of Business and Systems Research 6 (2), 150–175. https://doi.org/10.1504/IJBSR.2012.046353</w:t>
      </w:r>
    </w:p>
    <w:p>
      <w:pPr>
        <w:pStyle w:val="BodyText"/>
      </w:pPr>
      <w:r>
        <w:t xml:space="preserve">Khan, H.N., Hounshell, D.A., Fuchs, E.R.H., 2018. Science and research policy at the end of Moore’s law. Nature Electronics 1 (1), 14–21. https://doi.org/10.1038/s41928-017-0005-9</w:t>
      </w:r>
    </w:p>
    <w:p>
      <w:pPr>
        <w:pStyle w:val="BodyText"/>
      </w:pPr>
      <w:r>
        <w:t xml:space="preserve">KnowMade, 2024. Hybrid Bonding Patent Landscape Analysis 2024 [Industry report]. KnowMade (Yole Group), Sophia Antipolis. https://www.knowmade.com/patent-analytics-services/patent-report/semiconductor-patent-landscape/semiconductor-advanced-packaging-patent-landscape/hybrid-bonding-patent-landscape-analysis-2024/</w:t>
      </w:r>
    </w:p>
    <w:p>
      <w:pPr>
        <w:pStyle w:val="BodyText"/>
      </w:pPr>
      <w:r>
        <w:t xml:space="preserve">Kodama, F., 1992. Technology fusion and the new R&amp;D. Harvard Business Review 70 (4), 70–78.</w:t>
      </w:r>
    </w:p>
    <w:p>
      <w:pPr>
        <w:pStyle w:val="BodyText"/>
      </w:pPr>
      <w:r>
        <w:t xml:space="preserve">Kwon, O., An, Y., Kim, M., Lee, C., 2020. Anticipating technology-driven industry convergence: Evidence from large-scale patent analysis. Technology Analysis &amp; Strategic Management 32 (4), 363–378. https://doi.org/10.1080/09537325.2019.1661374</w:t>
      </w:r>
    </w:p>
    <w:p>
      <w:pPr>
        <w:pStyle w:val="BodyText"/>
      </w:pPr>
      <w:r>
        <w:t xml:space="preserve">Langlois, R.N., Steinmueller, W.E., 1999. The evolution of competitive advantage in the worldwide semiconductor industry, 1947–1996. In: Mowery, D.C., Nelson, R.R. (Eds.), Sources of Industrial Leadership: Studies of Seven Industries. Cambridge University Press, Cambridge, pp. 19–78.</w:t>
      </w:r>
    </w:p>
    <w:p>
      <w:pPr>
        <w:pStyle w:val="BodyText"/>
      </w:pPr>
      <w:r>
        <w:t xml:space="preserve">Lau, J.H., 2021. State-of-the-art and outlooks of chiplets heterogeneous integration and hybrid bonding. Journal of Microelectronics and Electronic Packaging 18 (4), 145–160. https://doi.org/10.4071/imaps.1542066</w:t>
      </w:r>
    </w:p>
    <w:p>
      <w:pPr>
        <w:pStyle w:val="BodyText"/>
      </w:pPr>
      <w:r>
        <w:t xml:space="preserve">Lau, J.H., 2022. Recent advances and trends in advanced packaging. IEEE Transactions on Components, Packaging and Manufacturing Technology 12 (2), 228–252. https://doi.org/10.1109/TCPMT.2022.3144461</w:t>
      </w:r>
    </w:p>
    <w:p>
      <w:pPr>
        <w:pStyle w:val="BodyText"/>
      </w:pPr>
      <w:r>
        <w:t xml:space="preserve">Lee, K., Lim, C., 2001. Technological regimes, catching-up and leapfrogging: Findings from the Korean industries. Research Policy 30 (3), 459–483. https://doi.org/10.1016/S0048-7333(00)00088-3</w:t>
      </w:r>
    </w:p>
    <w:p>
      <w:pPr>
        <w:pStyle w:val="BodyText"/>
      </w:pPr>
      <w:r>
        <w:t xml:space="preserve">Lee, W.S., Han, E.J., Sohn, S.Y., 2015. Predicting the pattern of technology convergence using big-data technology on large-scale triadic patents. Technological Forecasting and Social Change 100, 317–329. https://doi.org/10.1016/j.techfore.2015.07.022</w:t>
      </w:r>
    </w:p>
    <w:p>
      <w:pPr>
        <w:pStyle w:val="BodyText"/>
      </w:pPr>
      <w:r>
        <w:t xml:space="preserve">Lerner, J., 1994. The importance of patent scope: An empirical analysis. RAND Journal of Economics 25 (2), 319–333. https://doi.org/10.2307/2555833</w:t>
      </w:r>
    </w:p>
    <w:p>
      <w:pPr>
        <w:pStyle w:val="BodyText"/>
      </w:pPr>
      <w:r>
        <w:t xml:space="preserve">Macher, J.T., Mowery, D.C., 2004. Vertical specialization and industry structure in high technology industries. In: Baum, J.A.C., McGahan, A.M. (Eds.), Business Strategy over the Industry Lifecycle. Advances in Strategic Management, vol. 21. Emerald, Bingley, pp. 317–355. https://doi.org/10.1016/S0742-3322(04)21011-7</w:t>
      </w:r>
    </w:p>
    <w:p>
      <w:pPr>
        <w:pStyle w:val="BodyText"/>
      </w:pPr>
      <w:r>
        <w:t xml:space="preserve">McFadden, D., 1974. Conditional logit analysis of qualitative choice behavior. In: Zarembka, P. (Ed.), Frontiers in Econometrics. Academic Press, New York, pp. 105–142.</w:t>
      </w:r>
    </w:p>
    <w:p>
      <w:pPr>
        <w:pStyle w:val="BodyText"/>
      </w:pPr>
      <w:r>
        <w:t xml:space="preserve">No, H.J., Park, Y., 2010. Trajectory patterns of technology fusion: Trend analysis and taxonomical grouping in nanobiotechnology. Technological Forecasting and Social Change 77 (1), 63–75. https://doi.org/10.1016/j.techfore.2009.06.006</w:t>
      </w:r>
    </w:p>
    <w:p>
      <w:pPr>
        <w:pStyle w:val="BodyText"/>
      </w:pPr>
      <w:r>
        <w:t xml:space="preserve">Petralia, S., 2020. Mapping general purpose technologies with patent data. Research Policy 49 (7), 104013. https://doi.org/10.1016/j.respol.2020.104013</w:t>
      </w:r>
    </w:p>
    <w:p>
      <w:pPr>
        <w:pStyle w:val="BodyText"/>
      </w:pPr>
      <w:r>
        <w:t xml:space="preserve">Preschitschek, N., Niemann, H., Leker, J., Moehrle, M.G., 2013. Anticipating industry convergence: Semantic analyses vs IPC co-classification analyses of patents. Foresight 15 (6), 446–464. https://doi.org/10.1108/FS-10-2012-0075</w:t>
      </w:r>
    </w:p>
    <w:p>
      <w:pPr>
        <w:pStyle w:val="BodyText"/>
      </w:pPr>
      <w:r>
        <w:t xml:space="preserve">Rosenberg, N., 1963. Technological change in the machine tool industry, 1840–1910. Journal of Economic History 23 (4), 414–443. https://doi.org/10.1017/S0022050700109155</w:t>
      </w:r>
    </w:p>
    <w:p>
      <w:pPr>
        <w:pStyle w:val="BodyText"/>
      </w:pPr>
      <w:r>
        <w:t xml:space="preserve">Sick, N., Bröring, S., 2022. Exploring the research landscape of convergence from a TIM perspective: A review and research agenda. Technological Forecasting and Social Change 175, 121321. https://doi.org/10.1016/j.techfore.2021.121321</w:t>
      </w:r>
    </w:p>
    <w:p>
      <w:pPr>
        <w:pStyle w:val="BodyText"/>
      </w:pPr>
      <w:r>
        <w:t xml:space="preserve">Song, C.H., Elvers, D., Leker, J., 2017. Anticipation of converging technology areas — A refined approach for the identification of attractive fields of innovation. Technological Forecasting and Social Change 116, 98–115. https://doi.org/10.1016/j.techfore.2016.11.001</w:t>
      </w:r>
    </w:p>
    <w:p>
      <w:pPr>
        <w:pStyle w:val="BodyText"/>
      </w:pPr>
      <w:r>
        <w:t xml:space="preserve">Zhu, C., Motohashi, K., 2022. Identifying the technology convergence using patent text information: A graph convolutional networks (GCN)-based approach. Technological Forecasting and Social Change 176, 121477. https://doi.org/10.1016/j.techfore.2022.121477</w:t>
      </w:r>
    </w:p>
    <w:p>
      <w:pPr>
        <w:pStyle w:val="BodyText"/>
      </w:pPr>
      <w:r>
        <w:t xml:space="preserve">Ziedonis, R.H., 2004. Don’t fence me in: Fragmented markets for technology and the patent acquisition strategies of firms. Management Science 50 (6), 804–820. https://doi.org/10.1287/mnsc.1040.0208</w:t>
      </w:r>
    </w:p>
    <w:p>
      <w:r>
        <w:pict>
          <v:rect style="width:0;height:1.5pt" o:hralign="center" o:hrstd="t" o:hr="t"/>
        </w:pict>
      </w:r>
    </w:p>
    <w:bookmarkEnd w:id="52"/>
    <w:bookmarkStart w:id="56" w:name="부록"/>
    <w:p>
      <w:pPr>
        <w:pStyle w:val="Heading2"/>
      </w:pPr>
      <w:r>
        <w:t xml:space="preserve">부록</w:t>
      </w:r>
    </w:p>
    <w:bookmarkStart w:id="53" w:name="부록-a.-기술범위-모형의-비교"/>
    <w:p>
      <w:pPr>
        <w:pStyle w:val="Heading3"/>
      </w:pPr>
      <w:r>
        <w:t xml:space="preserve">부록 A. 기술범위 모형의 비교</w:t>
      </w:r>
    </w:p>
    <w:p>
      <w:pPr>
        <w:pStyle w:val="FirstParagraph"/>
      </w:pPr>
      <w:r>
        <w:t xml:space="preserve">표 A1은 본문의 음이항 모형을 선형 회귀(OLS) 및 Poisson 모형과 나란히 보인 것이다. 부호와 유의성은 세 모형에서 같다. 다만 기술범위는 분산이 평균보다 훨씬 큰 카운트 변수여서(음이항의 과산포 모수 α = 0.268, 표준오차 0.020; Poisson 대비 우도비 검정 χ² = 596.3, p &lt; 0.001), Poisson의 표준오차는 실제보다 작게 추정된다. 예컨대 일본 계수의 표준오차는 Poisson에서 0.080, 음이항에서 0.133이다. 이 때문에 본문에서는 음이항을 쓴다.</w:t>
      </w:r>
    </w:p>
    <w:p>
      <w:pPr>
        <w:pStyle w:val="BodyText"/>
      </w:pPr>
      <w:r>
        <w:rPr>
          <w:b/>
          <w:bCs/>
        </w:rPr>
        <w:t xml:space="preserve">표 A1.</w:t>
      </w:r>
      <w:r>
        <w:t xml:space="preserve"> </w:t>
      </w:r>
      <w:r>
        <w:t xml:space="preserve">기술범위의 관련 요인: 모형 비교(N = 928; 출원청 기준 = 미국; 괄호 안은 표준오차; Poisson·음이항 계수의 지수가 IRR; * p &lt; 0.10, ** p &lt; 0.05, *** p &lt; 0.01).</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937"/>
        <w:gridCol w:w="2377"/>
        <w:gridCol w:w="2377"/>
        <w:gridCol w:w="2377"/>
      </w:tblGrid>
      <w:tr>
        <w:trPr>
          <w:tblHeader w:val="on"/>
          <w:cantSplit/>
        </w:trPr>
        <w:tc>
          <w:tcPr>
            <w:tcW w:type="dxa" w:w="1937"/>
            <w:tcBorders>
              <w:bottom w:val="single" w:sz="4" w:space="0" w:color="000000"/>
            </w:tcBorders>
          </w:tcPr>
          <w:p>
            <w:pPr>
              <w:pStyle w:val="Compact"/>
              <w:spacing w:before="20" w:after="20" w:line="240" w:lineRule="auto"/>
              <w:keepNext/>
            </w:pPr>
          </w:p>
        </w:tc>
        <w:tc>
          <w:tcPr>
            <w:tcW w:type="dxa" w:w="2377"/>
            <w:tcBorders>
              <w:bottom w:val="single" w:sz="4" w:space="0" w:color="000000"/>
            </w:tcBorders>
          </w:tcPr>
          <w:p>
            <w:pPr>
              <w:pStyle w:val="Compact"/>
              <w:spacing w:before="20" w:after="20" w:line="240" w:lineRule="auto"/>
              <w:jc w:val="center"/>
              <w:keepNext/>
            </w:pPr>
            <w:r>
              <w:rPr>
                <w:sz w:val="18"/>
                <w:szCs w:val="18"/>
              </w:rPr>
              <w:t xml:space="preserve">OLS</w:t>
            </w:r>
          </w:p>
        </w:tc>
        <w:tc>
          <w:tcPr>
            <w:tcW w:type="dxa" w:w="2377"/>
            <w:tcBorders>
              <w:bottom w:val="single" w:sz="4" w:space="0" w:color="000000"/>
            </w:tcBorders>
          </w:tcPr>
          <w:p>
            <w:pPr>
              <w:pStyle w:val="Compact"/>
              <w:spacing w:before="20" w:after="20" w:line="240" w:lineRule="auto"/>
              <w:jc w:val="center"/>
              <w:keepNext/>
            </w:pPr>
            <w:r>
              <w:rPr>
                <w:sz w:val="18"/>
                <w:szCs w:val="18"/>
              </w:rPr>
              <w:t xml:space="preserve">Poisson</w:t>
            </w:r>
          </w:p>
        </w:tc>
        <w:tc>
          <w:tcPr>
            <w:tcW w:type="dxa" w:w="2377"/>
            <w:tcBorders>
              <w:bottom w:val="single" w:sz="4" w:space="0" w:color="000000"/>
            </w:tcBorders>
          </w:tcPr>
          <w:p>
            <w:pPr>
              <w:pStyle w:val="Compact"/>
              <w:spacing w:before="20" w:after="20" w:line="240" w:lineRule="auto"/>
              <w:jc w:val="center"/>
              <w:keepNext/>
            </w:pPr>
            <w:r>
              <w:rPr>
                <w:sz w:val="18"/>
                <w:szCs w:val="18"/>
              </w:rPr>
              <w:t xml:space="preserve">음이항</w:t>
            </w:r>
          </w:p>
        </w:tc>
      </w:tr>
      <w:tr>
        <w:trPr>
          <w:cantSplit/>
        </w:trPr>
        <w:tc>
          <w:tcPr>
            <w:tcW w:type="dxa" w:w="1937"/>
          </w:tcPr>
          <w:p>
            <w:pPr>
              <w:pStyle w:val="Compact"/>
              <w:spacing w:before="20" w:after="20" w:line="240" w:lineRule="auto"/>
              <w:keepNext/>
            </w:pPr>
            <w:r>
              <w:rPr>
                <w:sz w:val="18"/>
                <w:szCs w:val="18"/>
              </w:rPr>
              <w:t xml:space="preserve">출원연도(yc)</w:t>
            </w:r>
          </w:p>
        </w:tc>
        <w:tc>
          <w:tcPr>
            <w:tcW w:type="dxa" w:w="2377"/>
          </w:tcPr>
          <w:p>
            <w:pPr>
              <w:pStyle w:val="Compact"/>
              <w:spacing w:before="20" w:after="20" w:line="240" w:lineRule="auto"/>
              <w:jc w:val="center"/>
              <w:keepNext/>
            </w:pPr>
            <w:r>
              <w:rPr>
                <w:sz w:val="18"/>
                <w:szCs w:val="18"/>
              </w:rPr>
              <w:t xml:space="preserve">0.070*** (0.019)</w:t>
            </w:r>
          </w:p>
        </w:tc>
        <w:tc>
          <w:tcPr>
            <w:tcW w:type="dxa" w:w="2377"/>
          </w:tcPr>
          <w:p>
            <w:pPr>
              <w:pStyle w:val="Compact"/>
              <w:spacing w:before="20" w:after="20" w:line="240" w:lineRule="auto"/>
              <w:jc w:val="center"/>
              <w:keepNext/>
            </w:pPr>
            <w:r>
              <w:rPr>
                <w:sz w:val="18"/>
                <w:szCs w:val="18"/>
              </w:rPr>
              <w:t xml:space="preserve">0.013*** (0.002)</w:t>
            </w:r>
          </w:p>
        </w:tc>
        <w:tc>
          <w:tcPr>
            <w:tcW w:type="dxa" w:w="2377"/>
          </w:tcPr>
          <w:p>
            <w:pPr>
              <w:pStyle w:val="Compact"/>
              <w:spacing w:before="20" w:after="20" w:line="240" w:lineRule="auto"/>
              <w:jc w:val="center"/>
              <w:keepNext/>
            </w:pPr>
            <w:r>
              <w:rPr>
                <w:sz w:val="18"/>
                <w:szCs w:val="18"/>
              </w:rPr>
              <w:t xml:space="preserve">0.014*** (0.003)</w:t>
            </w:r>
          </w:p>
        </w:tc>
      </w:tr>
      <w:tr>
        <w:trPr>
          <w:cantSplit/>
        </w:trPr>
        <w:tc>
          <w:tcPr>
            <w:tcW w:type="dxa" w:w="1937"/>
          </w:tcPr>
          <w:p>
            <w:pPr>
              <w:pStyle w:val="Compact"/>
              <w:spacing w:before="20" w:after="20" w:line="240" w:lineRule="auto"/>
              <w:keepNext/>
            </w:pPr>
            <w:r>
              <w:rPr>
                <w:sz w:val="18"/>
                <w:szCs w:val="18"/>
              </w:rPr>
              <w:t xml:space="preserve">중국(CN)</w:t>
            </w:r>
          </w:p>
        </w:tc>
        <w:tc>
          <w:tcPr>
            <w:tcW w:type="dxa" w:w="2377"/>
          </w:tcPr>
          <w:p>
            <w:pPr>
              <w:pStyle w:val="Compact"/>
              <w:spacing w:before="20" w:after="20" w:line="240" w:lineRule="auto"/>
              <w:jc w:val="center"/>
              <w:keepNext/>
            </w:pPr>
            <w:r>
              <w:rPr>
                <w:sz w:val="18"/>
                <w:szCs w:val="18"/>
              </w:rPr>
              <w:t xml:space="preserve">−1.321*** (0.370)</w:t>
            </w:r>
          </w:p>
        </w:tc>
        <w:tc>
          <w:tcPr>
            <w:tcW w:type="dxa" w:w="2377"/>
          </w:tcPr>
          <w:p>
            <w:pPr>
              <w:pStyle w:val="Compact"/>
              <w:spacing w:before="20" w:after="20" w:line="240" w:lineRule="auto"/>
              <w:jc w:val="center"/>
              <w:keepNext/>
            </w:pPr>
            <w:r>
              <w:rPr>
                <w:sz w:val="18"/>
                <w:szCs w:val="18"/>
              </w:rPr>
              <w:t xml:space="preserve">−0.241*** (0.040)</w:t>
            </w:r>
          </w:p>
        </w:tc>
        <w:tc>
          <w:tcPr>
            <w:tcW w:type="dxa" w:w="2377"/>
          </w:tcPr>
          <w:p>
            <w:pPr>
              <w:pStyle w:val="Compact"/>
              <w:spacing w:before="20" w:after="20" w:line="240" w:lineRule="auto"/>
              <w:jc w:val="center"/>
              <w:keepNext/>
            </w:pPr>
            <w:r>
              <w:rPr>
                <w:sz w:val="18"/>
                <w:szCs w:val="18"/>
              </w:rPr>
              <w:t xml:space="preserve">−0.242*** (0.062)</w:t>
            </w:r>
          </w:p>
        </w:tc>
      </w:tr>
      <w:tr>
        <w:trPr>
          <w:cantSplit/>
        </w:trPr>
        <w:tc>
          <w:tcPr>
            <w:tcW w:type="dxa" w:w="1937"/>
          </w:tcPr>
          <w:p>
            <w:pPr>
              <w:pStyle w:val="Compact"/>
              <w:spacing w:before="20" w:after="20" w:line="240" w:lineRule="auto"/>
              <w:keepNext/>
            </w:pPr>
            <w:r>
              <w:rPr>
                <w:sz w:val="18"/>
                <w:szCs w:val="18"/>
              </w:rPr>
              <w:t xml:space="preserve">한국(KR)</w:t>
            </w:r>
          </w:p>
        </w:tc>
        <w:tc>
          <w:tcPr>
            <w:tcW w:type="dxa" w:w="2377"/>
          </w:tcPr>
          <w:p>
            <w:pPr>
              <w:pStyle w:val="Compact"/>
              <w:spacing w:before="20" w:after="20" w:line="240" w:lineRule="auto"/>
              <w:jc w:val="center"/>
              <w:keepNext/>
            </w:pPr>
            <w:r>
              <w:rPr>
                <w:sz w:val="18"/>
                <w:szCs w:val="18"/>
              </w:rPr>
              <w:t xml:space="preserve">0.089 (0.570)</w:t>
            </w:r>
          </w:p>
        </w:tc>
        <w:tc>
          <w:tcPr>
            <w:tcW w:type="dxa" w:w="2377"/>
          </w:tcPr>
          <w:p>
            <w:pPr>
              <w:pStyle w:val="Compact"/>
              <w:spacing w:before="20" w:after="20" w:line="240" w:lineRule="auto"/>
              <w:jc w:val="center"/>
              <w:keepNext/>
            </w:pPr>
            <w:r>
              <w:rPr>
                <w:sz w:val="18"/>
                <w:szCs w:val="18"/>
              </w:rPr>
              <w:t xml:space="preserve">0.017 (0.059)</w:t>
            </w:r>
          </w:p>
        </w:tc>
        <w:tc>
          <w:tcPr>
            <w:tcW w:type="dxa" w:w="2377"/>
          </w:tcPr>
          <w:p>
            <w:pPr>
              <w:pStyle w:val="Compact"/>
              <w:spacing w:before="20" w:after="20" w:line="240" w:lineRule="auto"/>
              <w:jc w:val="center"/>
              <w:keepNext/>
            </w:pPr>
            <w:r>
              <w:rPr>
                <w:sz w:val="18"/>
                <w:szCs w:val="18"/>
              </w:rPr>
              <w:t xml:space="preserve">0.017 (0.094)</w:t>
            </w:r>
          </w:p>
        </w:tc>
      </w:tr>
      <w:tr>
        <w:trPr>
          <w:cantSplit/>
        </w:trPr>
        <w:tc>
          <w:tcPr>
            <w:tcW w:type="dxa" w:w="1937"/>
          </w:tcPr>
          <w:p>
            <w:pPr>
              <w:pStyle w:val="Compact"/>
              <w:spacing w:before="20" w:after="20" w:line="240" w:lineRule="auto"/>
              <w:keepNext/>
            </w:pPr>
            <w:r>
              <w:rPr>
                <w:sz w:val="18"/>
                <w:szCs w:val="18"/>
              </w:rPr>
              <w:t xml:space="preserve">대만(TW)</w:t>
            </w:r>
          </w:p>
        </w:tc>
        <w:tc>
          <w:tcPr>
            <w:tcW w:type="dxa" w:w="2377"/>
          </w:tcPr>
          <w:p>
            <w:pPr>
              <w:pStyle w:val="Compact"/>
              <w:spacing w:before="20" w:after="20" w:line="240" w:lineRule="auto"/>
              <w:jc w:val="center"/>
              <w:keepNext/>
            </w:pPr>
            <w:r>
              <w:rPr>
                <w:sz w:val="18"/>
                <w:szCs w:val="18"/>
              </w:rPr>
              <w:t xml:space="preserve">0.102 (0.510)</w:t>
            </w:r>
          </w:p>
        </w:tc>
        <w:tc>
          <w:tcPr>
            <w:tcW w:type="dxa" w:w="2377"/>
          </w:tcPr>
          <w:p>
            <w:pPr>
              <w:pStyle w:val="Compact"/>
              <w:spacing w:before="20" w:after="20" w:line="240" w:lineRule="auto"/>
              <w:jc w:val="center"/>
              <w:keepNext/>
            </w:pPr>
            <w:r>
              <w:rPr>
                <w:sz w:val="18"/>
                <w:szCs w:val="18"/>
              </w:rPr>
              <w:t xml:space="preserve">0.016 (0.051)</w:t>
            </w:r>
          </w:p>
        </w:tc>
        <w:tc>
          <w:tcPr>
            <w:tcW w:type="dxa" w:w="2377"/>
          </w:tcPr>
          <w:p>
            <w:pPr>
              <w:pStyle w:val="Compact"/>
              <w:spacing w:before="20" w:after="20" w:line="240" w:lineRule="auto"/>
              <w:jc w:val="center"/>
              <w:keepNext/>
            </w:pPr>
            <w:r>
              <w:rPr>
                <w:sz w:val="18"/>
                <w:szCs w:val="18"/>
              </w:rPr>
              <w:t xml:space="preserve">0.021 (0.083)</w:t>
            </w:r>
          </w:p>
        </w:tc>
      </w:tr>
      <w:tr>
        <w:trPr>
          <w:cantSplit/>
        </w:trPr>
        <w:tc>
          <w:tcPr>
            <w:tcW w:type="dxa" w:w="1937"/>
          </w:tcPr>
          <w:p>
            <w:pPr>
              <w:pStyle w:val="Compact"/>
              <w:spacing w:before="20" w:after="20" w:line="240" w:lineRule="auto"/>
              <w:keepNext/>
            </w:pPr>
            <w:r>
              <w:rPr>
                <w:sz w:val="18"/>
                <w:szCs w:val="18"/>
              </w:rPr>
              <w:t xml:space="preserve">일본(JP)</w:t>
            </w:r>
          </w:p>
        </w:tc>
        <w:tc>
          <w:tcPr>
            <w:tcW w:type="dxa" w:w="2377"/>
          </w:tcPr>
          <w:p>
            <w:pPr>
              <w:pStyle w:val="Compact"/>
              <w:spacing w:before="20" w:after="20" w:line="240" w:lineRule="auto"/>
              <w:jc w:val="center"/>
              <w:keepNext/>
            </w:pPr>
            <w:r>
              <w:rPr>
                <w:sz w:val="18"/>
                <w:szCs w:val="18"/>
              </w:rPr>
              <w:t xml:space="preserve">1.737** (0.845)</w:t>
            </w:r>
          </w:p>
        </w:tc>
        <w:tc>
          <w:tcPr>
            <w:tcW w:type="dxa" w:w="2377"/>
          </w:tcPr>
          <w:p>
            <w:pPr>
              <w:pStyle w:val="Compact"/>
              <w:spacing w:before="20" w:after="20" w:line="240" w:lineRule="auto"/>
              <w:jc w:val="center"/>
              <w:keepNext/>
            </w:pPr>
            <w:r>
              <w:rPr>
                <w:sz w:val="18"/>
                <w:szCs w:val="18"/>
              </w:rPr>
              <w:t xml:space="preserve">0.280*** (0.080)</w:t>
            </w:r>
          </w:p>
        </w:tc>
        <w:tc>
          <w:tcPr>
            <w:tcW w:type="dxa" w:w="2377"/>
          </w:tcPr>
          <w:p>
            <w:pPr>
              <w:pStyle w:val="Compact"/>
              <w:spacing w:before="20" w:after="20" w:line="240" w:lineRule="auto"/>
              <w:jc w:val="center"/>
              <w:keepNext/>
            </w:pPr>
            <w:r>
              <w:rPr>
                <w:sz w:val="18"/>
                <w:szCs w:val="18"/>
              </w:rPr>
              <w:t xml:space="preserve">0.239* (0.133)</w:t>
            </w:r>
          </w:p>
        </w:tc>
      </w:tr>
      <w:tr>
        <w:trPr>
          <w:cantSplit/>
        </w:trPr>
        <w:tc>
          <w:tcPr>
            <w:tcW w:type="dxa" w:w="1937"/>
          </w:tcPr>
          <w:p>
            <w:pPr>
              <w:pStyle w:val="Compact"/>
              <w:spacing w:before="20" w:after="20" w:line="240" w:lineRule="auto"/>
              <w:keepNext/>
            </w:pPr>
            <w:r>
              <w:rPr>
                <w:sz w:val="18"/>
                <w:szCs w:val="18"/>
              </w:rPr>
              <w:t xml:space="preserve">EPO(EP)</w:t>
            </w:r>
          </w:p>
        </w:tc>
        <w:tc>
          <w:tcPr>
            <w:tcW w:type="dxa" w:w="2377"/>
          </w:tcPr>
          <w:p>
            <w:pPr>
              <w:pStyle w:val="Compact"/>
              <w:spacing w:before="20" w:after="20" w:line="240" w:lineRule="auto"/>
              <w:jc w:val="center"/>
              <w:keepNext/>
            </w:pPr>
            <w:r>
              <w:rPr>
                <w:sz w:val="18"/>
                <w:szCs w:val="18"/>
              </w:rPr>
              <w:t xml:space="preserve">−0.032 (0.487)</w:t>
            </w:r>
          </w:p>
        </w:tc>
        <w:tc>
          <w:tcPr>
            <w:tcW w:type="dxa" w:w="2377"/>
          </w:tcPr>
          <w:p>
            <w:pPr>
              <w:pStyle w:val="Compact"/>
              <w:spacing w:before="20" w:after="20" w:line="240" w:lineRule="auto"/>
              <w:jc w:val="center"/>
              <w:keepNext/>
            </w:pPr>
            <w:r>
              <w:rPr>
                <w:sz w:val="18"/>
                <w:szCs w:val="18"/>
              </w:rPr>
              <w:t xml:space="preserve">−0.005 (0.050)</w:t>
            </w:r>
          </w:p>
        </w:tc>
        <w:tc>
          <w:tcPr>
            <w:tcW w:type="dxa" w:w="2377"/>
          </w:tcPr>
          <w:p>
            <w:pPr>
              <w:pStyle w:val="Compact"/>
              <w:spacing w:before="20" w:after="20" w:line="240" w:lineRule="auto"/>
              <w:jc w:val="center"/>
              <w:keepNext/>
            </w:pPr>
            <w:r>
              <w:rPr>
                <w:sz w:val="18"/>
                <w:szCs w:val="18"/>
              </w:rPr>
              <w:t xml:space="preserve">−0.007 (0.080)</w:t>
            </w:r>
          </w:p>
        </w:tc>
      </w:tr>
      <w:tr>
        <w:trPr>
          <w:cantSplit/>
        </w:trPr>
        <w:tc>
          <w:tcPr>
            <w:tcW w:type="dxa" w:w="1937"/>
          </w:tcPr>
          <w:p>
            <w:pPr>
              <w:pStyle w:val="Compact"/>
              <w:spacing w:before="20" w:after="20" w:line="240" w:lineRule="auto"/>
              <w:keepNext/>
            </w:pPr>
            <w:r>
              <w:rPr>
                <w:sz w:val="18"/>
                <w:szCs w:val="18"/>
              </w:rPr>
              <w:t xml:space="preserve">PCT(WO)</w:t>
            </w:r>
          </w:p>
        </w:tc>
        <w:tc>
          <w:tcPr>
            <w:tcW w:type="dxa" w:w="2377"/>
          </w:tcPr>
          <w:p>
            <w:pPr>
              <w:pStyle w:val="Compact"/>
              <w:spacing w:before="20" w:after="20" w:line="240" w:lineRule="auto"/>
              <w:jc w:val="center"/>
              <w:keepNext/>
            </w:pPr>
            <w:r>
              <w:rPr>
                <w:sz w:val="18"/>
                <w:szCs w:val="18"/>
              </w:rPr>
              <w:t xml:space="preserve">−1.071** (0.432)</w:t>
            </w:r>
          </w:p>
        </w:tc>
        <w:tc>
          <w:tcPr>
            <w:tcW w:type="dxa" w:w="2377"/>
          </w:tcPr>
          <w:p>
            <w:pPr>
              <w:pStyle w:val="Compact"/>
              <w:spacing w:before="20" w:after="20" w:line="240" w:lineRule="auto"/>
              <w:jc w:val="center"/>
              <w:keepNext/>
            </w:pPr>
            <w:r>
              <w:rPr>
                <w:sz w:val="18"/>
                <w:szCs w:val="18"/>
              </w:rPr>
              <w:t xml:space="preserve">−0.193*** (0.047)</w:t>
            </w:r>
          </w:p>
        </w:tc>
        <w:tc>
          <w:tcPr>
            <w:tcW w:type="dxa" w:w="2377"/>
          </w:tcPr>
          <w:p>
            <w:pPr>
              <w:pStyle w:val="Compact"/>
              <w:spacing w:before="20" w:after="20" w:line="240" w:lineRule="auto"/>
              <w:jc w:val="center"/>
              <w:keepNext/>
            </w:pPr>
            <w:r>
              <w:rPr>
                <w:sz w:val="18"/>
                <w:szCs w:val="18"/>
              </w:rPr>
              <w:t xml:space="preserve">−0.191*** (0.073)</w:t>
            </w:r>
          </w:p>
        </w:tc>
      </w:tr>
      <w:tr>
        <w:trPr>
          <w:cantSplit/>
        </w:trPr>
        <w:tc>
          <w:tcPr>
            <w:tcW w:type="dxa" w:w="1937"/>
          </w:tcPr>
          <w:p>
            <w:pPr>
              <w:pStyle w:val="Compact"/>
              <w:spacing w:before="20" w:after="20" w:line="240" w:lineRule="auto"/>
              <w:keepNext/>
            </w:pPr>
            <w:r>
              <w:rPr>
                <w:sz w:val="18"/>
                <w:szCs w:val="18"/>
              </w:rPr>
              <w:t xml:space="preserve">기타</w:t>
            </w:r>
          </w:p>
        </w:tc>
        <w:tc>
          <w:tcPr>
            <w:tcW w:type="dxa" w:w="2377"/>
          </w:tcPr>
          <w:p>
            <w:pPr>
              <w:pStyle w:val="Compact"/>
              <w:spacing w:before="20" w:after="20" w:line="240" w:lineRule="auto"/>
              <w:jc w:val="center"/>
              <w:keepNext/>
            </w:pPr>
            <w:r>
              <w:rPr>
                <w:sz w:val="18"/>
                <w:szCs w:val="18"/>
              </w:rPr>
              <w:t xml:space="preserve">0.124 (1.029)</w:t>
            </w:r>
          </w:p>
        </w:tc>
        <w:tc>
          <w:tcPr>
            <w:tcW w:type="dxa" w:w="2377"/>
          </w:tcPr>
          <w:p>
            <w:pPr>
              <w:pStyle w:val="Compact"/>
              <w:spacing w:before="20" w:after="20" w:line="240" w:lineRule="auto"/>
              <w:jc w:val="center"/>
              <w:keepNext/>
            </w:pPr>
            <w:r>
              <w:rPr>
                <w:sz w:val="18"/>
                <w:szCs w:val="18"/>
              </w:rPr>
              <w:t xml:space="preserve">0.024 (0.106)</w:t>
            </w:r>
          </w:p>
        </w:tc>
        <w:tc>
          <w:tcPr>
            <w:tcW w:type="dxa" w:w="2377"/>
          </w:tcPr>
          <w:p>
            <w:pPr>
              <w:pStyle w:val="Compact"/>
              <w:spacing w:before="20" w:after="20" w:line="240" w:lineRule="auto"/>
              <w:jc w:val="center"/>
              <w:keepNext/>
            </w:pPr>
            <w:r>
              <w:rPr>
                <w:sz w:val="18"/>
                <w:szCs w:val="18"/>
              </w:rPr>
              <w:t xml:space="preserve">0.056 (0.171)</w:t>
            </w:r>
          </w:p>
        </w:tc>
      </w:tr>
      <w:tr>
        <w:trPr>
          <w:cantSplit/>
        </w:trPr>
        <w:tc>
          <w:tcPr>
            <w:tcW w:type="dxa" w:w="1937"/>
          </w:tcPr>
          <w:p>
            <w:pPr>
              <w:pStyle w:val="Compact"/>
              <w:spacing w:before="20" w:after="20" w:line="240" w:lineRule="auto"/>
              <w:keepNext/>
            </w:pPr>
            <w:r>
              <w:rPr>
                <w:sz w:val="18"/>
                <w:szCs w:val="18"/>
              </w:rPr>
              <w:t xml:space="preserve">상수</w:t>
            </w:r>
          </w:p>
        </w:tc>
        <w:tc>
          <w:tcPr>
            <w:tcW w:type="dxa" w:w="2377"/>
          </w:tcPr>
          <w:p>
            <w:pPr>
              <w:pStyle w:val="Compact"/>
              <w:spacing w:before="20" w:after="20" w:line="240" w:lineRule="auto"/>
              <w:jc w:val="center"/>
              <w:keepNext/>
            </w:pPr>
            <w:r>
              <w:rPr>
                <w:sz w:val="18"/>
                <w:szCs w:val="18"/>
              </w:rPr>
              <w:t xml:space="preserve">2.506*** (0.944)</w:t>
            </w:r>
          </w:p>
        </w:tc>
        <w:tc>
          <w:tcPr>
            <w:tcW w:type="dxa" w:w="2377"/>
          </w:tcPr>
          <w:p>
            <w:pPr>
              <w:pStyle w:val="Compact"/>
              <w:spacing w:before="20" w:after="20" w:line="240" w:lineRule="auto"/>
              <w:jc w:val="center"/>
              <w:keepNext/>
            </w:pPr>
            <w:r>
              <w:rPr>
                <w:sz w:val="18"/>
                <w:szCs w:val="18"/>
              </w:rPr>
              <w:t xml:space="preserve">1.143*** (0.107)</w:t>
            </w:r>
          </w:p>
        </w:tc>
        <w:tc>
          <w:tcPr>
            <w:tcW w:type="dxa" w:w="2377"/>
          </w:tcPr>
          <w:p>
            <w:pPr>
              <w:pStyle w:val="Compact"/>
              <w:spacing w:before="20" w:after="20" w:line="240" w:lineRule="auto"/>
              <w:jc w:val="center"/>
              <w:keepNext/>
            </w:pPr>
            <w:r>
              <w:rPr>
                <w:sz w:val="18"/>
                <w:szCs w:val="18"/>
              </w:rPr>
              <w:t xml:space="preserve">1.069*** (0.175)</w:t>
            </w:r>
          </w:p>
        </w:tc>
      </w:tr>
      <w:tr>
        <w:trPr>
          <w:cantSplit/>
        </w:trPr>
        <w:tc>
          <w:tcPr>
            <w:tcW w:type="dxa" w:w="1937"/>
          </w:tcPr>
          <w:p>
            <w:pPr>
              <w:pStyle w:val="Compact"/>
              <w:spacing w:before="20" w:after="20" w:line="240" w:lineRule="auto"/>
              <w:keepNext/>
            </w:pPr>
            <w:r>
              <w:rPr>
                <w:sz w:val="18"/>
                <w:szCs w:val="18"/>
              </w:rPr>
              <w:t xml:space="preserve">R²</w:t>
            </w:r>
          </w:p>
        </w:tc>
        <w:tc>
          <w:tcPr>
            <w:tcW w:type="dxa" w:w="2377"/>
          </w:tcPr>
          <w:p>
            <w:pPr>
              <w:pStyle w:val="Compact"/>
              <w:spacing w:before="20" w:after="20" w:line="240" w:lineRule="auto"/>
              <w:jc w:val="center"/>
              <w:keepNext/>
            </w:pPr>
            <w:r>
              <w:rPr>
                <w:sz w:val="18"/>
                <w:szCs w:val="18"/>
              </w:rPr>
              <w:t xml:space="preserve">0.033</w:t>
            </w:r>
          </w:p>
        </w:tc>
        <w:tc>
          <w:tcPr>
            <w:tcW w:type="dxa" w:w="2377"/>
          </w:tcPr>
          <w:p>
            <w:pPr>
              <w:pStyle w:val="Compact"/>
              <w:spacing w:before="20" w:after="20" w:line="240" w:lineRule="auto"/>
              <w:jc w:val="center"/>
              <w:keepNext/>
            </w:pPr>
            <w:r>
              <w:rPr>
                <w:sz w:val="18"/>
                <w:szCs w:val="18"/>
              </w:rPr>
              <w:t xml:space="preserve">—</w:t>
            </w:r>
          </w:p>
        </w:tc>
        <w:tc>
          <w:tcPr>
            <w:tcW w:type="dxa" w:w="2377"/>
          </w:tcPr>
          <w:p>
            <w:pPr>
              <w:pStyle w:val="Compact"/>
              <w:spacing w:before="20" w:after="20" w:line="240" w:lineRule="auto"/>
              <w:jc w:val="center"/>
              <w:keepNext/>
            </w:pPr>
            <w:r>
              <w:rPr>
                <w:sz w:val="18"/>
                <w:szCs w:val="18"/>
              </w:rPr>
              <w:t xml:space="preserve">—</w:t>
            </w:r>
          </w:p>
        </w:tc>
      </w:tr>
      <w:tr>
        <w:trPr>
          <w:cantSplit/>
        </w:trPr>
        <w:tc>
          <w:tcPr>
            <w:tcW w:type="dxa" w:w="1937"/>
          </w:tcPr>
          <w:p>
            <w:pPr>
              <w:pStyle w:val="Compact"/>
              <w:spacing w:before="20" w:after="20" w:line="240" w:lineRule="auto"/>
              <w:keepNext/>
            </w:pPr>
            <w:r>
              <w:rPr>
                <w:sz w:val="18"/>
                <w:szCs w:val="18"/>
              </w:rPr>
              <w:t xml:space="preserve">AIC</w:t>
            </w:r>
          </w:p>
        </w:tc>
        <w:tc>
          <w:tcPr>
            <w:tcW w:type="dxa" w:w="2377"/>
          </w:tcPr>
          <w:p>
            <w:pPr>
              <w:pStyle w:val="Compact"/>
              <w:spacing w:before="20" w:after="20" w:line="240" w:lineRule="auto"/>
              <w:jc w:val="center"/>
              <w:keepNext/>
            </w:pPr>
            <w:r>
              <w:rPr>
                <w:sz w:val="18"/>
                <w:szCs w:val="18"/>
              </w:rPr>
              <w:t xml:space="preserve">5,224.9</w:t>
            </w:r>
          </w:p>
        </w:tc>
        <w:tc>
          <w:tcPr>
            <w:tcW w:type="dxa" w:w="2377"/>
          </w:tcPr>
          <w:p>
            <w:pPr>
              <w:pStyle w:val="Compact"/>
              <w:spacing w:before="20" w:after="20" w:line="240" w:lineRule="auto"/>
              <w:jc w:val="center"/>
              <w:keepNext/>
            </w:pPr>
            <w:r>
              <w:rPr>
                <w:sz w:val="18"/>
                <w:szCs w:val="18"/>
              </w:rPr>
              <w:t xml:space="preserve">5,477.2</w:t>
            </w:r>
          </w:p>
        </w:tc>
        <w:tc>
          <w:tcPr>
            <w:tcW w:type="dxa" w:w="2377"/>
          </w:tcPr>
          <w:p>
            <w:pPr>
              <w:pStyle w:val="Compact"/>
              <w:spacing w:before="20" w:after="20" w:line="240" w:lineRule="auto"/>
              <w:jc w:val="center"/>
              <w:keepNext/>
            </w:pPr>
            <w:r>
              <w:rPr>
                <w:sz w:val="18"/>
                <w:szCs w:val="18"/>
              </w:rPr>
              <w:t xml:space="preserve">4,883.0</w:t>
            </w:r>
          </w:p>
        </w:tc>
      </w:tr>
    </w:tbl>
    <w:bookmarkEnd w:id="53"/>
    <w:bookmarkStart w:id="54" w:name="부록-b.-재추정-결과-전체"/>
    <w:p>
      <w:pPr>
        <w:pStyle w:val="Heading3"/>
      </w:pPr>
      <w:r>
        <w:t xml:space="preserve">부록 B. 재추정 결과 전체</w:t>
      </w:r>
    </w:p>
    <w:p>
      <w:pPr>
        <w:pStyle w:val="FirstParagraph"/>
      </w:pPr>
      <w:r>
        <w:t xml:space="preserve">표 B1과 B2는 본문의 강건성 요약표에 실은 재추정의 전체 계수다. 각 열은 표본 또는 변수 정의를 하나씩 바꾼 다항 로짓이며, 기준 열은 본문의 다항 로짓 표와 같다. 조정 범위는 각 클래스의 첫 기호를 뺀 기술범위를, 동일 제목 중복 제거는 같은 제목의 출원 가운데 가장 이른 1건만 남긴 표본을, 좁은 전공정 정의는 H01L21의 조립 단계 공정 기호를 제조공정으로 세지 않은 변수를, 무관 용법 제외는 부록 C의 68건을 뺀 표본을, 핵심 표본은 제목에 hybrid bonding이 들어 있는 출원만 남긴 표본을, 2023–2024년 제외는 공개 시차의 영향을 받는 두 해를 뺀 표본을 뜻한다. 2010년 이후 표본은 본문 제5.1절과 제5.4절(일본)에서 언급한 것이다.</w:t>
      </w:r>
    </w:p>
    <w:p>
      <w:pPr>
        <w:pStyle w:val="BodyText"/>
      </w:pPr>
      <w:r>
        <w:rPr>
          <w:b/>
          <w:bCs/>
        </w:rPr>
        <w:t xml:space="preserve">표 B1.</w:t>
      </w:r>
      <w:r>
        <w:t xml:space="preserve"> </w:t>
      </w:r>
      <w:r>
        <w:t xml:space="preserve">다항 로짓의 통합형 방정식: 표본·변수별 상대위험비(기준 범주 = 조립 단독형; 출원청 기준 = 미국; 괄호 안은 로그 계수의 표준오차; * p &lt; 0.10, ** p &lt; 0.05, *** p &lt; 0.01).</w:t>
      </w:r>
    </w:p>
    <w:tbl>
      <w:tblPr>
        <w:tblStyle w:val="Table"/>
        <w:tblW w:type="dxa" w:w="9072"/>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06"/>
        <w:gridCol w:w="980"/>
        <w:gridCol w:w="980"/>
        <w:gridCol w:w="980"/>
        <w:gridCol w:w="980"/>
        <w:gridCol w:w="980"/>
        <w:gridCol w:w="980"/>
        <w:gridCol w:w="1106"/>
        <w:gridCol w:w="980"/>
      </w:tblGrid>
      <w:tr>
        <w:trPr>
          <w:tblHeader w:val="on"/>
          <w:cantSplit/>
        </w:trPr>
        <w:tc>
          <w:tcPr>
            <w:tcW w:type="dxa" w:w="1106"/>
            <w:tcBorders>
              <w:bottom w:val="single" w:sz="4" w:space="0" w:color="000000"/>
            </w:tcBorders>
          </w:tcPr>
          <w:p>
            <w:pPr>
              <w:pStyle w:val="Compact"/>
              <w:spacing w:before="20" w:after="20" w:line="240" w:lineRule="auto"/>
              <w:keepNext/>
            </w:pPr>
          </w:p>
        </w:tc>
        <w:tc>
          <w:tcPr>
            <w:tcW w:type="dxa" w:w="980"/>
            <w:tcBorders>
              <w:bottom w:val="single" w:sz="4" w:space="0" w:color="000000"/>
            </w:tcBorders>
          </w:tcPr>
          <w:p>
            <w:pPr>
              <w:pStyle w:val="Compact"/>
              <w:spacing w:before="20" w:after="20" w:line="240" w:lineRule="auto"/>
              <w:jc w:val="center"/>
              <w:keepNext/>
            </w:pPr>
            <w:r>
              <w:rPr>
                <w:sz w:val="13"/>
                <w:szCs w:val="13"/>
              </w:rPr>
              <w:t xml:space="preserve">기준</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조정 범위</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동일 제목 중복 제거</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좁은 전공정 정의</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무관 용법 제외</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핵심 표본</w:t>
            </w:r>
          </w:p>
        </w:tc>
        <w:tc>
          <w:tcPr>
            <w:tcW w:type="dxa" w:w="1106"/>
            <w:tcBorders>
              <w:bottom w:val="single" w:sz="4" w:space="0" w:color="000000"/>
            </w:tcBorders>
          </w:tcPr>
          <w:p>
            <w:pPr>
              <w:pStyle w:val="Compact"/>
              <w:spacing w:before="20" w:after="20" w:line="240" w:lineRule="auto"/>
              <w:jc w:val="center"/>
              <w:keepNext/>
            </w:pPr>
            <w:r>
              <w:rPr>
                <w:sz w:val="13"/>
                <w:szCs w:val="13"/>
              </w:rPr>
              <w:t xml:space="preserve">2023–2024년 제외</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2010년 이후</w:t>
            </w:r>
          </w:p>
        </w:tc>
      </w:tr>
      <w:tr>
        <w:trPr>
          <w:cantSplit/>
        </w:trPr>
        <w:tc>
          <w:tcPr>
            <w:tcW w:type="dxa" w:w="1106"/>
          </w:tcPr>
          <w:p>
            <w:pPr>
              <w:pStyle w:val="Compact"/>
              <w:spacing w:before="20" w:after="20" w:line="240" w:lineRule="auto"/>
              <w:keepNext/>
            </w:pPr>
            <w:r>
              <w:rPr>
                <w:sz w:val="13"/>
                <w:szCs w:val="13"/>
              </w:rPr>
              <w:t xml:space="preserve">출원연도(yc)</w:t>
            </w:r>
          </w:p>
        </w:tc>
        <w:tc>
          <w:tcPr>
            <w:tcW w:type="dxa" w:w="980"/>
          </w:tcPr>
          <w:p>
            <w:pPr>
              <w:pStyle w:val="Compact"/>
              <w:spacing w:before="20" w:after="20" w:line="240" w:lineRule="auto"/>
              <w:jc w:val="center"/>
              <w:keepNext/>
            </w:pPr>
            <w:r>
              <w:rPr>
                <w:sz w:val="13"/>
                <w:szCs w:val="13"/>
              </w:rPr>
              <w:t xml:space="preserve">0.993 (0.015)</w:t>
            </w:r>
          </w:p>
        </w:tc>
        <w:tc>
          <w:tcPr>
            <w:tcW w:type="dxa" w:w="980"/>
          </w:tcPr>
          <w:p>
            <w:pPr>
              <w:pStyle w:val="Compact"/>
              <w:spacing w:before="20" w:after="20" w:line="240" w:lineRule="auto"/>
              <w:jc w:val="center"/>
              <w:keepNext/>
            </w:pPr>
            <w:r>
              <w:rPr>
                <w:sz w:val="13"/>
                <w:szCs w:val="13"/>
              </w:rPr>
              <w:t xml:space="preserve">1.002 (0.014)</w:t>
            </w:r>
          </w:p>
        </w:tc>
        <w:tc>
          <w:tcPr>
            <w:tcW w:type="dxa" w:w="980"/>
          </w:tcPr>
          <w:p>
            <w:pPr>
              <w:pStyle w:val="Compact"/>
              <w:spacing w:before="20" w:after="20" w:line="240" w:lineRule="auto"/>
              <w:jc w:val="center"/>
              <w:keepNext/>
            </w:pPr>
            <w:r>
              <w:rPr>
                <w:sz w:val="13"/>
                <w:szCs w:val="13"/>
              </w:rPr>
              <w:t xml:space="preserve">0.997 (0.018)</w:t>
            </w:r>
          </w:p>
        </w:tc>
        <w:tc>
          <w:tcPr>
            <w:tcW w:type="dxa" w:w="980"/>
          </w:tcPr>
          <w:p>
            <w:pPr>
              <w:pStyle w:val="Compact"/>
              <w:spacing w:before="20" w:after="20" w:line="240" w:lineRule="auto"/>
              <w:jc w:val="center"/>
              <w:keepNext/>
            </w:pPr>
            <w:r>
              <w:rPr>
                <w:sz w:val="13"/>
                <w:szCs w:val="13"/>
              </w:rPr>
              <w:t xml:space="preserve">0.967** (0.015)</w:t>
            </w:r>
          </w:p>
        </w:tc>
        <w:tc>
          <w:tcPr>
            <w:tcW w:type="dxa" w:w="980"/>
          </w:tcPr>
          <w:p>
            <w:pPr>
              <w:pStyle w:val="Compact"/>
              <w:spacing w:before="20" w:after="20" w:line="240" w:lineRule="auto"/>
              <w:jc w:val="center"/>
              <w:keepNext/>
            </w:pPr>
            <w:r>
              <w:rPr>
                <w:sz w:val="13"/>
                <w:szCs w:val="13"/>
              </w:rPr>
              <w:t xml:space="preserve">0.949** (0.022)</w:t>
            </w:r>
          </w:p>
        </w:tc>
        <w:tc>
          <w:tcPr>
            <w:tcW w:type="dxa" w:w="980"/>
          </w:tcPr>
          <w:p>
            <w:pPr>
              <w:pStyle w:val="Compact"/>
              <w:spacing w:before="20" w:after="20" w:line="240" w:lineRule="auto"/>
              <w:jc w:val="center"/>
              <w:keepNext/>
            </w:pPr>
            <w:r>
              <w:rPr>
                <w:sz w:val="13"/>
                <w:szCs w:val="13"/>
              </w:rPr>
              <w:t xml:space="preserve">0.965 (0.033)</w:t>
            </w:r>
          </w:p>
        </w:tc>
        <w:tc>
          <w:tcPr>
            <w:tcW w:type="dxa" w:w="1106"/>
          </w:tcPr>
          <w:p>
            <w:pPr>
              <w:pStyle w:val="Compact"/>
              <w:spacing w:before="20" w:after="20" w:line="240" w:lineRule="auto"/>
              <w:jc w:val="center"/>
              <w:keepNext/>
            </w:pPr>
            <w:r>
              <w:rPr>
                <w:sz w:val="13"/>
                <w:szCs w:val="13"/>
              </w:rPr>
              <w:t xml:space="preserve">0.989 (0.018)</w:t>
            </w:r>
          </w:p>
        </w:tc>
        <w:tc>
          <w:tcPr>
            <w:tcW w:type="dxa" w:w="980"/>
          </w:tcPr>
          <w:p>
            <w:pPr>
              <w:pStyle w:val="Compact"/>
              <w:spacing w:before="20" w:after="20" w:line="240" w:lineRule="auto"/>
              <w:jc w:val="center"/>
              <w:keepNext/>
            </w:pPr>
            <w:r>
              <w:rPr>
                <w:sz w:val="13"/>
                <w:szCs w:val="13"/>
              </w:rPr>
              <w:t xml:space="preserve">0.934** (0.027)</w:t>
            </w:r>
          </w:p>
        </w:tc>
      </w:tr>
      <w:tr>
        <w:trPr>
          <w:cantSplit/>
        </w:trPr>
        <w:tc>
          <w:tcPr>
            <w:tcW w:type="dxa" w:w="1106"/>
          </w:tcPr>
          <w:p>
            <w:pPr>
              <w:pStyle w:val="Compact"/>
              <w:spacing w:before="20" w:after="20" w:line="240" w:lineRule="auto"/>
              <w:keepNext/>
            </w:pPr>
            <w:r>
              <w:rPr>
                <w:sz w:val="13"/>
                <w:szCs w:val="13"/>
              </w:rPr>
              <w:t xml:space="preserve">기술범위</w:t>
            </w:r>
          </w:p>
        </w:tc>
        <w:tc>
          <w:tcPr>
            <w:tcW w:type="dxa" w:w="980"/>
          </w:tcPr>
          <w:p>
            <w:pPr>
              <w:pStyle w:val="Compact"/>
              <w:spacing w:before="20" w:after="20" w:line="240" w:lineRule="auto"/>
              <w:jc w:val="center"/>
              <w:keepNext/>
            </w:pPr>
            <w:r>
              <w:rPr>
                <w:sz w:val="13"/>
                <w:szCs w:val="13"/>
              </w:rPr>
              <w:t xml:space="preserve">1.403*** (0.031)</w:t>
            </w:r>
          </w:p>
        </w:tc>
        <w:tc>
          <w:tcPr>
            <w:tcW w:type="dxa" w:w="980"/>
          </w:tcPr>
          <w:p>
            <w:pPr>
              <w:pStyle w:val="Compact"/>
              <w:spacing w:before="20" w:after="20" w:line="240" w:lineRule="auto"/>
              <w:jc w:val="center"/>
              <w:keepNext/>
            </w:pPr>
            <w:r>
              <w:rPr>
                <w:sz w:val="13"/>
                <w:szCs w:val="13"/>
              </w:rPr>
              <w:t xml:space="preserve">1.262*** (0.027)</w:t>
            </w:r>
          </w:p>
        </w:tc>
        <w:tc>
          <w:tcPr>
            <w:tcW w:type="dxa" w:w="980"/>
          </w:tcPr>
          <w:p>
            <w:pPr>
              <w:pStyle w:val="Compact"/>
              <w:spacing w:before="20" w:after="20" w:line="240" w:lineRule="auto"/>
              <w:jc w:val="center"/>
              <w:keepNext/>
            </w:pPr>
            <w:r>
              <w:rPr>
                <w:sz w:val="13"/>
                <w:szCs w:val="13"/>
              </w:rPr>
              <w:t xml:space="preserve">1.295*** (0.039)</w:t>
            </w:r>
          </w:p>
        </w:tc>
        <w:tc>
          <w:tcPr>
            <w:tcW w:type="dxa" w:w="980"/>
          </w:tcPr>
          <w:p>
            <w:pPr>
              <w:pStyle w:val="Compact"/>
              <w:spacing w:before="20" w:after="20" w:line="240" w:lineRule="auto"/>
              <w:jc w:val="center"/>
              <w:keepNext/>
            </w:pPr>
            <w:r>
              <w:rPr>
                <w:sz w:val="13"/>
                <w:szCs w:val="13"/>
              </w:rPr>
              <w:t xml:space="preserve">1.352*** (0.028)</w:t>
            </w:r>
          </w:p>
        </w:tc>
        <w:tc>
          <w:tcPr>
            <w:tcW w:type="dxa" w:w="980"/>
          </w:tcPr>
          <w:p>
            <w:pPr>
              <w:pStyle w:val="Compact"/>
              <w:spacing w:before="20" w:after="20" w:line="240" w:lineRule="auto"/>
              <w:jc w:val="center"/>
              <w:keepNext/>
            </w:pPr>
            <w:r>
              <w:rPr>
                <w:sz w:val="13"/>
                <w:szCs w:val="13"/>
              </w:rPr>
              <w:t xml:space="preserve">1.384*** (0.031)</w:t>
            </w:r>
          </w:p>
        </w:tc>
        <w:tc>
          <w:tcPr>
            <w:tcW w:type="dxa" w:w="980"/>
          </w:tcPr>
          <w:p>
            <w:pPr>
              <w:pStyle w:val="Compact"/>
              <w:spacing w:before="20" w:after="20" w:line="240" w:lineRule="auto"/>
              <w:jc w:val="center"/>
              <w:keepNext/>
            </w:pPr>
            <w:r>
              <w:rPr>
                <w:sz w:val="13"/>
                <w:szCs w:val="13"/>
              </w:rPr>
              <w:t xml:space="preserve">1.485*** (0.044)</w:t>
            </w:r>
          </w:p>
        </w:tc>
        <w:tc>
          <w:tcPr>
            <w:tcW w:type="dxa" w:w="1106"/>
          </w:tcPr>
          <w:p>
            <w:pPr>
              <w:pStyle w:val="Compact"/>
              <w:spacing w:before="20" w:after="20" w:line="240" w:lineRule="auto"/>
              <w:jc w:val="center"/>
              <w:keepNext/>
            </w:pPr>
            <w:r>
              <w:rPr>
                <w:sz w:val="13"/>
                <w:szCs w:val="13"/>
              </w:rPr>
              <w:t xml:space="preserve">1.418*** (0.034)</w:t>
            </w:r>
          </w:p>
        </w:tc>
        <w:tc>
          <w:tcPr>
            <w:tcW w:type="dxa" w:w="980"/>
          </w:tcPr>
          <w:p>
            <w:pPr>
              <w:pStyle w:val="Compact"/>
              <w:spacing w:before="20" w:after="20" w:line="240" w:lineRule="auto"/>
              <w:jc w:val="center"/>
              <w:keepNext/>
            </w:pPr>
            <w:r>
              <w:rPr>
                <w:sz w:val="13"/>
                <w:szCs w:val="13"/>
              </w:rPr>
              <w:t xml:space="preserve">1.385*** (0.032)</w:t>
            </w:r>
          </w:p>
        </w:tc>
      </w:tr>
      <w:tr>
        <w:trPr>
          <w:cantSplit/>
        </w:trPr>
        <w:tc>
          <w:tcPr>
            <w:tcW w:type="dxa" w:w="1106"/>
          </w:tcPr>
          <w:p>
            <w:pPr>
              <w:pStyle w:val="Compact"/>
              <w:spacing w:before="20" w:after="20" w:line="240" w:lineRule="auto"/>
              <w:keepNext/>
            </w:pPr>
            <w:r>
              <w:rPr>
                <w:sz w:val="13"/>
                <w:szCs w:val="13"/>
              </w:rPr>
              <w:t xml:space="preserve">중국(CN)</w:t>
            </w:r>
          </w:p>
        </w:tc>
        <w:tc>
          <w:tcPr>
            <w:tcW w:type="dxa" w:w="980"/>
          </w:tcPr>
          <w:p>
            <w:pPr>
              <w:pStyle w:val="Compact"/>
              <w:spacing w:before="20" w:after="20" w:line="240" w:lineRule="auto"/>
              <w:jc w:val="center"/>
              <w:keepNext/>
            </w:pPr>
            <w:r>
              <w:rPr>
                <w:sz w:val="13"/>
                <w:szCs w:val="13"/>
              </w:rPr>
              <w:t xml:space="preserve">1.205 (0.233)</w:t>
            </w:r>
          </w:p>
        </w:tc>
        <w:tc>
          <w:tcPr>
            <w:tcW w:type="dxa" w:w="980"/>
          </w:tcPr>
          <w:p>
            <w:pPr>
              <w:pStyle w:val="Compact"/>
              <w:spacing w:before="20" w:after="20" w:line="240" w:lineRule="auto"/>
              <w:jc w:val="center"/>
              <w:keepNext/>
            </w:pPr>
            <w:r>
              <w:rPr>
                <w:sz w:val="13"/>
                <w:szCs w:val="13"/>
              </w:rPr>
              <w:t xml:space="preserve">1.096 (0.220)</w:t>
            </w:r>
          </w:p>
        </w:tc>
        <w:tc>
          <w:tcPr>
            <w:tcW w:type="dxa" w:w="980"/>
          </w:tcPr>
          <w:p>
            <w:pPr>
              <w:pStyle w:val="Compact"/>
              <w:spacing w:before="20" w:after="20" w:line="240" w:lineRule="auto"/>
              <w:jc w:val="center"/>
              <w:keepNext/>
            </w:pPr>
            <w:r>
              <w:rPr>
                <w:sz w:val="13"/>
                <w:szCs w:val="13"/>
              </w:rPr>
              <w:t xml:space="preserve">1.366 (0.288)</w:t>
            </w:r>
          </w:p>
        </w:tc>
        <w:tc>
          <w:tcPr>
            <w:tcW w:type="dxa" w:w="980"/>
          </w:tcPr>
          <w:p>
            <w:pPr>
              <w:pStyle w:val="Compact"/>
              <w:spacing w:before="20" w:after="20" w:line="240" w:lineRule="auto"/>
              <w:jc w:val="center"/>
              <w:keepNext/>
            </w:pPr>
            <w:r>
              <w:rPr>
                <w:sz w:val="13"/>
                <w:szCs w:val="13"/>
              </w:rPr>
              <w:t xml:space="preserve">1.401 (0.235)</w:t>
            </w:r>
          </w:p>
        </w:tc>
        <w:tc>
          <w:tcPr>
            <w:tcW w:type="dxa" w:w="980"/>
          </w:tcPr>
          <w:p>
            <w:pPr>
              <w:pStyle w:val="Compact"/>
              <w:spacing w:before="20" w:after="20" w:line="240" w:lineRule="auto"/>
              <w:jc w:val="center"/>
              <w:keepNext/>
            </w:pPr>
            <w:r>
              <w:rPr>
                <w:sz w:val="13"/>
                <w:szCs w:val="13"/>
              </w:rPr>
              <w:t xml:space="preserve">1.350 (0.241)</w:t>
            </w:r>
          </w:p>
        </w:tc>
        <w:tc>
          <w:tcPr>
            <w:tcW w:type="dxa" w:w="980"/>
          </w:tcPr>
          <w:p>
            <w:pPr>
              <w:pStyle w:val="Compact"/>
              <w:spacing w:before="20" w:after="20" w:line="240" w:lineRule="auto"/>
              <w:jc w:val="center"/>
              <w:keepNext/>
            </w:pPr>
            <w:r>
              <w:rPr>
                <w:sz w:val="13"/>
                <w:szCs w:val="13"/>
              </w:rPr>
              <w:t xml:space="preserve">1.690 (0.329)</w:t>
            </w:r>
          </w:p>
        </w:tc>
        <w:tc>
          <w:tcPr>
            <w:tcW w:type="dxa" w:w="1106"/>
          </w:tcPr>
          <w:p>
            <w:pPr>
              <w:pStyle w:val="Compact"/>
              <w:spacing w:before="20" w:after="20" w:line="240" w:lineRule="auto"/>
              <w:jc w:val="center"/>
              <w:keepNext/>
            </w:pPr>
            <w:r>
              <w:rPr>
                <w:sz w:val="13"/>
                <w:szCs w:val="13"/>
              </w:rPr>
              <w:t xml:space="preserve">1.231 (0.258)</w:t>
            </w:r>
          </w:p>
        </w:tc>
        <w:tc>
          <w:tcPr>
            <w:tcW w:type="dxa" w:w="980"/>
          </w:tcPr>
          <w:p>
            <w:pPr>
              <w:pStyle w:val="Compact"/>
              <w:spacing w:before="20" w:after="20" w:line="240" w:lineRule="auto"/>
              <w:jc w:val="center"/>
              <w:keepNext/>
            </w:pPr>
            <w:r>
              <w:rPr>
                <w:sz w:val="13"/>
                <w:szCs w:val="13"/>
              </w:rPr>
              <w:t xml:space="preserve">1.240 (0.234)</w:t>
            </w:r>
          </w:p>
        </w:tc>
      </w:tr>
      <w:tr>
        <w:trPr>
          <w:cantSplit/>
        </w:trPr>
        <w:tc>
          <w:tcPr>
            <w:tcW w:type="dxa" w:w="1106"/>
          </w:tcPr>
          <w:p>
            <w:pPr>
              <w:pStyle w:val="Compact"/>
              <w:spacing w:before="20" w:after="20" w:line="240" w:lineRule="auto"/>
              <w:keepNext/>
            </w:pPr>
            <w:r>
              <w:rPr>
                <w:sz w:val="13"/>
                <w:szCs w:val="13"/>
              </w:rPr>
              <w:t xml:space="preserve">한국(KR)</w:t>
            </w:r>
          </w:p>
        </w:tc>
        <w:tc>
          <w:tcPr>
            <w:tcW w:type="dxa" w:w="980"/>
          </w:tcPr>
          <w:p>
            <w:pPr>
              <w:pStyle w:val="Compact"/>
              <w:spacing w:before="20" w:after="20" w:line="240" w:lineRule="auto"/>
              <w:jc w:val="center"/>
              <w:keepNext/>
            </w:pPr>
            <w:r>
              <w:rPr>
                <w:sz w:val="13"/>
                <w:szCs w:val="13"/>
              </w:rPr>
              <w:t xml:space="preserve">1.166 (0.381)</w:t>
            </w:r>
          </w:p>
        </w:tc>
        <w:tc>
          <w:tcPr>
            <w:tcW w:type="dxa" w:w="980"/>
          </w:tcPr>
          <w:p>
            <w:pPr>
              <w:pStyle w:val="Compact"/>
              <w:spacing w:before="20" w:after="20" w:line="240" w:lineRule="auto"/>
              <w:jc w:val="center"/>
              <w:keepNext/>
            </w:pPr>
            <w:r>
              <w:rPr>
                <w:sz w:val="13"/>
                <w:szCs w:val="13"/>
              </w:rPr>
              <w:t xml:space="preserve">1.161 (0.360)</w:t>
            </w:r>
          </w:p>
        </w:tc>
        <w:tc>
          <w:tcPr>
            <w:tcW w:type="dxa" w:w="980"/>
          </w:tcPr>
          <w:p>
            <w:pPr>
              <w:pStyle w:val="Compact"/>
              <w:spacing w:before="20" w:after="20" w:line="240" w:lineRule="auto"/>
              <w:jc w:val="center"/>
              <w:keepNext/>
            </w:pPr>
            <w:r>
              <w:rPr>
                <w:sz w:val="13"/>
                <w:szCs w:val="13"/>
              </w:rPr>
              <w:t xml:space="preserve">1.429 (0.485)</w:t>
            </w:r>
          </w:p>
        </w:tc>
        <w:tc>
          <w:tcPr>
            <w:tcW w:type="dxa" w:w="980"/>
          </w:tcPr>
          <w:p>
            <w:pPr>
              <w:pStyle w:val="Compact"/>
              <w:spacing w:before="20" w:after="20" w:line="240" w:lineRule="auto"/>
              <w:jc w:val="center"/>
              <w:keepNext/>
            </w:pPr>
            <w:r>
              <w:rPr>
                <w:sz w:val="13"/>
                <w:szCs w:val="13"/>
              </w:rPr>
              <w:t xml:space="preserve">1.684 (0.371)</w:t>
            </w:r>
          </w:p>
        </w:tc>
        <w:tc>
          <w:tcPr>
            <w:tcW w:type="dxa" w:w="980"/>
          </w:tcPr>
          <w:p>
            <w:pPr>
              <w:pStyle w:val="Compact"/>
              <w:spacing w:before="20" w:after="20" w:line="240" w:lineRule="auto"/>
              <w:jc w:val="center"/>
              <w:keepNext/>
            </w:pPr>
            <w:r>
              <w:rPr>
                <w:sz w:val="13"/>
                <w:szCs w:val="13"/>
              </w:rPr>
              <w:t xml:space="preserve">1.128 (0.385)</w:t>
            </w:r>
          </w:p>
        </w:tc>
        <w:tc>
          <w:tcPr>
            <w:tcW w:type="dxa" w:w="980"/>
          </w:tcPr>
          <w:p>
            <w:pPr>
              <w:pStyle w:val="Compact"/>
              <w:spacing w:before="20" w:after="20" w:line="240" w:lineRule="auto"/>
              <w:jc w:val="center"/>
              <w:keepNext/>
            </w:pPr>
            <w:r>
              <w:rPr>
                <w:sz w:val="13"/>
                <w:szCs w:val="13"/>
              </w:rPr>
              <w:t xml:space="preserve">1.334 (0.541)</w:t>
            </w:r>
          </w:p>
        </w:tc>
        <w:tc>
          <w:tcPr>
            <w:tcW w:type="dxa" w:w="1106"/>
          </w:tcPr>
          <w:p>
            <w:pPr>
              <w:pStyle w:val="Compact"/>
              <w:spacing w:before="20" w:after="20" w:line="240" w:lineRule="auto"/>
              <w:jc w:val="center"/>
              <w:keepNext/>
            </w:pPr>
            <w:r>
              <w:rPr>
                <w:sz w:val="13"/>
                <w:szCs w:val="13"/>
              </w:rPr>
              <w:t xml:space="preserve">1.095 (0.396)</w:t>
            </w:r>
          </w:p>
        </w:tc>
        <w:tc>
          <w:tcPr>
            <w:tcW w:type="dxa" w:w="980"/>
          </w:tcPr>
          <w:p>
            <w:pPr>
              <w:pStyle w:val="Compact"/>
              <w:spacing w:before="20" w:after="20" w:line="240" w:lineRule="auto"/>
              <w:jc w:val="center"/>
              <w:keepNext/>
            </w:pPr>
            <w:r>
              <w:rPr>
                <w:sz w:val="13"/>
                <w:szCs w:val="13"/>
              </w:rPr>
              <w:t xml:space="preserve">0.958 (0.394)</w:t>
            </w:r>
          </w:p>
        </w:tc>
      </w:tr>
      <w:tr>
        <w:trPr>
          <w:cantSplit/>
        </w:trPr>
        <w:tc>
          <w:tcPr>
            <w:tcW w:type="dxa" w:w="1106"/>
          </w:tcPr>
          <w:p>
            <w:pPr>
              <w:pStyle w:val="Compact"/>
              <w:spacing w:before="20" w:after="20" w:line="240" w:lineRule="auto"/>
              <w:keepNext/>
            </w:pPr>
            <w:r>
              <w:rPr>
                <w:sz w:val="13"/>
                <w:szCs w:val="13"/>
              </w:rPr>
              <w:t xml:space="preserve">대만(TW)</w:t>
            </w:r>
          </w:p>
        </w:tc>
        <w:tc>
          <w:tcPr>
            <w:tcW w:type="dxa" w:w="980"/>
          </w:tcPr>
          <w:p>
            <w:pPr>
              <w:pStyle w:val="Compact"/>
              <w:spacing w:before="20" w:after="20" w:line="240" w:lineRule="auto"/>
              <w:jc w:val="center"/>
              <w:keepNext/>
            </w:pPr>
            <w:r>
              <w:rPr>
                <w:sz w:val="13"/>
                <w:szCs w:val="13"/>
              </w:rPr>
              <w:t xml:space="preserve">1.312 (0.322)</w:t>
            </w:r>
          </w:p>
        </w:tc>
        <w:tc>
          <w:tcPr>
            <w:tcW w:type="dxa" w:w="980"/>
          </w:tcPr>
          <w:p>
            <w:pPr>
              <w:pStyle w:val="Compact"/>
              <w:spacing w:before="20" w:after="20" w:line="240" w:lineRule="auto"/>
              <w:jc w:val="center"/>
              <w:keepNext/>
            </w:pPr>
            <w:r>
              <w:rPr>
                <w:sz w:val="13"/>
                <w:szCs w:val="13"/>
              </w:rPr>
              <w:t xml:space="preserve">1.297 (0.302)</w:t>
            </w:r>
          </w:p>
        </w:tc>
        <w:tc>
          <w:tcPr>
            <w:tcW w:type="dxa" w:w="980"/>
          </w:tcPr>
          <w:p>
            <w:pPr>
              <w:pStyle w:val="Compact"/>
              <w:spacing w:before="20" w:after="20" w:line="240" w:lineRule="auto"/>
              <w:jc w:val="center"/>
              <w:keepNext/>
            </w:pPr>
            <w:r>
              <w:rPr>
                <w:sz w:val="13"/>
                <w:szCs w:val="13"/>
              </w:rPr>
              <w:t xml:space="preserve">1.267 (0.633)</w:t>
            </w:r>
          </w:p>
        </w:tc>
        <w:tc>
          <w:tcPr>
            <w:tcW w:type="dxa" w:w="980"/>
          </w:tcPr>
          <w:p>
            <w:pPr>
              <w:pStyle w:val="Compact"/>
              <w:spacing w:before="20" w:after="20" w:line="240" w:lineRule="auto"/>
              <w:jc w:val="center"/>
              <w:keepNext/>
            </w:pPr>
            <w:r>
              <w:rPr>
                <w:sz w:val="13"/>
                <w:szCs w:val="13"/>
              </w:rPr>
              <w:t xml:space="preserve">1.763* (0.315)</w:t>
            </w:r>
          </w:p>
        </w:tc>
        <w:tc>
          <w:tcPr>
            <w:tcW w:type="dxa" w:w="980"/>
          </w:tcPr>
          <w:p>
            <w:pPr>
              <w:pStyle w:val="Compact"/>
              <w:spacing w:before="20" w:after="20" w:line="240" w:lineRule="auto"/>
              <w:jc w:val="center"/>
              <w:keepNext/>
            </w:pPr>
            <w:r>
              <w:rPr>
                <w:sz w:val="13"/>
                <w:szCs w:val="13"/>
              </w:rPr>
              <w:t xml:space="preserve">1.402 (0.323)</w:t>
            </w:r>
          </w:p>
        </w:tc>
        <w:tc>
          <w:tcPr>
            <w:tcW w:type="dxa" w:w="980"/>
          </w:tcPr>
          <w:p>
            <w:pPr>
              <w:pStyle w:val="Compact"/>
              <w:spacing w:before="20" w:after="20" w:line="240" w:lineRule="auto"/>
              <w:jc w:val="center"/>
              <w:keepNext/>
            </w:pPr>
            <w:r>
              <w:rPr>
                <w:sz w:val="13"/>
                <w:szCs w:val="13"/>
              </w:rPr>
              <w:t xml:space="preserve">1.950 (0.447)</w:t>
            </w:r>
          </w:p>
        </w:tc>
        <w:tc>
          <w:tcPr>
            <w:tcW w:type="dxa" w:w="1106"/>
          </w:tcPr>
          <w:p>
            <w:pPr>
              <w:pStyle w:val="Compact"/>
              <w:spacing w:before="20" w:after="20" w:line="240" w:lineRule="auto"/>
              <w:jc w:val="center"/>
              <w:keepNext/>
            </w:pPr>
            <w:r>
              <w:rPr>
                <w:sz w:val="13"/>
                <w:szCs w:val="13"/>
              </w:rPr>
              <w:t xml:space="preserve">1.480 (0.381)</w:t>
            </w:r>
          </w:p>
        </w:tc>
        <w:tc>
          <w:tcPr>
            <w:tcW w:type="dxa" w:w="980"/>
          </w:tcPr>
          <w:p>
            <w:pPr>
              <w:pStyle w:val="Compact"/>
              <w:spacing w:before="20" w:after="20" w:line="240" w:lineRule="auto"/>
              <w:jc w:val="center"/>
              <w:keepNext/>
            </w:pPr>
            <w:r>
              <w:rPr>
                <w:sz w:val="13"/>
                <w:szCs w:val="13"/>
              </w:rPr>
              <w:t xml:space="preserve">1.400 (0.323)</w:t>
            </w:r>
          </w:p>
        </w:tc>
      </w:tr>
      <w:tr>
        <w:trPr>
          <w:cantSplit/>
        </w:trPr>
        <w:tc>
          <w:tcPr>
            <w:tcW w:type="dxa" w:w="1106"/>
          </w:tcPr>
          <w:p>
            <w:pPr>
              <w:pStyle w:val="Compact"/>
              <w:spacing w:before="20" w:after="20" w:line="240" w:lineRule="auto"/>
              <w:keepNext/>
            </w:pPr>
            <w:r>
              <w:rPr>
                <w:sz w:val="13"/>
                <w:szCs w:val="13"/>
              </w:rPr>
              <w:t xml:space="preserve">일본(JP)</w:t>
            </w:r>
          </w:p>
        </w:tc>
        <w:tc>
          <w:tcPr>
            <w:tcW w:type="dxa" w:w="980"/>
          </w:tcPr>
          <w:p>
            <w:pPr>
              <w:pStyle w:val="Compact"/>
              <w:spacing w:before="20" w:after="20" w:line="240" w:lineRule="auto"/>
              <w:jc w:val="center"/>
              <w:keepNext/>
            </w:pPr>
            <w:r>
              <w:rPr>
                <w:sz w:val="13"/>
                <w:szCs w:val="13"/>
              </w:rPr>
              <w:t xml:space="preserve">1.046 (0.557)</w:t>
            </w:r>
          </w:p>
        </w:tc>
        <w:tc>
          <w:tcPr>
            <w:tcW w:type="dxa" w:w="980"/>
          </w:tcPr>
          <w:p>
            <w:pPr>
              <w:pStyle w:val="Compact"/>
              <w:spacing w:before="20" w:after="20" w:line="240" w:lineRule="auto"/>
              <w:jc w:val="center"/>
              <w:keepNext/>
            </w:pPr>
            <w:r>
              <w:rPr>
                <w:sz w:val="13"/>
                <w:szCs w:val="13"/>
              </w:rPr>
              <w:t xml:space="preserve">1.053 (0.526)</w:t>
            </w:r>
          </w:p>
        </w:tc>
        <w:tc>
          <w:tcPr>
            <w:tcW w:type="dxa" w:w="980"/>
          </w:tcPr>
          <w:p>
            <w:pPr>
              <w:pStyle w:val="Compact"/>
              <w:spacing w:before="20" w:after="20" w:line="240" w:lineRule="auto"/>
              <w:jc w:val="center"/>
              <w:keepNext/>
            </w:pPr>
            <w:r>
              <w:rPr>
                <w:sz w:val="13"/>
                <w:szCs w:val="13"/>
              </w:rPr>
              <w:t xml:space="preserve">1.572 (0.673)</w:t>
            </w:r>
          </w:p>
        </w:tc>
        <w:tc>
          <w:tcPr>
            <w:tcW w:type="dxa" w:w="980"/>
          </w:tcPr>
          <w:p>
            <w:pPr>
              <w:pStyle w:val="Compact"/>
              <w:spacing w:before="20" w:after="20" w:line="240" w:lineRule="auto"/>
              <w:jc w:val="center"/>
              <w:keepNext/>
            </w:pPr>
            <w:r>
              <w:rPr>
                <w:sz w:val="13"/>
                <w:szCs w:val="13"/>
              </w:rPr>
              <w:t xml:space="preserve">1.401 (0.536)</w:t>
            </w:r>
          </w:p>
        </w:tc>
        <w:tc>
          <w:tcPr>
            <w:tcW w:type="dxa" w:w="980"/>
          </w:tcPr>
          <w:p>
            <w:pPr>
              <w:pStyle w:val="Compact"/>
              <w:spacing w:before="20" w:after="20" w:line="240" w:lineRule="auto"/>
              <w:jc w:val="center"/>
              <w:keepNext/>
            </w:pPr>
            <w:r>
              <w:rPr>
                <w:sz w:val="13"/>
                <w:szCs w:val="13"/>
              </w:rPr>
              <w:t xml:space="preserve">1.643 (0.654)</w:t>
            </w:r>
          </w:p>
        </w:tc>
        <w:tc>
          <w:tcPr>
            <w:tcW w:type="dxa" w:w="980"/>
          </w:tcPr>
          <w:p>
            <w:pPr>
              <w:pStyle w:val="Compact"/>
              <w:spacing w:before="20" w:after="20" w:line="240" w:lineRule="auto"/>
              <w:jc w:val="center"/>
              <w:keepNext/>
            </w:pPr>
            <w:r>
              <w:rPr>
                <w:sz w:val="13"/>
                <w:szCs w:val="13"/>
              </w:rPr>
              <w:t xml:space="preserve">1.833 (1.325)</w:t>
            </w:r>
          </w:p>
        </w:tc>
        <w:tc>
          <w:tcPr>
            <w:tcW w:type="dxa" w:w="1106"/>
          </w:tcPr>
          <w:p>
            <w:pPr>
              <w:pStyle w:val="Compact"/>
              <w:spacing w:before="20" w:after="20" w:line="240" w:lineRule="auto"/>
              <w:jc w:val="center"/>
              <w:keepNext/>
            </w:pPr>
            <w:r>
              <w:rPr>
                <w:sz w:val="13"/>
                <w:szCs w:val="13"/>
              </w:rPr>
              <w:t xml:space="preserve">0.400 (0.748)</w:t>
            </w:r>
          </w:p>
        </w:tc>
        <w:tc>
          <w:tcPr>
            <w:tcW w:type="dxa" w:w="980"/>
          </w:tcPr>
          <w:p>
            <w:pPr>
              <w:pStyle w:val="Compact"/>
              <w:spacing w:before="20" w:after="20" w:line="240" w:lineRule="auto"/>
              <w:jc w:val="center"/>
              <w:keepNext/>
            </w:pPr>
            <w:r>
              <w:rPr>
                <w:sz w:val="13"/>
                <w:szCs w:val="13"/>
              </w:rPr>
              <w:t xml:space="preserve">6.795* (1.085)</w:t>
            </w:r>
          </w:p>
        </w:tc>
      </w:tr>
      <w:tr>
        <w:trPr>
          <w:cantSplit/>
        </w:trPr>
        <w:tc>
          <w:tcPr>
            <w:tcW w:type="dxa" w:w="1106"/>
          </w:tcPr>
          <w:p>
            <w:pPr>
              <w:pStyle w:val="Compact"/>
              <w:spacing w:before="20" w:after="20" w:line="240" w:lineRule="auto"/>
              <w:keepNext/>
            </w:pPr>
            <w:r>
              <w:rPr>
                <w:sz w:val="13"/>
                <w:szCs w:val="13"/>
              </w:rPr>
              <w:t xml:space="preserve">EPO(EP)</w:t>
            </w:r>
          </w:p>
        </w:tc>
        <w:tc>
          <w:tcPr>
            <w:tcW w:type="dxa" w:w="980"/>
          </w:tcPr>
          <w:p>
            <w:pPr>
              <w:pStyle w:val="Compact"/>
              <w:spacing w:before="20" w:after="20" w:line="240" w:lineRule="auto"/>
              <w:jc w:val="center"/>
              <w:keepNext/>
            </w:pPr>
            <w:r>
              <w:rPr>
                <w:sz w:val="13"/>
                <w:szCs w:val="13"/>
              </w:rPr>
              <w:t xml:space="preserve">1.307 (0.291)</w:t>
            </w:r>
          </w:p>
        </w:tc>
        <w:tc>
          <w:tcPr>
            <w:tcW w:type="dxa" w:w="980"/>
          </w:tcPr>
          <w:p>
            <w:pPr>
              <w:pStyle w:val="Compact"/>
              <w:spacing w:before="20" w:after="20" w:line="240" w:lineRule="auto"/>
              <w:jc w:val="center"/>
              <w:keepNext/>
            </w:pPr>
            <w:r>
              <w:rPr>
                <w:sz w:val="13"/>
                <w:szCs w:val="13"/>
              </w:rPr>
              <w:t xml:space="preserve">1.302 (0.278)</w:t>
            </w:r>
          </w:p>
        </w:tc>
        <w:tc>
          <w:tcPr>
            <w:tcW w:type="dxa" w:w="980"/>
          </w:tcPr>
          <w:p>
            <w:pPr>
              <w:pStyle w:val="Compact"/>
              <w:spacing w:before="20" w:after="20" w:line="240" w:lineRule="auto"/>
              <w:jc w:val="center"/>
              <w:keepNext/>
            </w:pPr>
            <w:r>
              <w:rPr>
                <w:sz w:val="13"/>
                <w:szCs w:val="13"/>
              </w:rPr>
              <w:t xml:space="preserve">2.412* (0.480)</w:t>
            </w:r>
          </w:p>
        </w:tc>
        <w:tc>
          <w:tcPr>
            <w:tcW w:type="dxa" w:w="980"/>
          </w:tcPr>
          <w:p>
            <w:pPr>
              <w:pStyle w:val="Compact"/>
              <w:spacing w:before="20" w:after="20" w:line="240" w:lineRule="auto"/>
              <w:jc w:val="center"/>
              <w:keepNext/>
            </w:pPr>
            <w:r>
              <w:rPr>
                <w:sz w:val="13"/>
                <w:szCs w:val="13"/>
              </w:rPr>
              <w:t xml:space="preserve">1.215 (0.288)</w:t>
            </w:r>
          </w:p>
        </w:tc>
        <w:tc>
          <w:tcPr>
            <w:tcW w:type="dxa" w:w="980"/>
          </w:tcPr>
          <w:p>
            <w:pPr>
              <w:pStyle w:val="Compact"/>
              <w:spacing w:before="20" w:after="20" w:line="240" w:lineRule="auto"/>
              <w:jc w:val="center"/>
              <w:keepNext/>
            </w:pPr>
            <w:r>
              <w:rPr>
                <w:sz w:val="13"/>
                <w:szCs w:val="13"/>
              </w:rPr>
              <w:t xml:space="preserve">1.522 (0.306)</w:t>
            </w:r>
          </w:p>
        </w:tc>
        <w:tc>
          <w:tcPr>
            <w:tcW w:type="dxa" w:w="980"/>
          </w:tcPr>
          <w:p>
            <w:pPr>
              <w:pStyle w:val="Compact"/>
              <w:spacing w:before="20" w:after="20" w:line="240" w:lineRule="auto"/>
              <w:jc w:val="center"/>
              <w:keepNext/>
            </w:pPr>
            <w:r>
              <w:rPr>
                <w:sz w:val="13"/>
                <w:szCs w:val="13"/>
              </w:rPr>
              <w:t xml:space="preserve">1.267 (0.506)</w:t>
            </w:r>
          </w:p>
        </w:tc>
        <w:tc>
          <w:tcPr>
            <w:tcW w:type="dxa" w:w="1106"/>
          </w:tcPr>
          <w:p>
            <w:pPr>
              <w:pStyle w:val="Compact"/>
              <w:spacing w:before="20" w:after="20" w:line="240" w:lineRule="auto"/>
              <w:jc w:val="center"/>
              <w:keepNext/>
            </w:pPr>
            <w:r>
              <w:rPr>
                <w:sz w:val="13"/>
                <w:szCs w:val="13"/>
              </w:rPr>
              <w:t xml:space="preserve">1.078 (0.313)</w:t>
            </w:r>
          </w:p>
        </w:tc>
        <w:tc>
          <w:tcPr>
            <w:tcW w:type="dxa" w:w="980"/>
          </w:tcPr>
          <w:p>
            <w:pPr>
              <w:pStyle w:val="Compact"/>
              <w:spacing w:before="20" w:after="20" w:line="240" w:lineRule="auto"/>
              <w:jc w:val="center"/>
              <w:keepNext/>
            </w:pPr>
            <w:r>
              <w:rPr>
                <w:sz w:val="13"/>
                <w:szCs w:val="13"/>
              </w:rPr>
              <w:t xml:space="preserve">1.447 (0.302)</w:t>
            </w:r>
          </w:p>
        </w:tc>
      </w:tr>
      <w:tr>
        <w:trPr>
          <w:cantSplit/>
        </w:trPr>
        <w:tc>
          <w:tcPr>
            <w:tcW w:type="dxa" w:w="1106"/>
          </w:tcPr>
          <w:p>
            <w:pPr>
              <w:pStyle w:val="Compact"/>
              <w:spacing w:before="20" w:after="20" w:line="240" w:lineRule="auto"/>
              <w:keepNext/>
            </w:pPr>
            <w:r>
              <w:rPr>
                <w:sz w:val="13"/>
                <w:szCs w:val="13"/>
              </w:rPr>
              <w:t xml:space="preserve">PCT(WO)</w:t>
            </w:r>
          </w:p>
        </w:tc>
        <w:tc>
          <w:tcPr>
            <w:tcW w:type="dxa" w:w="980"/>
          </w:tcPr>
          <w:p>
            <w:pPr>
              <w:pStyle w:val="Compact"/>
              <w:spacing w:before="20" w:after="20" w:line="240" w:lineRule="auto"/>
              <w:jc w:val="center"/>
              <w:keepNext/>
            </w:pPr>
            <w:r>
              <w:rPr>
                <w:sz w:val="13"/>
                <w:szCs w:val="13"/>
              </w:rPr>
              <w:t xml:space="preserve">1.126 (0.268)</w:t>
            </w:r>
          </w:p>
        </w:tc>
        <w:tc>
          <w:tcPr>
            <w:tcW w:type="dxa" w:w="980"/>
          </w:tcPr>
          <w:p>
            <w:pPr>
              <w:pStyle w:val="Compact"/>
              <w:spacing w:before="20" w:after="20" w:line="240" w:lineRule="auto"/>
              <w:jc w:val="center"/>
              <w:keepNext/>
            </w:pPr>
            <w:r>
              <w:rPr>
                <w:sz w:val="13"/>
                <w:szCs w:val="13"/>
              </w:rPr>
              <w:t xml:space="preserve">1.031 (0.254)</w:t>
            </w:r>
          </w:p>
        </w:tc>
        <w:tc>
          <w:tcPr>
            <w:tcW w:type="dxa" w:w="980"/>
          </w:tcPr>
          <w:p>
            <w:pPr>
              <w:pStyle w:val="Compact"/>
              <w:spacing w:before="20" w:after="20" w:line="240" w:lineRule="auto"/>
              <w:jc w:val="center"/>
              <w:keepNext/>
            </w:pPr>
            <w:r>
              <w:rPr>
                <w:sz w:val="13"/>
                <w:szCs w:val="13"/>
              </w:rPr>
              <w:t xml:space="preserve">1.042 (0.489)</w:t>
            </w:r>
          </w:p>
        </w:tc>
        <w:tc>
          <w:tcPr>
            <w:tcW w:type="dxa" w:w="980"/>
          </w:tcPr>
          <w:p>
            <w:pPr>
              <w:pStyle w:val="Compact"/>
              <w:spacing w:before="20" w:after="20" w:line="240" w:lineRule="auto"/>
              <w:jc w:val="center"/>
              <w:keepNext/>
            </w:pPr>
            <w:r>
              <w:rPr>
                <w:sz w:val="13"/>
                <w:szCs w:val="13"/>
              </w:rPr>
              <w:t xml:space="preserve">1.193 (0.274)</w:t>
            </w:r>
          </w:p>
        </w:tc>
        <w:tc>
          <w:tcPr>
            <w:tcW w:type="dxa" w:w="980"/>
          </w:tcPr>
          <w:p>
            <w:pPr>
              <w:pStyle w:val="Compact"/>
              <w:spacing w:before="20" w:after="20" w:line="240" w:lineRule="auto"/>
              <w:jc w:val="center"/>
              <w:keepNext/>
            </w:pPr>
            <w:r>
              <w:rPr>
                <w:sz w:val="13"/>
                <w:szCs w:val="13"/>
              </w:rPr>
              <w:t xml:space="preserve">1.145 (0.274)</w:t>
            </w:r>
          </w:p>
        </w:tc>
        <w:tc>
          <w:tcPr>
            <w:tcW w:type="dxa" w:w="980"/>
          </w:tcPr>
          <w:p>
            <w:pPr>
              <w:pStyle w:val="Compact"/>
              <w:spacing w:before="20" w:after="20" w:line="240" w:lineRule="auto"/>
              <w:jc w:val="center"/>
              <w:keepNext/>
            </w:pPr>
            <w:r>
              <w:rPr>
                <w:sz w:val="13"/>
                <w:szCs w:val="13"/>
              </w:rPr>
              <w:t xml:space="preserve">1.194 (0.369)</w:t>
            </w:r>
          </w:p>
        </w:tc>
        <w:tc>
          <w:tcPr>
            <w:tcW w:type="dxa" w:w="1106"/>
          </w:tcPr>
          <w:p>
            <w:pPr>
              <w:pStyle w:val="Compact"/>
              <w:spacing w:before="20" w:after="20" w:line="240" w:lineRule="auto"/>
              <w:jc w:val="center"/>
              <w:keepNext/>
            </w:pPr>
            <w:r>
              <w:rPr>
                <w:sz w:val="13"/>
                <w:szCs w:val="13"/>
              </w:rPr>
              <w:t xml:space="preserve">1.387 (0.335)</w:t>
            </w:r>
          </w:p>
        </w:tc>
        <w:tc>
          <w:tcPr>
            <w:tcW w:type="dxa" w:w="980"/>
          </w:tcPr>
          <w:p>
            <w:pPr>
              <w:pStyle w:val="Compact"/>
              <w:spacing w:before="20" w:after="20" w:line="240" w:lineRule="auto"/>
              <w:jc w:val="center"/>
              <w:keepNext/>
            </w:pPr>
            <w:r>
              <w:rPr>
                <w:sz w:val="13"/>
                <w:szCs w:val="13"/>
              </w:rPr>
              <w:t xml:space="preserve">1.184 (0.271)</w:t>
            </w:r>
          </w:p>
        </w:tc>
      </w:tr>
      <w:tr>
        <w:trPr>
          <w:cantSplit/>
        </w:trPr>
        <w:tc>
          <w:tcPr>
            <w:tcW w:type="dxa" w:w="1106"/>
          </w:tcPr>
          <w:p>
            <w:pPr>
              <w:pStyle w:val="Compact"/>
              <w:spacing w:before="20" w:after="20" w:line="240" w:lineRule="auto"/>
              <w:keepNext/>
            </w:pPr>
            <w:r>
              <w:rPr>
                <w:sz w:val="13"/>
                <w:szCs w:val="13"/>
              </w:rPr>
              <w:t xml:space="preserve">기타</w:t>
            </w:r>
          </w:p>
        </w:tc>
        <w:tc>
          <w:tcPr>
            <w:tcW w:type="dxa" w:w="980"/>
          </w:tcPr>
          <w:p>
            <w:pPr>
              <w:pStyle w:val="Compact"/>
              <w:spacing w:before="20" w:after="20" w:line="240" w:lineRule="auto"/>
              <w:jc w:val="center"/>
              <w:keepNext/>
            </w:pPr>
            <w:r>
              <w:rPr>
                <w:sz w:val="13"/>
                <w:szCs w:val="13"/>
              </w:rPr>
              <w:t xml:space="preserve">2.326 (0.681)</w:t>
            </w:r>
          </w:p>
        </w:tc>
        <w:tc>
          <w:tcPr>
            <w:tcW w:type="dxa" w:w="980"/>
          </w:tcPr>
          <w:p>
            <w:pPr>
              <w:pStyle w:val="Compact"/>
              <w:spacing w:before="20" w:after="20" w:line="240" w:lineRule="auto"/>
              <w:jc w:val="center"/>
              <w:keepNext/>
            </w:pPr>
            <w:r>
              <w:rPr>
                <w:sz w:val="13"/>
                <w:szCs w:val="13"/>
              </w:rPr>
              <w:t xml:space="preserve">2.021 (0.664)</w:t>
            </w:r>
          </w:p>
        </w:tc>
        <w:tc>
          <w:tcPr>
            <w:tcW w:type="dxa" w:w="980"/>
          </w:tcPr>
          <w:p>
            <w:pPr>
              <w:pStyle w:val="Compact"/>
              <w:spacing w:before="20" w:after="20" w:line="240" w:lineRule="auto"/>
              <w:jc w:val="center"/>
              <w:keepNext/>
            </w:pPr>
            <w:r>
              <w:rPr>
                <w:sz w:val="13"/>
                <w:szCs w:val="13"/>
              </w:rPr>
              <w:t xml:space="preserve">0.167 (2.128)</w:t>
            </w:r>
          </w:p>
        </w:tc>
        <w:tc>
          <w:tcPr>
            <w:tcW w:type="dxa" w:w="980"/>
          </w:tcPr>
          <w:p>
            <w:pPr>
              <w:pStyle w:val="Compact"/>
              <w:spacing w:before="20" w:after="20" w:line="240" w:lineRule="auto"/>
              <w:jc w:val="center"/>
              <w:keepNext/>
            </w:pPr>
            <w:r>
              <w:rPr>
                <w:sz w:val="13"/>
                <w:szCs w:val="13"/>
              </w:rPr>
              <w:t xml:space="preserve">2.631 (0.663)</w:t>
            </w:r>
          </w:p>
        </w:tc>
        <w:tc>
          <w:tcPr>
            <w:tcW w:type="dxa" w:w="980"/>
          </w:tcPr>
          <w:p>
            <w:pPr>
              <w:pStyle w:val="Compact"/>
              <w:spacing w:before="20" w:after="20" w:line="240" w:lineRule="auto"/>
              <w:jc w:val="center"/>
              <w:keepNext/>
            </w:pPr>
            <w:r>
              <w:rPr>
                <w:sz w:val="13"/>
                <w:szCs w:val="13"/>
              </w:rPr>
              <w:t xml:space="preserve">2.051 (0.680)</w:t>
            </w:r>
          </w:p>
        </w:tc>
        <w:tc>
          <w:tcPr>
            <w:tcW w:type="dxa" w:w="980"/>
          </w:tcPr>
          <w:p>
            <w:pPr>
              <w:pStyle w:val="Compact"/>
              <w:spacing w:before="20" w:after="20" w:line="240" w:lineRule="auto"/>
              <w:jc w:val="center"/>
              <w:keepNext/>
            </w:pPr>
            <w:r>
              <w:rPr>
                <w:sz w:val="13"/>
                <w:szCs w:val="13"/>
              </w:rPr>
              <w:t xml:space="preserve">—</w:t>
            </w:r>
          </w:p>
        </w:tc>
        <w:tc>
          <w:tcPr>
            <w:tcW w:type="dxa" w:w="1106"/>
          </w:tcPr>
          <w:p>
            <w:pPr>
              <w:pStyle w:val="Compact"/>
              <w:spacing w:before="20" w:after="20" w:line="240" w:lineRule="auto"/>
              <w:jc w:val="center"/>
              <w:keepNext/>
            </w:pPr>
            <w:r>
              <w:rPr>
                <w:sz w:val="13"/>
                <w:szCs w:val="13"/>
              </w:rPr>
              <w:t xml:space="preserve">2.979 (0.747)</w:t>
            </w:r>
          </w:p>
        </w:tc>
        <w:tc>
          <w:tcPr>
            <w:tcW w:type="dxa" w:w="980"/>
          </w:tcPr>
          <w:p>
            <w:pPr>
              <w:pStyle w:val="Compact"/>
              <w:spacing w:before="20" w:after="20" w:line="240" w:lineRule="auto"/>
              <w:jc w:val="center"/>
              <w:keepNext/>
            </w:pPr>
            <w:r>
              <w:rPr>
                <w:sz w:val="13"/>
                <w:szCs w:val="13"/>
              </w:rPr>
              <w:t xml:space="preserve">1.940 (0.684)</w:t>
            </w:r>
          </w:p>
        </w:tc>
      </w:tr>
      <w:tr>
        <w:trPr>
          <w:cantSplit/>
        </w:trPr>
        <w:tc>
          <w:tcPr>
            <w:tcW w:type="dxa" w:w="1106"/>
          </w:tcPr>
          <w:p>
            <w:pPr>
              <w:pStyle w:val="Compact"/>
              <w:spacing w:before="20" w:after="20" w:line="240" w:lineRule="auto"/>
              <w:keepNext/>
            </w:pPr>
            <w:r>
              <w:rPr>
                <w:sz w:val="13"/>
                <w:szCs w:val="13"/>
              </w:rPr>
              <w:t xml:space="preserve">N</w:t>
            </w:r>
          </w:p>
        </w:tc>
        <w:tc>
          <w:tcPr>
            <w:tcW w:type="dxa" w:w="980"/>
          </w:tcPr>
          <w:p>
            <w:pPr>
              <w:pStyle w:val="Compact"/>
              <w:spacing w:before="20" w:after="20" w:line="240" w:lineRule="auto"/>
              <w:jc w:val="center"/>
              <w:keepNext/>
            </w:pPr>
            <w:r>
              <w:rPr>
                <w:sz w:val="13"/>
                <w:szCs w:val="13"/>
              </w:rPr>
              <w:t xml:space="preserve">928</w:t>
            </w:r>
          </w:p>
        </w:tc>
        <w:tc>
          <w:tcPr>
            <w:tcW w:type="dxa" w:w="980"/>
          </w:tcPr>
          <w:p>
            <w:pPr>
              <w:pStyle w:val="Compact"/>
              <w:spacing w:before="20" w:after="20" w:line="240" w:lineRule="auto"/>
              <w:jc w:val="center"/>
              <w:keepNext/>
            </w:pPr>
            <w:r>
              <w:rPr>
                <w:sz w:val="13"/>
                <w:szCs w:val="13"/>
              </w:rPr>
              <w:t xml:space="preserve">928</w:t>
            </w:r>
          </w:p>
        </w:tc>
        <w:tc>
          <w:tcPr>
            <w:tcW w:type="dxa" w:w="980"/>
          </w:tcPr>
          <w:p>
            <w:pPr>
              <w:pStyle w:val="Compact"/>
              <w:spacing w:before="20" w:after="20" w:line="240" w:lineRule="auto"/>
              <w:jc w:val="center"/>
              <w:keepNext/>
            </w:pPr>
            <w:r>
              <w:rPr>
                <w:sz w:val="13"/>
                <w:szCs w:val="13"/>
              </w:rPr>
              <w:t xml:space="preserve">473</w:t>
            </w:r>
          </w:p>
        </w:tc>
        <w:tc>
          <w:tcPr>
            <w:tcW w:type="dxa" w:w="980"/>
          </w:tcPr>
          <w:p>
            <w:pPr>
              <w:pStyle w:val="Compact"/>
              <w:spacing w:before="20" w:after="20" w:line="240" w:lineRule="auto"/>
              <w:jc w:val="center"/>
              <w:keepNext/>
            </w:pPr>
            <w:r>
              <w:rPr>
                <w:sz w:val="13"/>
                <w:szCs w:val="13"/>
              </w:rPr>
              <w:t xml:space="preserve">908</w:t>
            </w:r>
          </w:p>
        </w:tc>
        <w:tc>
          <w:tcPr>
            <w:tcW w:type="dxa" w:w="980"/>
          </w:tcPr>
          <w:p>
            <w:pPr>
              <w:pStyle w:val="Compact"/>
              <w:spacing w:before="20" w:after="20" w:line="240" w:lineRule="auto"/>
              <w:jc w:val="center"/>
              <w:keepNext/>
            </w:pPr>
            <w:r>
              <w:rPr>
                <w:sz w:val="13"/>
                <w:szCs w:val="13"/>
              </w:rPr>
              <w:t xml:space="preserve">860</w:t>
            </w:r>
          </w:p>
        </w:tc>
        <w:tc>
          <w:tcPr>
            <w:tcW w:type="dxa" w:w="980"/>
          </w:tcPr>
          <w:p>
            <w:pPr>
              <w:pStyle w:val="Compact"/>
              <w:spacing w:before="20" w:after="20" w:line="240" w:lineRule="auto"/>
              <w:jc w:val="center"/>
              <w:keepNext/>
            </w:pPr>
            <w:r>
              <w:rPr>
                <w:sz w:val="13"/>
                <w:szCs w:val="13"/>
              </w:rPr>
              <w:t xml:space="preserve">467</w:t>
            </w:r>
          </w:p>
        </w:tc>
        <w:tc>
          <w:tcPr>
            <w:tcW w:type="dxa" w:w="1106"/>
          </w:tcPr>
          <w:p>
            <w:pPr>
              <w:pStyle w:val="Compact"/>
              <w:spacing w:before="20" w:after="20" w:line="240" w:lineRule="auto"/>
              <w:jc w:val="center"/>
              <w:keepNext/>
            </w:pPr>
            <w:r>
              <w:rPr>
                <w:sz w:val="13"/>
                <w:szCs w:val="13"/>
              </w:rPr>
              <w:t xml:space="preserve">753</w:t>
            </w:r>
          </w:p>
        </w:tc>
        <w:tc>
          <w:tcPr>
            <w:tcW w:type="dxa" w:w="980"/>
          </w:tcPr>
          <w:p>
            <w:pPr>
              <w:pStyle w:val="Compact"/>
              <w:spacing w:before="20" w:after="20" w:line="240" w:lineRule="auto"/>
              <w:jc w:val="center"/>
              <w:keepNext/>
            </w:pPr>
            <w:r>
              <w:rPr>
                <w:sz w:val="13"/>
                <w:szCs w:val="13"/>
              </w:rPr>
              <w:t xml:space="preserve">830</w:t>
            </w:r>
          </w:p>
        </w:tc>
      </w:tr>
      <w:tr>
        <w:trPr>
          <w:cantSplit/>
        </w:trPr>
        <w:tc>
          <w:tcPr>
            <w:tcW w:type="dxa" w:w="1106"/>
          </w:tcPr>
          <w:p>
            <w:pPr>
              <w:pStyle w:val="Compact"/>
              <w:spacing w:before="20" w:after="20" w:line="240" w:lineRule="auto"/>
              <w:keepNext/>
            </w:pPr>
            <w:r>
              <w:rPr>
                <w:sz w:val="13"/>
                <w:szCs w:val="13"/>
              </w:rPr>
              <w:t xml:space="preserve">로그우도</w:t>
            </w:r>
          </w:p>
        </w:tc>
        <w:tc>
          <w:tcPr>
            <w:tcW w:type="dxa" w:w="980"/>
          </w:tcPr>
          <w:p>
            <w:pPr>
              <w:pStyle w:val="Compact"/>
              <w:spacing w:before="20" w:after="20" w:line="240" w:lineRule="auto"/>
              <w:jc w:val="center"/>
              <w:keepNext/>
            </w:pPr>
            <w:r>
              <w:rPr>
                <w:sz w:val="13"/>
                <w:szCs w:val="13"/>
              </w:rPr>
              <w:t xml:space="preserve">−774.5</w:t>
            </w:r>
          </w:p>
        </w:tc>
        <w:tc>
          <w:tcPr>
            <w:tcW w:type="dxa" w:w="980"/>
          </w:tcPr>
          <w:p>
            <w:pPr>
              <w:pStyle w:val="Compact"/>
              <w:spacing w:before="20" w:after="20" w:line="240" w:lineRule="auto"/>
              <w:jc w:val="center"/>
              <w:keepNext/>
            </w:pPr>
            <w:r>
              <w:rPr>
                <w:sz w:val="13"/>
                <w:szCs w:val="13"/>
              </w:rPr>
              <w:t xml:space="preserve">−829.4</w:t>
            </w:r>
          </w:p>
        </w:tc>
        <w:tc>
          <w:tcPr>
            <w:tcW w:type="dxa" w:w="980"/>
          </w:tcPr>
          <w:p>
            <w:pPr>
              <w:pStyle w:val="Compact"/>
              <w:spacing w:before="20" w:after="20" w:line="240" w:lineRule="auto"/>
              <w:jc w:val="center"/>
              <w:keepNext/>
            </w:pPr>
            <w:r>
              <w:rPr>
                <w:sz w:val="13"/>
                <w:szCs w:val="13"/>
              </w:rPr>
              <w:t xml:space="preserve">−425.3</w:t>
            </w:r>
          </w:p>
        </w:tc>
        <w:tc>
          <w:tcPr>
            <w:tcW w:type="dxa" w:w="980"/>
          </w:tcPr>
          <w:p>
            <w:pPr>
              <w:pStyle w:val="Compact"/>
              <w:spacing w:before="20" w:after="20" w:line="240" w:lineRule="auto"/>
              <w:jc w:val="center"/>
              <w:keepNext/>
            </w:pPr>
            <w:r>
              <w:rPr>
                <w:sz w:val="13"/>
                <w:szCs w:val="13"/>
              </w:rPr>
              <w:t xml:space="preserve">−755.9</w:t>
            </w:r>
          </w:p>
        </w:tc>
        <w:tc>
          <w:tcPr>
            <w:tcW w:type="dxa" w:w="980"/>
          </w:tcPr>
          <w:p>
            <w:pPr>
              <w:pStyle w:val="Compact"/>
              <w:spacing w:before="20" w:after="20" w:line="240" w:lineRule="auto"/>
              <w:jc w:val="center"/>
              <w:keepNext/>
            </w:pPr>
            <w:r>
              <w:rPr>
                <w:sz w:val="13"/>
                <w:szCs w:val="13"/>
              </w:rPr>
              <w:t xml:space="preserve">−682.7</w:t>
            </w:r>
          </w:p>
        </w:tc>
        <w:tc>
          <w:tcPr>
            <w:tcW w:type="dxa" w:w="980"/>
          </w:tcPr>
          <w:p>
            <w:pPr>
              <w:pStyle w:val="Compact"/>
              <w:spacing w:before="20" w:after="20" w:line="240" w:lineRule="auto"/>
              <w:jc w:val="center"/>
              <w:keepNext/>
            </w:pPr>
            <w:r>
              <w:rPr>
                <w:sz w:val="13"/>
                <w:szCs w:val="13"/>
              </w:rPr>
              <w:t xml:space="preserve">−364.0</w:t>
            </w:r>
          </w:p>
        </w:tc>
        <w:tc>
          <w:tcPr>
            <w:tcW w:type="dxa" w:w="1106"/>
          </w:tcPr>
          <w:p>
            <w:pPr>
              <w:pStyle w:val="Compact"/>
              <w:spacing w:before="20" w:after="20" w:line="240" w:lineRule="auto"/>
              <w:jc w:val="center"/>
              <w:keepNext/>
            </w:pPr>
            <w:r>
              <w:rPr>
                <w:sz w:val="13"/>
                <w:szCs w:val="13"/>
              </w:rPr>
              <w:t xml:space="preserve">−607.4</w:t>
            </w:r>
          </w:p>
        </w:tc>
        <w:tc>
          <w:tcPr>
            <w:tcW w:type="dxa" w:w="980"/>
          </w:tcPr>
          <w:p>
            <w:pPr>
              <w:pStyle w:val="Compact"/>
              <w:spacing w:before="20" w:after="20" w:line="240" w:lineRule="auto"/>
              <w:jc w:val="center"/>
              <w:keepNext/>
            </w:pPr>
            <w:r>
              <w:rPr>
                <w:sz w:val="13"/>
                <w:szCs w:val="13"/>
              </w:rPr>
              <w:t xml:space="preserve">−683.0</w:t>
            </w:r>
          </w:p>
        </w:tc>
      </w:tr>
    </w:tbl>
    <w:p>
      <w:pPr>
        <w:pStyle w:val="BodyText"/>
      </w:pPr>
      <w:r>
        <w:rPr>
          <w:b/>
          <w:bCs/>
        </w:rPr>
        <w:t xml:space="preserve">표 B2.</w:t>
      </w:r>
      <w:r>
        <w:t xml:space="preserve"> </w:t>
      </w:r>
      <w:r>
        <w:t xml:space="preserve">다항 로짓의 공정 단독형 방정식: 표본·변수별 상대위험비(기준 범주 = 조립 단독형; 출원청 기준 = 미국; 괄호 안은 로그 계수의 표준오차; * p &lt; 0.10, ** p &lt; 0.05, *** p &lt; 0.01).</w:t>
      </w:r>
    </w:p>
    <w:tbl>
      <w:tblPr>
        <w:tblStyle w:val="Table"/>
        <w:tblW w:type="dxa" w:w="9072"/>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06"/>
        <w:gridCol w:w="980"/>
        <w:gridCol w:w="980"/>
        <w:gridCol w:w="980"/>
        <w:gridCol w:w="980"/>
        <w:gridCol w:w="980"/>
        <w:gridCol w:w="980"/>
        <w:gridCol w:w="1106"/>
        <w:gridCol w:w="980"/>
      </w:tblGrid>
      <w:tr>
        <w:trPr>
          <w:tblHeader w:val="on"/>
          <w:cantSplit/>
        </w:trPr>
        <w:tc>
          <w:tcPr>
            <w:tcW w:type="dxa" w:w="1106"/>
            <w:tcBorders>
              <w:bottom w:val="single" w:sz="4" w:space="0" w:color="000000"/>
            </w:tcBorders>
          </w:tcPr>
          <w:p>
            <w:pPr>
              <w:pStyle w:val="Compact"/>
              <w:spacing w:before="20" w:after="20" w:line="240" w:lineRule="auto"/>
              <w:keepNext/>
            </w:pPr>
          </w:p>
        </w:tc>
        <w:tc>
          <w:tcPr>
            <w:tcW w:type="dxa" w:w="980"/>
            <w:tcBorders>
              <w:bottom w:val="single" w:sz="4" w:space="0" w:color="000000"/>
            </w:tcBorders>
          </w:tcPr>
          <w:p>
            <w:pPr>
              <w:pStyle w:val="Compact"/>
              <w:spacing w:before="20" w:after="20" w:line="240" w:lineRule="auto"/>
              <w:jc w:val="center"/>
              <w:keepNext/>
            </w:pPr>
            <w:r>
              <w:rPr>
                <w:sz w:val="13"/>
                <w:szCs w:val="13"/>
              </w:rPr>
              <w:t xml:space="preserve">기준</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조정 범위</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동일 제목 중복 제거</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좁은 전공정 정의</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무관 용법 제외</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핵심 표본</w:t>
            </w:r>
          </w:p>
        </w:tc>
        <w:tc>
          <w:tcPr>
            <w:tcW w:type="dxa" w:w="1106"/>
            <w:tcBorders>
              <w:bottom w:val="single" w:sz="4" w:space="0" w:color="000000"/>
            </w:tcBorders>
          </w:tcPr>
          <w:p>
            <w:pPr>
              <w:pStyle w:val="Compact"/>
              <w:spacing w:before="20" w:after="20" w:line="240" w:lineRule="auto"/>
              <w:jc w:val="center"/>
              <w:keepNext/>
            </w:pPr>
            <w:r>
              <w:rPr>
                <w:sz w:val="13"/>
                <w:szCs w:val="13"/>
              </w:rPr>
              <w:t xml:space="preserve">2023–2024년 제외</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2010년 이후</w:t>
            </w:r>
          </w:p>
        </w:tc>
      </w:tr>
      <w:tr>
        <w:trPr>
          <w:cantSplit/>
        </w:trPr>
        <w:tc>
          <w:tcPr>
            <w:tcW w:type="dxa" w:w="1106"/>
          </w:tcPr>
          <w:p>
            <w:pPr>
              <w:pStyle w:val="Compact"/>
              <w:spacing w:before="20" w:after="20" w:line="240" w:lineRule="auto"/>
              <w:keepNext/>
            </w:pPr>
            <w:r>
              <w:rPr>
                <w:sz w:val="13"/>
                <w:szCs w:val="13"/>
              </w:rPr>
              <w:t xml:space="preserve">출원연도(yc)</w:t>
            </w:r>
          </w:p>
        </w:tc>
        <w:tc>
          <w:tcPr>
            <w:tcW w:type="dxa" w:w="980"/>
          </w:tcPr>
          <w:p>
            <w:pPr>
              <w:pStyle w:val="Compact"/>
              <w:spacing w:before="20" w:after="20" w:line="240" w:lineRule="auto"/>
              <w:jc w:val="center"/>
              <w:keepNext/>
            </w:pPr>
            <w:r>
              <w:rPr>
                <w:sz w:val="13"/>
                <w:szCs w:val="13"/>
              </w:rPr>
              <w:t xml:space="preserve">0.913*** (0.015)</w:t>
            </w:r>
          </w:p>
        </w:tc>
        <w:tc>
          <w:tcPr>
            <w:tcW w:type="dxa" w:w="980"/>
          </w:tcPr>
          <w:p>
            <w:pPr>
              <w:pStyle w:val="Compact"/>
              <w:spacing w:before="20" w:after="20" w:line="240" w:lineRule="auto"/>
              <w:jc w:val="center"/>
              <w:keepNext/>
            </w:pPr>
            <w:r>
              <w:rPr>
                <w:sz w:val="13"/>
                <w:szCs w:val="13"/>
              </w:rPr>
              <w:t xml:space="preserve">0.911*** (0.015)</w:t>
            </w:r>
          </w:p>
        </w:tc>
        <w:tc>
          <w:tcPr>
            <w:tcW w:type="dxa" w:w="980"/>
          </w:tcPr>
          <w:p>
            <w:pPr>
              <w:pStyle w:val="Compact"/>
              <w:spacing w:before="20" w:after="20" w:line="240" w:lineRule="auto"/>
              <w:jc w:val="center"/>
              <w:keepNext/>
            </w:pPr>
            <w:r>
              <w:rPr>
                <w:sz w:val="13"/>
                <w:szCs w:val="13"/>
              </w:rPr>
              <w:t xml:space="preserve">0.935*** (0.016)</w:t>
            </w:r>
          </w:p>
        </w:tc>
        <w:tc>
          <w:tcPr>
            <w:tcW w:type="dxa" w:w="980"/>
          </w:tcPr>
          <w:p>
            <w:pPr>
              <w:pStyle w:val="Compact"/>
              <w:spacing w:before="20" w:after="20" w:line="240" w:lineRule="auto"/>
              <w:jc w:val="center"/>
              <w:keepNext/>
            </w:pPr>
            <w:r>
              <w:rPr>
                <w:sz w:val="13"/>
                <w:szCs w:val="13"/>
              </w:rPr>
              <w:t xml:space="preserve">0.898*** (0.015)</w:t>
            </w:r>
          </w:p>
        </w:tc>
        <w:tc>
          <w:tcPr>
            <w:tcW w:type="dxa" w:w="980"/>
          </w:tcPr>
          <w:p>
            <w:pPr>
              <w:pStyle w:val="Compact"/>
              <w:spacing w:before="20" w:after="20" w:line="240" w:lineRule="auto"/>
              <w:jc w:val="center"/>
              <w:keepNext/>
            </w:pPr>
            <w:r>
              <w:rPr>
                <w:sz w:val="13"/>
                <w:szCs w:val="13"/>
              </w:rPr>
              <w:t xml:space="preserve">0.820*** (0.023)</w:t>
            </w:r>
          </w:p>
        </w:tc>
        <w:tc>
          <w:tcPr>
            <w:tcW w:type="dxa" w:w="980"/>
          </w:tcPr>
          <w:p>
            <w:pPr>
              <w:pStyle w:val="Compact"/>
              <w:spacing w:before="20" w:after="20" w:line="240" w:lineRule="auto"/>
              <w:jc w:val="center"/>
              <w:keepNext/>
            </w:pPr>
            <w:r>
              <w:rPr>
                <w:sz w:val="13"/>
                <w:szCs w:val="13"/>
              </w:rPr>
              <w:t xml:space="preserve">1.029 (0.057)</w:t>
            </w:r>
          </w:p>
        </w:tc>
        <w:tc>
          <w:tcPr>
            <w:tcW w:type="dxa" w:w="1106"/>
          </w:tcPr>
          <w:p>
            <w:pPr>
              <w:pStyle w:val="Compact"/>
              <w:spacing w:before="20" w:after="20" w:line="240" w:lineRule="auto"/>
              <w:jc w:val="center"/>
              <w:keepNext/>
            </w:pPr>
            <w:r>
              <w:rPr>
                <w:sz w:val="13"/>
                <w:szCs w:val="13"/>
              </w:rPr>
              <w:t xml:space="preserve">0.909*** (0.016)</w:t>
            </w:r>
          </w:p>
        </w:tc>
        <w:tc>
          <w:tcPr>
            <w:tcW w:type="dxa" w:w="980"/>
          </w:tcPr>
          <w:p>
            <w:pPr>
              <w:pStyle w:val="Compact"/>
              <w:spacing w:before="20" w:after="20" w:line="240" w:lineRule="auto"/>
              <w:jc w:val="center"/>
              <w:keepNext/>
            </w:pPr>
            <w:r>
              <w:rPr>
                <w:sz w:val="13"/>
                <w:szCs w:val="13"/>
              </w:rPr>
              <w:t xml:space="preserve">0.862*** (0.033)</w:t>
            </w:r>
          </w:p>
        </w:tc>
      </w:tr>
      <w:tr>
        <w:trPr>
          <w:cantSplit/>
        </w:trPr>
        <w:tc>
          <w:tcPr>
            <w:tcW w:type="dxa" w:w="1106"/>
          </w:tcPr>
          <w:p>
            <w:pPr>
              <w:pStyle w:val="Compact"/>
              <w:spacing w:before="20" w:after="20" w:line="240" w:lineRule="auto"/>
              <w:keepNext/>
            </w:pPr>
            <w:r>
              <w:rPr>
                <w:sz w:val="13"/>
                <w:szCs w:val="13"/>
              </w:rPr>
              <w:t xml:space="preserve">기술범위</w:t>
            </w:r>
          </w:p>
        </w:tc>
        <w:tc>
          <w:tcPr>
            <w:tcW w:type="dxa" w:w="980"/>
          </w:tcPr>
          <w:p>
            <w:pPr>
              <w:pStyle w:val="Compact"/>
              <w:spacing w:before="20" w:after="20" w:line="240" w:lineRule="auto"/>
              <w:jc w:val="center"/>
              <w:keepNext/>
            </w:pPr>
            <w:r>
              <w:rPr>
                <w:sz w:val="13"/>
                <w:szCs w:val="13"/>
              </w:rPr>
              <w:t xml:space="preserve">0.905** (0.048)</w:t>
            </w:r>
          </w:p>
        </w:tc>
        <w:tc>
          <w:tcPr>
            <w:tcW w:type="dxa" w:w="980"/>
          </w:tcPr>
          <w:p>
            <w:pPr>
              <w:pStyle w:val="Compact"/>
              <w:spacing w:before="20" w:after="20" w:line="240" w:lineRule="auto"/>
              <w:jc w:val="center"/>
              <w:keepNext/>
            </w:pPr>
            <w:r>
              <w:rPr>
                <w:sz w:val="13"/>
                <w:szCs w:val="13"/>
              </w:rPr>
              <w:t xml:space="preserve">0.915** (0.044)</w:t>
            </w:r>
          </w:p>
        </w:tc>
        <w:tc>
          <w:tcPr>
            <w:tcW w:type="dxa" w:w="980"/>
          </w:tcPr>
          <w:p>
            <w:pPr>
              <w:pStyle w:val="Compact"/>
              <w:spacing w:before="20" w:after="20" w:line="240" w:lineRule="auto"/>
              <w:jc w:val="center"/>
              <w:keepNext/>
            </w:pPr>
            <w:r>
              <w:rPr>
                <w:sz w:val="13"/>
                <w:szCs w:val="13"/>
              </w:rPr>
              <w:t xml:space="preserve">0.826*** (0.061)</w:t>
            </w:r>
          </w:p>
        </w:tc>
        <w:tc>
          <w:tcPr>
            <w:tcW w:type="dxa" w:w="980"/>
          </w:tcPr>
          <w:p>
            <w:pPr>
              <w:pStyle w:val="Compact"/>
              <w:spacing w:before="20" w:after="20" w:line="240" w:lineRule="auto"/>
              <w:jc w:val="center"/>
              <w:keepNext/>
            </w:pPr>
            <w:r>
              <w:rPr>
                <w:sz w:val="13"/>
                <w:szCs w:val="13"/>
              </w:rPr>
              <w:t xml:space="preserve">0.923* (0.045)</w:t>
            </w:r>
          </w:p>
        </w:tc>
        <w:tc>
          <w:tcPr>
            <w:tcW w:type="dxa" w:w="980"/>
          </w:tcPr>
          <w:p>
            <w:pPr>
              <w:pStyle w:val="Compact"/>
              <w:spacing w:before="20" w:after="20" w:line="240" w:lineRule="auto"/>
              <w:jc w:val="center"/>
              <w:keepNext/>
            </w:pPr>
            <w:r>
              <w:rPr>
                <w:sz w:val="13"/>
                <w:szCs w:val="13"/>
              </w:rPr>
              <w:t xml:space="preserve">0.916* (0.050)</w:t>
            </w:r>
          </w:p>
        </w:tc>
        <w:tc>
          <w:tcPr>
            <w:tcW w:type="dxa" w:w="980"/>
          </w:tcPr>
          <w:p>
            <w:pPr>
              <w:pStyle w:val="Compact"/>
              <w:spacing w:before="20" w:after="20" w:line="240" w:lineRule="auto"/>
              <w:jc w:val="center"/>
              <w:keepNext/>
            </w:pPr>
            <w:r>
              <w:rPr>
                <w:sz w:val="13"/>
                <w:szCs w:val="13"/>
              </w:rPr>
              <w:t xml:space="preserve">1.129* (0.062)</w:t>
            </w:r>
          </w:p>
        </w:tc>
        <w:tc>
          <w:tcPr>
            <w:tcW w:type="dxa" w:w="1106"/>
          </w:tcPr>
          <w:p>
            <w:pPr>
              <w:pStyle w:val="Compact"/>
              <w:spacing w:before="20" w:after="20" w:line="240" w:lineRule="auto"/>
              <w:jc w:val="center"/>
              <w:keepNext/>
            </w:pPr>
            <w:r>
              <w:rPr>
                <w:sz w:val="13"/>
                <w:szCs w:val="13"/>
              </w:rPr>
              <w:t xml:space="preserve">0.908* (0.054)</w:t>
            </w:r>
          </w:p>
        </w:tc>
        <w:tc>
          <w:tcPr>
            <w:tcW w:type="dxa" w:w="980"/>
          </w:tcPr>
          <w:p>
            <w:pPr>
              <w:pStyle w:val="Compact"/>
              <w:spacing w:before="20" w:after="20" w:line="240" w:lineRule="auto"/>
              <w:jc w:val="center"/>
              <w:keepNext/>
            </w:pPr>
            <w:r>
              <w:rPr>
                <w:sz w:val="13"/>
                <w:szCs w:val="13"/>
              </w:rPr>
              <w:t xml:space="preserve">0.910* (0.051)</w:t>
            </w:r>
          </w:p>
        </w:tc>
      </w:tr>
      <w:tr>
        <w:trPr>
          <w:cantSplit/>
        </w:trPr>
        <w:tc>
          <w:tcPr>
            <w:tcW w:type="dxa" w:w="1106"/>
          </w:tcPr>
          <w:p>
            <w:pPr>
              <w:pStyle w:val="Compact"/>
              <w:spacing w:before="20" w:after="20" w:line="240" w:lineRule="auto"/>
              <w:keepNext/>
            </w:pPr>
            <w:r>
              <w:rPr>
                <w:sz w:val="13"/>
                <w:szCs w:val="13"/>
              </w:rPr>
              <w:t xml:space="preserve">중국(CN)</w:t>
            </w:r>
          </w:p>
        </w:tc>
        <w:tc>
          <w:tcPr>
            <w:tcW w:type="dxa" w:w="980"/>
          </w:tcPr>
          <w:p>
            <w:pPr>
              <w:pStyle w:val="Compact"/>
              <w:spacing w:before="20" w:after="20" w:line="240" w:lineRule="auto"/>
              <w:jc w:val="center"/>
              <w:keepNext/>
            </w:pPr>
            <w:r>
              <w:rPr>
                <w:sz w:val="13"/>
                <w:szCs w:val="13"/>
              </w:rPr>
              <w:t xml:space="preserve">2.687*** (0.276)</w:t>
            </w:r>
          </w:p>
        </w:tc>
        <w:tc>
          <w:tcPr>
            <w:tcW w:type="dxa" w:w="980"/>
          </w:tcPr>
          <w:p>
            <w:pPr>
              <w:pStyle w:val="Compact"/>
              <w:spacing w:before="20" w:after="20" w:line="240" w:lineRule="auto"/>
              <w:jc w:val="center"/>
              <w:keepNext/>
            </w:pPr>
            <w:r>
              <w:rPr>
                <w:sz w:val="13"/>
                <w:szCs w:val="13"/>
              </w:rPr>
              <w:t xml:space="preserve">2.720*** (0.274)</w:t>
            </w:r>
          </w:p>
        </w:tc>
        <w:tc>
          <w:tcPr>
            <w:tcW w:type="dxa" w:w="980"/>
          </w:tcPr>
          <w:p>
            <w:pPr>
              <w:pStyle w:val="Compact"/>
              <w:spacing w:before="20" w:after="20" w:line="240" w:lineRule="auto"/>
              <w:jc w:val="center"/>
              <w:keepNext/>
            </w:pPr>
            <w:r>
              <w:rPr>
                <w:sz w:val="13"/>
                <w:szCs w:val="13"/>
              </w:rPr>
              <w:t xml:space="preserve">2.721*** (0.320)</w:t>
            </w:r>
          </w:p>
        </w:tc>
        <w:tc>
          <w:tcPr>
            <w:tcW w:type="dxa" w:w="980"/>
          </w:tcPr>
          <w:p>
            <w:pPr>
              <w:pStyle w:val="Compact"/>
              <w:spacing w:before="20" w:after="20" w:line="240" w:lineRule="auto"/>
              <w:jc w:val="center"/>
              <w:keepNext/>
            </w:pPr>
            <w:r>
              <w:rPr>
                <w:sz w:val="13"/>
                <w:szCs w:val="13"/>
              </w:rPr>
              <w:t xml:space="preserve">3.299*** (0.285)</w:t>
            </w:r>
          </w:p>
        </w:tc>
        <w:tc>
          <w:tcPr>
            <w:tcW w:type="dxa" w:w="980"/>
          </w:tcPr>
          <w:p>
            <w:pPr>
              <w:pStyle w:val="Compact"/>
              <w:spacing w:before="20" w:after="20" w:line="240" w:lineRule="auto"/>
              <w:jc w:val="center"/>
              <w:keepNext/>
            </w:pPr>
            <w:r>
              <w:rPr>
                <w:sz w:val="13"/>
                <w:szCs w:val="13"/>
              </w:rPr>
              <w:t xml:space="preserve">3.235*** (0.303)</w:t>
            </w:r>
          </w:p>
        </w:tc>
        <w:tc>
          <w:tcPr>
            <w:tcW w:type="dxa" w:w="980"/>
          </w:tcPr>
          <w:p>
            <w:pPr>
              <w:pStyle w:val="Compact"/>
              <w:spacing w:before="20" w:after="20" w:line="240" w:lineRule="auto"/>
              <w:jc w:val="center"/>
              <w:keepNext/>
            </w:pPr>
            <w:r>
              <w:rPr>
                <w:sz w:val="13"/>
                <w:szCs w:val="13"/>
              </w:rPr>
              <w:t xml:space="preserve">7.211*** (0.407)</w:t>
            </w:r>
          </w:p>
        </w:tc>
        <w:tc>
          <w:tcPr>
            <w:tcW w:type="dxa" w:w="1106"/>
          </w:tcPr>
          <w:p>
            <w:pPr>
              <w:pStyle w:val="Compact"/>
              <w:spacing w:before="20" w:after="20" w:line="240" w:lineRule="auto"/>
              <w:jc w:val="center"/>
              <w:keepNext/>
            </w:pPr>
            <w:r>
              <w:rPr>
                <w:sz w:val="13"/>
                <w:szCs w:val="13"/>
              </w:rPr>
              <w:t xml:space="preserve">1.651 (0.319)</w:t>
            </w:r>
          </w:p>
        </w:tc>
        <w:tc>
          <w:tcPr>
            <w:tcW w:type="dxa" w:w="980"/>
          </w:tcPr>
          <w:p>
            <w:pPr>
              <w:pStyle w:val="Compact"/>
              <w:spacing w:before="20" w:after="20" w:line="240" w:lineRule="auto"/>
              <w:jc w:val="center"/>
              <w:keepNext/>
            </w:pPr>
            <w:r>
              <w:rPr>
                <w:sz w:val="13"/>
                <w:szCs w:val="13"/>
              </w:rPr>
              <w:t xml:space="preserve">2.701*** (0.290)</w:t>
            </w:r>
          </w:p>
        </w:tc>
      </w:tr>
      <w:tr>
        <w:trPr>
          <w:cantSplit/>
        </w:trPr>
        <w:tc>
          <w:tcPr>
            <w:tcW w:type="dxa" w:w="1106"/>
          </w:tcPr>
          <w:p>
            <w:pPr>
              <w:pStyle w:val="Compact"/>
              <w:spacing w:before="20" w:after="20" w:line="240" w:lineRule="auto"/>
              <w:keepNext/>
            </w:pPr>
            <w:r>
              <w:rPr>
                <w:sz w:val="13"/>
                <w:szCs w:val="13"/>
              </w:rPr>
              <w:t xml:space="preserve">한국(KR)</w:t>
            </w:r>
          </w:p>
        </w:tc>
        <w:tc>
          <w:tcPr>
            <w:tcW w:type="dxa" w:w="980"/>
          </w:tcPr>
          <w:p>
            <w:pPr>
              <w:pStyle w:val="Compact"/>
              <w:spacing w:before="20" w:after="20" w:line="240" w:lineRule="auto"/>
              <w:jc w:val="center"/>
              <w:keepNext/>
            </w:pPr>
            <w:r>
              <w:rPr>
                <w:sz w:val="13"/>
                <w:szCs w:val="13"/>
              </w:rPr>
              <w:t xml:space="preserve">1.906 (0.419)</w:t>
            </w:r>
          </w:p>
        </w:tc>
        <w:tc>
          <w:tcPr>
            <w:tcW w:type="dxa" w:w="980"/>
          </w:tcPr>
          <w:p>
            <w:pPr>
              <w:pStyle w:val="Compact"/>
              <w:spacing w:before="20" w:after="20" w:line="240" w:lineRule="auto"/>
              <w:jc w:val="center"/>
              <w:keepNext/>
            </w:pPr>
            <w:r>
              <w:rPr>
                <w:sz w:val="13"/>
                <w:szCs w:val="13"/>
              </w:rPr>
              <w:t xml:space="preserve">1.913 (0.419)</w:t>
            </w:r>
          </w:p>
        </w:tc>
        <w:tc>
          <w:tcPr>
            <w:tcW w:type="dxa" w:w="980"/>
          </w:tcPr>
          <w:p>
            <w:pPr>
              <w:pStyle w:val="Compact"/>
              <w:spacing w:before="20" w:after="20" w:line="240" w:lineRule="auto"/>
              <w:jc w:val="center"/>
              <w:keepNext/>
            </w:pPr>
            <w:r>
              <w:rPr>
                <w:sz w:val="13"/>
                <w:szCs w:val="13"/>
              </w:rPr>
              <w:t xml:space="preserve">1.807 (0.499)</w:t>
            </w:r>
          </w:p>
        </w:tc>
        <w:tc>
          <w:tcPr>
            <w:tcW w:type="dxa" w:w="980"/>
          </w:tcPr>
          <w:p>
            <w:pPr>
              <w:pStyle w:val="Compact"/>
              <w:spacing w:before="20" w:after="20" w:line="240" w:lineRule="auto"/>
              <w:jc w:val="center"/>
              <w:keepNext/>
            </w:pPr>
            <w:r>
              <w:rPr>
                <w:sz w:val="13"/>
                <w:szCs w:val="13"/>
              </w:rPr>
              <w:t xml:space="preserve">2.636** (0.422)</w:t>
            </w:r>
          </w:p>
        </w:tc>
        <w:tc>
          <w:tcPr>
            <w:tcW w:type="dxa" w:w="980"/>
          </w:tcPr>
          <w:p>
            <w:pPr>
              <w:pStyle w:val="Compact"/>
              <w:spacing w:before="20" w:after="20" w:line="240" w:lineRule="auto"/>
              <w:jc w:val="center"/>
              <w:keepNext/>
            </w:pPr>
            <w:r>
              <w:rPr>
                <w:sz w:val="13"/>
                <w:szCs w:val="13"/>
              </w:rPr>
              <w:t xml:space="preserve">1.175 (0.510)</w:t>
            </w:r>
          </w:p>
        </w:tc>
        <w:tc>
          <w:tcPr>
            <w:tcW w:type="dxa" w:w="980"/>
          </w:tcPr>
          <w:p>
            <w:pPr>
              <w:pStyle w:val="Compact"/>
              <w:spacing w:before="20" w:after="20" w:line="240" w:lineRule="auto"/>
              <w:jc w:val="center"/>
              <w:keepNext/>
            </w:pPr>
            <w:r>
              <w:rPr>
                <w:sz w:val="13"/>
                <w:szCs w:val="13"/>
              </w:rPr>
              <w:t xml:space="preserve">1.901 (0.863)</w:t>
            </w:r>
          </w:p>
        </w:tc>
        <w:tc>
          <w:tcPr>
            <w:tcW w:type="dxa" w:w="1106"/>
          </w:tcPr>
          <w:p>
            <w:pPr>
              <w:pStyle w:val="Compact"/>
              <w:spacing w:before="20" w:after="20" w:line="240" w:lineRule="auto"/>
              <w:jc w:val="center"/>
              <w:keepNext/>
            </w:pPr>
            <w:r>
              <w:rPr>
                <w:sz w:val="13"/>
                <w:szCs w:val="13"/>
              </w:rPr>
              <w:t xml:space="preserve">1.808 (0.430)</w:t>
            </w:r>
          </w:p>
        </w:tc>
        <w:tc>
          <w:tcPr>
            <w:tcW w:type="dxa" w:w="980"/>
          </w:tcPr>
          <w:p>
            <w:pPr>
              <w:pStyle w:val="Compact"/>
              <w:spacing w:before="20" w:after="20" w:line="240" w:lineRule="auto"/>
              <w:jc w:val="center"/>
              <w:keepNext/>
            </w:pPr>
            <w:r>
              <w:rPr>
                <w:sz w:val="13"/>
                <w:szCs w:val="13"/>
              </w:rPr>
              <w:t xml:space="preserve">1.131 (0.560)</w:t>
            </w:r>
          </w:p>
        </w:tc>
      </w:tr>
      <w:tr>
        <w:trPr>
          <w:cantSplit/>
        </w:trPr>
        <w:tc>
          <w:tcPr>
            <w:tcW w:type="dxa" w:w="1106"/>
          </w:tcPr>
          <w:p>
            <w:pPr>
              <w:pStyle w:val="Compact"/>
              <w:spacing w:before="20" w:after="20" w:line="240" w:lineRule="auto"/>
              <w:keepNext/>
            </w:pPr>
            <w:r>
              <w:rPr>
                <w:sz w:val="13"/>
                <w:szCs w:val="13"/>
              </w:rPr>
              <w:t xml:space="preserve">대만(TW)</w:t>
            </w:r>
          </w:p>
        </w:tc>
        <w:tc>
          <w:tcPr>
            <w:tcW w:type="dxa" w:w="980"/>
          </w:tcPr>
          <w:p>
            <w:pPr>
              <w:pStyle w:val="Compact"/>
              <w:spacing w:before="20" w:after="20" w:line="240" w:lineRule="auto"/>
              <w:jc w:val="center"/>
              <w:keepNext/>
            </w:pPr>
            <w:r>
              <w:rPr>
                <w:sz w:val="13"/>
                <w:szCs w:val="13"/>
              </w:rPr>
              <w:t xml:space="preserve">2.102* (0.407)</w:t>
            </w:r>
          </w:p>
        </w:tc>
        <w:tc>
          <w:tcPr>
            <w:tcW w:type="dxa" w:w="980"/>
          </w:tcPr>
          <w:p>
            <w:pPr>
              <w:pStyle w:val="Compact"/>
              <w:spacing w:before="20" w:after="20" w:line="240" w:lineRule="auto"/>
              <w:jc w:val="center"/>
              <w:keepNext/>
            </w:pPr>
            <w:r>
              <w:rPr>
                <w:sz w:val="13"/>
                <w:szCs w:val="13"/>
              </w:rPr>
              <w:t xml:space="preserve">2.131* (0.406)</w:t>
            </w:r>
          </w:p>
        </w:tc>
        <w:tc>
          <w:tcPr>
            <w:tcW w:type="dxa" w:w="980"/>
          </w:tcPr>
          <w:p>
            <w:pPr>
              <w:pStyle w:val="Compact"/>
              <w:spacing w:before="20" w:after="20" w:line="240" w:lineRule="auto"/>
              <w:jc w:val="center"/>
              <w:keepNext/>
            </w:pPr>
            <w:r>
              <w:rPr>
                <w:sz w:val="13"/>
                <w:szCs w:val="13"/>
              </w:rPr>
              <w:t xml:space="preserve">3.485** (0.636)</w:t>
            </w:r>
          </w:p>
        </w:tc>
        <w:tc>
          <w:tcPr>
            <w:tcW w:type="dxa" w:w="980"/>
          </w:tcPr>
          <w:p>
            <w:pPr>
              <w:pStyle w:val="Compact"/>
              <w:spacing w:before="20" w:after="20" w:line="240" w:lineRule="auto"/>
              <w:jc w:val="center"/>
              <w:keepNext/>
            </w:pPr>
            <w:r>
              <w:rPr>
                <w:sz w:val="13"/>
                <w:szCs w:val="13"/>
              </w:rPr>
              <w:t xml:space="preserve">2.683** (0.416)</w:t>
            </w:r>
          </w:p>
        </w:tc>
        <w:tc>
          <w:tcPr>
            <w:tcW w:type="dxa" w:w="980"/>
          </w:tcPr>
          <w:p>
            <w:pPr>
              <w:pStyle w:val="Compact"/>
              <w:spacing w:before="20" w:after="20" w:line="240" w:lineRule="auto"/>
              <w:jc w:val="center"/>
              <w:keepNext/>
            </w:pPr>
            <w:r>
              <w:rPr>
                <w:sz w:val="13"/>
                <w:szCs w:val="13"/>
              </w:rPr>
              <w:t xml:space="preserve">2.294* (0.445)</w:t>
            </w:r>
          </w:p>
        </w:tc>
        <w:tc>
          <w:tcPr>
            <w:tcW w:type="dxa" w:w="980"/>
          </w:tcPr>
          <w:p>
            <w:pPr>
              <w:pStyle w:val="Compact"/>
              <w:spacing w:before="20" w:after="20" w:line="240" w:lineRule="auto"/>
              <w:jc w:val="center"/>
              <w:keepNext/>
            </w:pPr>
            <w:r>
              <w:rPr>
                <w:sz w:val="13"/>
                <w:szCs w:val="13"/>
              </w:rPr>
              <w:t xml:space="preserve">4.229** (0.567)</w:t>
            </w:r>
          </w:p>
        </w:tc>
        <w:tc>
          <w:tcPr>
            <w:tcW w:type="dxa" w:w="1106"/>
          </w:tcPr>
          <w:p>
            <w:pPr>
              <w:pStyle w:val="Compact"/>
              <w:spacing w:before="20" w:after="20" w:line="240" w:lineRule="auto"/>
              <w:jc w:val="center"/>
              <w:keepNext/>
            </w:pPr>
            <w:r>
              <w:rPr>
                <w:sz w:val="13"/>
                <w:szCs w:val="13"/>
              </w:rPr>
              <w:t xml:space="preserve">1.876 (0.492)</w:t>
            </w:r>
          </w:p>
        </w:tc>
        <w:tc>
          <w:tcPr>
            <w:tcW w:type="dxa" w:w="980"/>
          </w:tcPr>
          <w:p>
            <w:pPr>
              <w:pStyle w:val="Compact"/>
              <w:spacing w:before="20" w:after="20" w:line="240" w:lineRule="auto"/>
              <w:jc w:val="center"/>
              <w:keepNext/>
            </w:pPr>
            <w:r>
              <w:rPr>
                <w:sz w:val="13"/>
                <w:szCs w:val="13"/>
              </w:rPr>
              <w:t xml:space="preserve">2.088* (0.434)</w:t>
            </w:r>
          </w:p>
        </w:tc>
      </w:tr>
      <w:tr>
        <w:trPr>
          <w:cantSplit/>
        </w:trPr>
        <w:tc>
          <w:tcPr>
            <w:tcW w:type="dxa" w:w="1106"/>
          </w:tcPr>
          <w:p>
            <w:pPr>
              <w:pStyle w:val="Compact"/>
              <w:spacing w:before="20" w:after="20" w:line="240" w:lineRule="auto"/>
              <w:keepNext/>
            </w:pPr>
            <w:r>
              <w:rPr>
                <w:sz w:val="13"/>
                <w:szCs w:val="13"/>
              </w:rPr>
              <w:t xml:space="preserve">일본(JP)</w:t>
            </w:r>
          </w:p>
        </w:tc>
        <w:tc>
          <w:tcPr>
            <w:tcW w:type="dxa" w:w="980"/>
          </w:tcPr>
          <w:p>
            <w:pPr>
              <w:pStyle w:val="Compact"/>
              <w:spacing w:before="20" w:after="20" w:line="240" w:lineRule="auto"/>
              <w:jc w:val="center"/>
              <w:keepNext/>
            </w:pPr>
            <w:r>
              <w:rPr>
                <w:sz w:val="13"/>
                <w:szCs w:val="13"/>
              </w:rPr>
              <w:t xml:space="preserve">0.086*** (0.816)</w:t>
            </w:r>
          </w:p>
        </w:tc>
        <w:tc>
          <w:tcPr>
            <w:tcW w:type="dxa" w:w="980"/>
          </w:tcPr>
          <w:p>
            <w:pPr>
              <w:pStyle w:val="Compact"/>
              <w:spacing w:before="20" w:after="20" w:line="240" w:lineRule="auto"/>
              <w:jc w:val="center"/>
              <w:keepNext/>
            </w:pPr>
            <w:r>
              <w:rPr>
                <w:sz w:val="13"/>
                <w:szCs w:val="13"/>
              </w:rPr>
              <w:t xml:space="preserve">0.087*** (0.817)</w:t>
            </w:r>
          </w:p>
        </w:tc>
        <w:tc>
          <w:tcPr>
            <w:tcW w:type="dxa" w:w="980"/>
          </w:tcPr>
          <w:p>
            <w:pPr>
              <w:pStyle w:val="Compact"/>
              <w:spacing w:before="20" w:after="20" w:line="240" w:lineRule="auto"/>
              <w:jc w:val="center"/>
              <w:keepNext/>
            </w:pPr>
            <w:r>
              <w:rPr>
                <w:sz w:val="13"/>
                <w:szCs w:val="13"/>
              </w:rPr>
              <w:t xml:space="preserve">0.061** (1.222)</w:t>
            </w:r>
          </w:p>
        </w:tc>
        <w:tc>
          <w:tcPr>
            <w:tcW w:type="dxa" w:w="980"/>
          </w:tcPr>
          <w:p>
            <w:pPr>
              <w:pStyle w:val="Compact"/>
              <w:spacing w:before="20" w:after="20" w:line="240" w:lineRule="auto"/>
              <w:jc w:val="center"/>
              <w:keepNext/>
            </w:pPr>
            <w:r>
              <w:rPr>
                <w:sz w:val="13"/>
                <w:szCs w:val="13"/>
              </w:rPr>
              <w:t xml:space="preserve">0.103*** (0.833)</w:t>
            </w:r>
          </w:p>
        </w:tc>
        <w:tc>
          <w:tcPr>
            <w:tcW w:type="dxa" w:w="980"/>
          </w:tcPr>
          <w:p>
            <w:pPr>
              <w:pStyle w:val="Compact"/>
              <w:spacing w:before="20" w:after="20" w:line="240" w:lineRule="auto"/>
              <w:jc w:val="center"/>
              <w:keepNext/>
            </w:pPr>
            <w:r>
              <w:rPr>
                <w:sz w:val="13"/>
                <w:szCs w:val="13"/>
              </w:rPr>
              <w:t xml:space="preserve">0.015*** (1.466)</w:t>
            </w:r>
          </w:p>
        </w:tc>
        <w:tc>
          <w:tcPr>
            <w:tcW w:type="dxa" w:w="980"/>
          </w:tcPr>
          <w:p>
            <w:pPr>
              <w:pStyle w:val="Compact"/>
              <w:spacing w:before="20" w:after="20" w:line="240" w:lineRule="auto"/>
              <w:jc w:val="center"/>
              <w:keepNext/>
            </w:pPr>
            <w:r>
              <w:rPr>
                <w:sz w:val="13"/>
                <w:szCs w:val="13"/>
              </w:rPr>
              <w:t xml:space="preserve">—</w:t>
            </w:r>
          </w:p>
        </w:tc>
        <w:tc>
          <w:tcPr>
            <w:tcW w:type="dxa" w:w="1106"/>
          </w:tcPr>
          <w:p>
            <w:pPr>
              <w:pStyle w:val="Compact"/>
              <w:spacing w:before="20" w:after="20" w:line="240" w:lineRule="auto"/>
              <w:jc w:val="center"/>
              <w:keepNext/>
            </w:pPr>
            <w:r>
              <w:rPr>
                <w:sz w:val="13"/>
                <w:szCs w:val="13"/>
              </w:rPr>
              <w:t xml:space="preserve">0.061*** (0.836)</w:t>
            </w:r>
          </w:p>
        </w:tc>
        <w:tc>
          <w:tcPr>
            <w:tcW w:type="dxa" w:w="980"/>
          </w:tcPr>
          <w:p>
            <w:pPr>
              <w:pStyle w:val="Compact"/>
              <w:spacing w:before="20" w:after="20" w:line="240" w:lineRule="auto"/>
              <w:jc w:val="center"/>
              <w:keepNext/>
            </w:pPr>
            <w:r>
              <w:rPr>
                <w:sz w:val="13"/>
                <w:szCs w:val="13"/>
              </w:rPr>
              <w:t xml:space="preserve">3.240 (1.456)</w:t>
            </w:r>
          </w:p>
        </w:tc>
      </w:tr>
      <w:tr>
        <w:trPr>
          <w:cantSplit/>
        </w:trPr>
        <w:tc>
          <w:tcPr>
            <w:tcW w:type="dxa" w:w="1106"/>
          </w:tcPr>
          <w:p>
            <w:pPr>
              <w:pStyle w:val="Compact"/>
              <w:spacing w:before="20" w:after="20" w:line="240" w:lineRule="auto"/>
              <w:keepNext/>
            </w:pPr>
            <w:r>
              <w:rPr>
                <w:sz w:val="13"/>
                <w:szCs w:val="13"/>
              </w:rPr>
              <w:t xml:space="preserve">EPO(EP)</w:t>
            </w:r>
          </w:p>
        </w:tc>
        <w:tc>
          <w:tcPr>
            <w:tcW w:type="dxa" w:w="980"/>
          </w:tcPr>
          <w:p>
            <w:pPr>
              <w:pStyle w:val="Compact"/>
              <w:spacing w:before="20" w:after="20" w:line="240" w:lineRule="auto"/>
              <w:jc w:val="center"/>
              <w:keepNext/>
            </w:pPr>
            <w:r>
              <w:rPr>
                <w:sz w:val="13"/>
                <w:szCs w:val="13"/>
              </w:rPr>
              <w:t xml:space="preserve">0.858 (0.438)</w:t>
            </w:r>
          </w:p>
        </w:tc>
        <w:tc>
          <w:tcPr>
            <w:tcW w:type="dxa" w:w="980"/>
          </w:tcPr>
          <w:p>
            <w:pPr>
              <w:pStyle w:val="Compact"/>
              <w:spacing w:before="20" w:after="20" w:line="240" w:lineRule="auto"/>
              <w:jc w:val="center"/>
              <w:keepNext/>
            </w:pPr>
            <w:r>
              <w:rPr>
                <w:sz w:val="13"/>
                <w:szCs w:val="13"/>
              </w:rPr>
              <w:t xml:space="preserve">0.868 (0.435)</w:t>
            </w:r>
          </w:p>
        </w:tc>
        <w:tc>
          <w:tcPr>
            <w:tcW w:type="dxa" w:w="980"/>
          </w:tcPr>
          <w:p>
            <w:pPr>
              <w:pStyle w:val="Compact"/>
              <w:spacing w:before="20" w:after="20" w:line="240" w:lineRule="auto"/>
              <w:jc w:val="center"/>
              <w:keepNext/>
            </w:pPr>
            <w:r>
              <w:rPr>
                <w:sz w:val="13"/>
                <w:szCs w:val="13"/>
              </w:rPr>
              <w:t xml:space="preserve">0.699 (0.764)</w:t>
            </w:r>
          </w:p>
        </w:tc>
        <w:tc>
          <w:tcPr>
            <w:tcW w:type="dxa" w:w="980"/>
          </w:tcPr>
          <w:p>
            <w:pPr>
              <w:pStyle w:val="Compact"/>
              <w:spacing w:before="20" w:after="20" w:line="240" w:lineRule="auto"/>
              <w:jc w:val="center"/>
              <w:keepNext/>
            </w:pPr>
            <w:r>
              <w:rPr>
                <w:sz w:val="13"/>
                <w:szCs w:val="13"/>
              </w:rPr>
              <w:t xml:space="preserve">0.956 (0.443)</w:t>
            </w:r>
          </w:p>
        </w:tc>
        <w:tc>
          <w:tcPr>
            <w:tcW w:type="dxa" w:w="980"/>
          </w:tcPr>
          <w:p>
            <w:pPr>
              <w:pStyle w:val="Compact"/>
              <w:spacing w:before="20" w:after="20" w:line="240" w:lineRule="auto"/>
              <w:jc w:val="center"/>
              <w:keepNext/>
            </w:pPr>
            <w:r>
              <w:rPr>
                <w:sz w:val="13"/>
                <w:szCs w:val="13"/>
              </w:rPr>
              <w:t xml:space="preserve">1.089 (0.494)</w:t>
            </w:r>
          </w:p>
        </w:tc>
        <w:tc>
          <w:tcPr>
            <w:tcW w:type="dxa" w:w="980"/>
          </w:tcPr>
          <w:p>
            <w:pPr>
              <w:pStyle w:val="Compact"/>
              <w:spacing w:before="20" w:after="20" w:line="240" w:lineRule="auto"/>
              <w:jc w:val="center"/>
              <w:keepNext/>
            </w:pPr>
            <w:r>
              <w:rPr>
                <w:sz w:val="13"/>
                <w:szCs w:val="13"/>
              </w:rPr>
              <w:t xml:space="preserve">—</w:t>
            </w:r>
          </w:p>
        </w:tc>
        <w:tc>
          <w:tcPr>
            <w:tcW w:type="dxa" w:w="1106"/>
          </w:tcPr>
          <w:p>
            <w:pPr>
              <w:pStyle w:val="Compact"/>
              <w:spacing w:before="20" w:after="20" w:line="240" w:lineRule="auto"/>
              <w:jc w:val="center"/>
              <w:keepNext/>
            </w:pPr>
            <w:r>
              <w:rPr>
                <w:sz w:val="13"/>
                <w:szCs w:val="13"/>
              </w:rPr>
              <w:t xml:space="preserve">0.804 (0.449)</w:t>
            </w:r>
          </w:p>
        </w:tc>
        <w:tc>
          <w:tcPr>
            <w:tcW w:type="dxa" w:w="980"/>
          </w:tcPr>
          <w:p>
            <w:pPr>
              <w:pStyle w:val="Compact"/>
              <w:spacing w:before="20" w:after="20" w:line="240" w:lineRule="auto"/>
              <w:jc w:val="center"/>
              <w:keepNext/>
            </w:pPr>
            <w:r>
              <w:rPr>
                <w:sz w:val="13"/>
                <w:szCs w:val="13"/>
              </w:rPr>
              <w:t xml:space="preserve">0.709 (0.578)</w:t>
            </w:r>
          </w:p>
        </w:tc>
      </w:tr>
      <w:tr>
        <w:trPr>
          <w:cantSplit/>
        </w:trPr>
        <w:tc>
          <w:tcPr>
            <w:tcW w:type="dxa" w:w="1106"/>
          </w:tcPr>
          <w:p>
            <w:pPr>
              <w:pStyle w:val="Compact"/>
              <w:spacing w:before="20" w:after="20" w:line="240" w:lineRule="auto"/>
              <w:keepNext/>
            </w:pPr>
            <w:r>
              <w:rPr>
                <w:sz w:val="13"/>
                <w:szCs w:val="13"/>
              </w:rPr>
              <w:t xml:space="preserve">PCT(WO)</w:t>
            </w:r>
          </w:p>
        </w:tc>
        <w:tc>
          <w:tcPr>
            <w:tcW w:type="dxa" w:w="980"/>
          </w:tcPr>
          <w:p>
            <w:pPr>
              <w:pStyle w:val="Compact"/>
              <w:spacing w:before="20" w:after="20" w:line="240" w:lineRule="auto"/>
              <w:jc w:val="center"/>
              <w:keepNext/>
            </w:pPr>
            <w:r>
              <w:rPr>
                <w:sz w:val="13"/>
                <w:szCs w:val="13"/>
              </w:rPr>
              <w:t xml:space="preserve">1.997** (0.323)</w:t>
            </w:r>
          </w:p>
        </w:tc>
        <w:tc>
          <w:tcPr>
            <w:tcW w:type="dxa" w:w="980"/>
          </w:tcPr>
          <w:p>
            <w:pPr>
              <w:pStyle w:val="Compact"/>
              <w:spacing w:before="20" w:after="20" w:line="240" w:lineRule="auto"/>
              <w:jc w:val="center"/>
              <w:keepNext/>
            </w:pPr>
            <w:r>
              <w:rPr>
                <w:sz w:val="13"/>
                <w:szCs w:val="13"/>
              </w:rPr>
              <w:t xml:space="preserve">2.016** (0.322)</w:t>
            </w:r>
          </w:p>
        </w:tc>
        <w:tc>
          <w:tcPr>
            <w:tcW w:type="dxa" w:w="980"/>
          </w:tcPr>
          <w:p>
            <w:pPr>
              <w:pStyle w:val="Compact"/>
              <w:spacing w:before="20" w:after="20" w:line="240" w:lineRule="auto"/>
              <w:jc w:val="center"/>
              <w:keepNext/>
            </w:pPr>
            <w:r>
              <w:rPr>
                <w:sz w:val="13"/>
                <w:szCs w:val="13"/>
              </w:rPr>
              <w:t xml:space="preserve">1.636 (0.496)</w:t>
            </w:r>
          </w:p>
        </w:tc>
        <w:tc>
          <w:tcPr>
            <w:tcW w:type="dxa" w:w="980"/>
          </w:tcPr>
          <w:p>
            <w:pPr>
              <w:pStyle w:val="Compact"/>
              <w:spacing w:before="20" w:after="20" w:line="240" w:lineRule="auto"/>
              <w:jc w:val="center"/>
              <w:keepNext/>
            </w:pPr>
            <w:r>
              <w:rPr>
                <w:sz w:val="13"/>
                <w:szCs w:val="13"/>
              </w:rPr>
              <w:t xml:space="preserve">2.170** (0.339)</w:t>
            </w:r>
          </w:p>
        </w:tc>
        <w:tc>
          <w:tcPr>
            <w:tcW w:type="dxa" w:w="980"/>
          </w:tcPr>
          <w:p>
            <w:pPr>
              <w:pStyle w:val="Compact"/>
              <w:spacing w:before="20" w:after="20" w:line="240" w:lineRule="auto"/>
              <w:jc w:val="center"/>
              <w:keepNext/>
            </w:pPr>
            <w:r>
              <w:rPr>
                <w:sz w:val="13"/>
                <w:szCs w:val="13"/>
              </w:rPr>
              <w:t xml:space="preserve">2.046* (0.366)</w:t>
            </w:r>
          </w:p>
        </w:tc>
        <w:tc>
          <w:tcPr>
            <w:tcW w:type="dxa" w:w="980"/>
          </w:tcPr>
          <w:p>
            <w:pPr>
              <w:pStyle w:val="Compact"/>
              <w:spacing w:before="20" w:after="20" w:line="240" w:lineRule="auto"/>
              <w:jc w:val="center"/>
              <w:keepNext/>
            </w:pPr>
            <w:r>
              <w:rPr>
                <w:sz w:val="13"/>
                <w:szCs w:val="13"/>
              </w:rPr>
              <w:t xml:space="preserve">1.957 (0.530)</w:t>
            </w:r>
          </w:p>
        </w:tc>
        <w:tc>
          <w:tcPr>
            <w:tcW w:type="dxa" w:w="1106"/>
          </w:tcPr>
          <w:p>
            <w:pPr>
              <w:pStyle w:val="Compact"/>
              <w:spacing w:before="20" w:after="20" w:line="240" w:lineRule="auto"/>
              <w:jc w:val="center"/>
              <w:keepNext/>
            </w:pPr>
            <w:r>
              <w:rPr>
                <w:sz w:val="13"/>
                <w:szCs w:val="13"/>
              </w:rPr>
              <w:t xml:space="preserve">2.167** (0.385)</w:t>
            </w:r>
          </w:p>
        </w:tc>
        <w:tc>
          <w:tcPr>
            <w:tcW w:type="dxa" w:w="980"/>
          </w:tcPr>
          <w:p>
            <w:pPr>
              <w:pStyle w:val="Compact"/>
              <w:spacing w:before="20" w:after="20" w:line="240" w:lineRule="auto"/>
              <w:jc w:val="center"/>
              <w:keepNext/>
            </w:pPr>
            <w:r>
              <w:rPr>
                <w:sz w:val="13"/>
                <w:szCs w:val="13"/>
              </w:rPr>
              <w:t xml:space="preserve">1.694 (0.364)</w:t>
            </w:r>
          </w:p>
        </w:tc>
      </w:tr>
      <w:tr>
        <w:trPr>
          <w:cantSplit/>
        </w:trPr>
        <w:tc>
          <w:tcPr>
            <w:tcW w:type="dxa" w:w="1106"/>
          </w:tcPr>
          <w:p>
            <w:pPr>
              <w:pStyle w:val="Compact"/>
              <w:spacing w:before="20" w:after="20" w:line="240" w:lineRule="auto"/>
              <w:keepNext/>
            </w:pPr>
            <w:r>
              <w:rPr>
                <w:sz w:val="13"/>
                <w:szCs w:val="13"/>
              </w:rPr>
              <w:t xml:space="preserve">기타</w:t>
            </w:r>
          </w:p>
        </w:tc>
        <w:tc>
          <w:tcPr>
            <w:tcW w:type="dxa" w:w="980"/>
          </w:tcPr>
          <w:p>
            <w:pPr>
              <w:pStyle w:val="Compact"/>
              <w:spacing w:before="20" w:after="20" w:line="240" w:lineRule="auto"/>
              <w:jc w:val="center"/>
              <w:keepNext/>
            </w:pPr>
            <w:r>
              <w:rPr>
                <w:sz w:val="13"/>
                <w:szCs w:val="13"/>
              </w:rPr>
              <w:t xml:space="preserve">1.901 (0.779)</w:t>
            </w:r>
          </w:p>
        </w:tc>
        <w:tc>
          <w:tcPr>
            <w:tcW w:type="dxa" w:w="980"/>
          </w:tcPr>
          <w:p>
            <w:pPr>
              <w:pStyle w:val="Compact"/>
              <w:spacing w:before="20" w:after="20" w:line="240" w:lineRule="auto"/>
              <w:jc w:val="center"/>
              <w:keepNext/>
            </w:pPr>
            <w:r>
              <w:rPr>
                <w:sz w:val="13"/>
                <w:szCs w:val="13"/>
              </w:rPr>
              <w:t xml:space="preserve">1.923 (0.775)</w:t>
            </w:r>
          </w:p>
        </w:tc>
        <w:tc>
          <w:tcPr>
            <w:tcW w:type="dxa" w:w="980"/>
          </w:tcPr>
          <w:p>
            <w:pPr>
              <w:pStyle w:val="Compact"/>
              <w:spacing w:before="20" w:after="20" w:line="240" w:lineRule="auto"/>
              <w:jc w:val="center"/>
              <w:keepNext/>
            </w:pPr>
            <w:r>
              <w:rPr>
                <w:sz w:val="13"/>
                <w:szCs w:val="13"/>
              </w:rPr>
              <w:t xml:space="preserve">1.847 (1.010)</w:t>
            </w:r>
          </w:p>
        </w:tc>
        <w:tc>
          <w:tcPr>
            <w:tcW w:type="dxa" w:w="980"/>
          </w:tcPr>
          <w:p>
            <w:pPr>
              <w:pStyle w:val="Compact"/>
              <w:spacing w:before="20" w:after="20" w:line="240" w:lineRule="auto"/>
              <w:jc w:val="center"/>
              <w:keepNext/>
            </w:pPr>
            <w:r>
              <w:rPr>
                <w:sz w:val="13"/>
                <w:szCs w:val="13"/>
              </w:rPr>
              <w:t xml:space="preserve">2.385 (0.758)</w:t>
            </w:r>
          </w:p>
        </w:tc>
        <w:tc>
          <w:tcPr>
            <w:tcW w:type="dxa" w:w="980"/>
          </w:tcPr>
          <w:p>
            <w:pPr>
              <w:pStyle w:val="Compact"/>
              <w:spacing w:before="20" w:after="20" w:line="240" w:lineRule="auto"/>
              <w:jc w:val="center"/>
              <w:keepNext/>
            </w:pPr>
            <w:r>
              <w:rPr>
                <w:sz w:val="13"/>
                <w:szCs w:val="13"/>
              </w:rPr>
              <w:t xml:space="preserve">0.996 (0.914)</w:t>
            </w:r>
          </w:p>
        </w:tc>
        <w:tc>
          <w:tcPr>
            <w:tcW w:type="dxa" w:w="980"/>
          </w:tcPr>
          <w:p>
            <w:pPr>
              <w:pStyle w:val="Compact"/>
              <w:spacing w:before="20" w:after="20" w:line="240" w:lineRule="auto"/>
              <w:jc w:val="center"/>
              <w:keepNext/>
            </w:pPr>
            <w:r>
              <w:rPr>
                <w:sz w:val="13"/>
                <w:szCs w:val="13"/>
              </w:rPr>
              <w:t xml:space="preserve">—</w:t>
            </w:r>
          </w:p>
        </w:tc>
        <w:tc>
          <w:tcPr>
            <w:tcW w:type="dxa" w:w="1106"/>
          </w:tcPr>
          <w:p>
            <w:pPr>
              <w:pStyle w:val="Compact"/>
              <w:spacing w:before="20" w:after="20" w:line="240" w:lineRule="auto"/>
              <w:jc w:val="center"/>
              <w:keepNext/>
            </w:pPr>
            <w:r>
              <w:rPr>
                <w:sz w:val="13"/>
                <w:szCs w:val="13"/>
              </w:rPr>
              <w:t xml:space="preserve">2.172 (0.837)</w:t>
            </w:r>
          </w:p>
        </w:tc>
        <w:tc>
          <w:tcPr>
            <w:tcW w:type="dxa" w:w="980"/>
          </w:tcPr>
          <w:p>
            <w:pPr>
              <w:pStyle w:val="Compact"/>
              <w:spacing w:before="20" w:after="20" w:line="240" w:lineRule="auto"/>
              <w:jc w:val="center"/>
              <w:keepNext/>
            </w:pPr>
            <w:r>
              <w:rPr>
                <w:sz w:val="13"/>
                <w:szCs w:val="13"/>
              </w:rPr>
              <w:t xml:space="preserve">—</w:t>
            </w:r>
          </w:p>
        </w:tc>
      </w:tr>
      <w:tr>
        <w:trPr>
          <w:cantSplit/>
        </w:trPr>
        <w:tc>
          <w:tcPr>
            <w:tcW w:type="dxa" w:w="1106"/>
          </w:tcPr>
          <w:p>
            <w:pPr>
              <w:pStyle w:val="Compact"/>
              <w:spacing w:before="20" w:after="20" w:line="240" w:lineRule="auto"/>
              <w:keepNext/>
            </w:pPr>
            <w:r>
              <w:rPr>
                <w:sz w:val="13"/>
                <w:szCs w:val="13"/>
              </w:rPr>
              <w:t xml:space="preserve">N</w:t>
            </w:r>
          </w:p>
        </w:tc>
        <w:tc>
          <w:tcPr>
            <w:tcW w:type="dxa" w:w="980"/>
          </w:tcPr>
          <w:p>
            <w:pPr>
              <w:pStyle w:val="Compact"/>
              <w:spacing w:before="20" w:after="20" w:line="240" w:lineRule="auto"/>
              <w:jc w:val="center"/>
              <w:keepNext/>
            </w:pPr>
            <w:r>
              <w:rPr>
                <w:sz w:val="13"/>
                <w:szCs w:val="13"/>
              </w:rPr>
              <w:t xml:space="preserve">928</w:t>
            </w:r>
          </w:p>
        </w:tc>
        <w:tc>
          <w:tcPr>
            <w:tcW w:type="dxa" w:w="980"/>
          </w:tcPr>
          <w:p>
            <w:pPr>
              <w:pStyle w:val="Compact"/>
              <w:spacing w:before="20" w:after="20" w:line="240" w:lineRule="auto"/>
              <w:jc w:val="center"/>
              <w:keepNext/>
            </w:pPr>
            <w:r>
              <w:rPr>
                <w:sz w:val="13"/>
                <w:szCs w:val="13"/>
              </w:rPr>
              <w:t xml:space="preserve">928</w:t>
            </w:r>
          </w:p>
        </w:tc>
        <w:tc>
          <w:tcPr>
            <w:tcW w:type="dxa" w:w="980"/>
          </w:tcPr>
          <w:p>
            <w:pPr>
              <w:pStyle w:val="Compact"/>
              <w:spacing w:before="20" w:after="20" w:line="240" w:lineRule="auto"/>
              <w:jc w:val="center"/>
              <w:keepNext/>
            </w:pPr>
            <w:r>
              <w:rPr>
                <w:sz w:val="13"/>
                <w:szCs w:val="13"/>
              </w:rPr>
              <w:t xml:space="preserve">473</w:t>
            </w:r>
          </w:p>
        </w:tc>
        <w:tc>
          <w:tcPr>
            <w:tcW w:type="dxa" w:w="980"/>
          </w:tcPr>
          <w:p>
            <w:pPr>
              <w:pStyle w:val="Compact"/>
              <w:spacing w:before="20" w:after="20" w:line="240" w:lineRule="auto"/>
              <w:jc w:val="center"/>
              <w:keepNext/>
            </w:pPr>
            <w:r>
              <w:rPr>
                <w:sz w:val="13"/>
                <w:szCs w:val="13"/>
              </w:rPr>
              <w:t xml:space="preserve">908</w:t>
            </w:r>
          </w:p>
        </w:tc>
        <w:tc>
          <w:tcPr>
            <w:tcW w:type="dxa" w:w="980"/>
          </w:tcPr>
          <w:p>
            <w:pPr>
              <w:pStyle w:val="Compact"/>
              <w:spacing w:before="20" w:after="20" w:line="240" w:lineRule="auto"/>
              <w:jc w:val="center"/>
              <w:keepNext/>
            </w:pPr>
            <w:r>
              <w:rPr>
                <w:sz w:val="13"/>
                <w:szCs w:val="13"/>
              </w:rPr>
              <w:t xml:space="preserve">860</w:t>
            </w:r>
          </w:p>
        </w:tc>
        <w:tc>
          <w:tcPr>
            <w:tcW w:type="dxa" w:w="980"/>
          </w:tcPr>
          <w:p>
            <w:pPr>
              <w:pStyle w:val="Compact"/>
              <w:spacing w:before="20" w:after="20" w:line="240" w:lineRule="auto"/>
              <w:jc w:val="center"/>
              <w:keepNext/>
            </w:pPr>
            <w:r>
              <w:rPr>
                <w:sz w:val="13"/>
                <w:szCs w:val="13"/>
              </w:rPr>
              <w:t xml:space="preserve">467</w:t>
            </w:r>
          </w:p>
        </w:tc>
        <w:tc>
          <w:tcPr>
            <w:tcW w:type="dxa" w:w="1106"/>
          </w:tcPr>
          <w:p>
            <w:pPr>
              <w:pStyle w:val="Compact"/>
              <w:spacing w:before="20" w:after="20" w:line="240" w:lineRule="auto"/>
              <w:jc w:val="center"/>
              <w:keepNext/>
            </w:pPr>
            <w:r>
              <w:rPr>
                <w:sz w:val="13"/>
                <w:szCs w:val="13"/>
              </w:rPr>
              <w:t xml:space="preserve">753</w:t>
            </w:r>
          </w:p>
        </w:tc>
        <w:tc>
          <w:tcPr>
            <w:tcW w:type="dxa" w:w="980"/>
          </w:tcPr>
          <w:p>
            <w:pPr>
              <w:pStyle w:val="Compact"/>
              <w:spacing w:before="20" w:after="20" w:line="240" w:lineRule="auto"/>
              <w:jc w:val="center"/>
              <w:keepNext/>
            </w:pPr>
            <w:r>
              <w:rPr>
                <w:sz w:val="13"/>
                <w:szCs w:val="13"/>
              </w:rPr>
              <w:t xml:space="preserve">830</w:t>
            </w:r>
          </w:p>
        </w:tc>
      </w:tr>
      <w:tr>
        <w:trPr>
          <w:cantSplit/>
        </w:trPr>
        <w:tc>
          <w:tcPr>
            <w:tcW w:type="dxa" w:w="1106"/>
          </w:tcPr>
          <w:p>
            <w:pPr>
              <w:pStyle w:val="Compact"/>
              <w:spacing w:before="20" w:after="20" w:line="240" w:lineRule="auto"/>
              <w:keepNext/>
            </w:pPr>
            <w:r>
              <w:rPr>
                <w:sz w:val="13"/>
                <w:szCs w:val="13"/>
              </w:rPr>
              <w:t xml:space="preserve">로그우도</w:t>
            </w:r>
          </w:p>
        </w:tc>
        <w:tc>
          <w:tcPr>
            <w:tcW w:type="dxa" w:w="980"/>
          </w:tcPr>
          <w:p>
            <w:pPr>
              <w:pStyle w:val="Compact"/>
              <w:spacing w:before="20" w:after="20" w:line="240" w:lineRule="auto"/>
              <w:jc w:val="center"/>
              <w:keepNext/>
            </w:pPr>
            <w:r>
              <w:rPr>
                <w:sz w:val="13"/>
                <w:szCs w:val="13"/>
              </w:rPr>
              <w:t xml:space="preserve">−774.5</w:t>
            </w:r>
          </w:p>
        </w:tc>
        <w:tc>
          <w:tcPr>
            <w:tcW w:type="dxa" w:w="980"/>
          </w:tcPr>
          <w:p>
            <w:pPr>
              <w:pStyle w:val="Compact"/>
              <w:spacing w:before="20" w:after="20" w:line="240" w:lineRule="auto"/>
              <w:jc w:val="center"/>
              <w:keepNext/>
            </w:pPr>
            <w:r>
              <w:rPr>
                <w:sz w:val="13"/>
                <w:szCs w:val="13"/>
              </w:rPr>
              <w:t xml:space="preserve">−829.4</w:t>
            </w:r>
          </w:p>
        </w:tc>
        <w:tc>
          <w:tcPr>
            <w:tcW w:type="dxa" w:w="980"/>
          </w:tcPr>
          <w:p>
            <w:pPr>
              <w:pStyle w:val="Compact"/>
              <w:spacing w:before="20" w:after="20" w:line="240" w:lineRule="auto"/>
              <w:jc w:val="center"/>
              <w:keepNext/>
            </w:pPr>
            <w:r>
              <w:rPr>
                <w:sz w:val="13"/>
                <w:szCs w:val="13"/>
              </w:rPr>
              <w:t xml:space="preserve">−425.3</w:t>
            </w:r>
          </w:p>
        </w:tc>
        <w:tc>
          <w:tcPr>
            <w:tcW w:type="dxa" w:w="980"/>
          </w:tcPr>
          <w:p>
            <w:pPr>
              <w:pStyle w:val="Compact"/>
              <w:spacing w:before="20" w:after="20" w:line="240" w:lineRule="auto"/>
              <w:jc w:val="center"/>
              <w:keepNext/>
            </w:pPr>
            <w:r>
              <w:rPr>
                <w:sz w:val="13"/>
                <w:szCs w:val="13"/>
              </w:rPr>
              <w:t xml:space="preserve">−755.9</w:t>
            </w:r>
          </w:p>
        </w:tc>
        <w:tc>
          <w:tcPr>
            <w:tcW w:type="dxa" w:w="980"/>
          </w:tcPr>
          <w:p>
            <w:pPr>
              <w:pStyle w:val="Compact"/>
              <w:spacing w:before="20" w:after="20" w:line="240" w:lineRule="auto"/>
              <w:jc w:val="center"/>
              <w:keepNext/>
            </w:pPr>
            <w:r>
              <w:rPr>
                <w:sz w:val="13"/>
                <w:szCs w:val="13"/>
              </w:rPr>
              <w:t xml:space="preserve">−682.7</w:t>
            </w:r>
          </w:p>
        </w:tc>
        <w:tc>
          <w:tcPr>
            <w:tcW w:type="dxa" w:w="980"/>
          </w:tcPr>
          <w:p>
            <w:pPr>
              <w:pStyle w:val="Compact"/>
              <w:spacing w:before="20" w:after="20" w:line="240" w:lineRule="auto"/>
              <w:jc w:val="center"/>
              <w:keepNext/>
            </w:pPr>
            <w:r>
              <w:rPr>
                <w:sz w:val="13"/>
                <w:szCs w:val="13"/>
              </w:rPr>
              <w:t xml:space="preserve">−364.0</w:t>
            </w:r>
          </w:p>
        </w:tc>
        <w:tc>
          <w:tcPr>
            <w:tcW w:type="dxa" w:w="1106"/>
          </w:tcPr>
          <w:p>
            <w:pPr>
              <w:pStyle w:val="Compact"/>
              <w:spacing w:before="20" w:after="20" w:line="240" w:lineRule="auto"/>
              <w:jc w:val="center"/>
              <w:keepNext/>
            </w:pPr>
            <w:r>
              <w:rPr>
                <w:sz w:val="13"/>
                <w:szCs w:val="13"/>
              </w:rPr>
              <w:t xml:space="preserve">−607.4</w:t>
            </w:r>
          </w:p>
        </w:tc>
        <w:tc>
          <w:tcPr>
            <w:tcW w:type="dxa" w:w="980"/>
          </w:tcPr>
          <w:p>
            <w:pPr>
              <w:pStyle w:val="Compact"/>
              <w:spacing w:before="20" w:after="20" w:line="240" w:lineRule="auto"/>
              <w:jc w:val="center"/>
              <w:keepNext/>
            </w:pPr>
            <w:r>
              <w:rPr>
                <w:sz w:val="13"/>
                <w:szCs w:val="13"/>
              </w:rPr>
              <w:t xml:space="preserve">−683.0</w:t>
            </w:r>
          </w:p>
        </w:tc>
      </w:tr>
    </w:tbl>
    <w:p>
      <w:pPr>
        <w:pStyle w:val="BodyText"/>
      </w:pPr>
      <w:r>
        <w:rPr>
          <w:i/>
          <w:iCs/>
        </w:rPr>
        <w:t xml:space="preserve">주:</w:t>
      </w:r>
      <w:r>
        <w:t xml:space="preserve"> </w:t>
      </w:r>
      <w:r>
        <w:t xml:space="preserve">2010년 이후 표본의 일본 출원은 15건(조립 단독형 1, 통합형 13, 공정 단독형 1)뿐이어서 해당 계수는 신뢰할 수 없고, 기타 출원청은 공정 단독형이 0건이어서 공정 단독형 방정식의 계수가 식별되지 않는다. 식별되지 않는 계수(해당 범주에 관측치가 없는 경우)는 —로 표시하였다.</w:t>
      </w:r>
    </w:p>
    <w:p>
      <w:pPr>
        <w:pStyle w:val="BodyText"/>
      </w:pPr>
      <w:r>
        <w:rPr>
          <w:b/>
          <w:bCs/>
        </w:rPr>
        <w:t xml:space="preserve">표 B3.</w:t>
      </w:r>
      <w:r>
        <w:t xml:space="preserve"> </w:t>
      </w:r>
      <w:r>
        <w:t xml:space="preserve">기술범위의 음이항 모형: 표본별 발생률비(출원청 기준 = 미국; 괄호 안은 로그 계수의 표준오차; * p &lt; 0.10, ** p &lt; 0.05, *** p &lt; 0.01).</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60"/>
        <w:gridCol w:w="1318"/>
        <w:gridCol w:w="1318"/>
        <w:gridCol w:w="1318"/>
        <w:gridCol w:w="1318"/>
        <w:gridCol w:w="1318"/>
        <w:gridCol w:w="1318"/>
      </w:tblGrid>
      <w:tr>
        <w:trPr>
          <w:tblHeader w:val="on"/>
          <w:cantSplit/>
        </w:trPr>
        <w:tc>
          <w:tcPr>
            <w:tcW w:type="dxa" w:w="1160"/>
            <w:tcBorders>
              <w:bottom w:val="single" w:sz="4" w:space="0" w:color="000000"/>
            </w:tcBorders>
          </w:tcPr>
          <w:p>
            <w:pPr>
              <w:pStyle w:val="Compact"/>
              <w:spacing w:before="20" w:after="20" w:line="240" w:lineRule="auto"/>
              <w:keepNext/>
            </w:pPr>
          </w:p>
        </w:tc>
        <w:tc>
          <w:tcPr>
            <w:tcW w:type="dxa" w:w="1318"/>
            <w:tcBorders>
              <w:bottom w:val="single" w:sz="4" w:space="0" w:color="000000"/>
            </w:tcBorders>
          </w:tcPr>
          <w:p>
            <w:pPr>
              <w:pStyle w:val="Compact"/>
              <w:spacing w:before="20" w:after="20" w:line="240" w:lineRule="auto"/>
              <w:jc w:val="center"/>
              <w:keepNext/>
            </w:pPr>
            <w:r>
              <w:rPr>
                <w:sz w:val="13"/>
                <w:szCs w:val="13"/>
              </w:rPr>
              <w:t xml:space="preserve">기준</w:t>
            </w:r>
          </w:p>
        </w:tc>
        <w:tc>
          <w:tcPr>
            <w:tcW w:type="dxa" w:w="1318"/>
            <w:tcBorders>
              <w:bottom w:val="single" w:sz="4" w:space="0" w:color="000000"/>
            </w:tcBorders>
          </w:tcPr>
          <w:p>
            <w:pPr>
              <w:pStyle w:val="Compact"/>
              <w:spacing w:before="20" w:after="20" w:line="240" w:lineRule="auto"/>
              <w:jc w:val="center"/>
              <w:keepNext/>
            </w:pPr>
            <w:r>
              <w:rPr>
                <w:sz w:val="13"/>
                <w:szCs w:val="13"/>
              </w:rPr>
              <w:t xml:space="preserve">동일 제목 중복 제거</w:t>
            </w:r>
          </w:p>
        </w:tc>
        <w:tc>
          <w:tcPr>
            <w:tcW w:type="dxa" w:w="1318"/>
            <w:tcBorders>
              <w:bottom w:val="single" w:sz="4" w:space="0" w:color="000000"/>
            </w:tcBorders>
          </w:tcPr>
          <w:p>
            <w:pPr>
              <w:pStyle w:val="Compact"/>
              <w:spacing w:before="20" w:after="20" w:line="240" w:lineRule="auto"/>
              <w:jc w:val="center"/>
              <w:keepNext/>
            </w:pPr>
            <w:r>
              <w:rPr>
                <w:sz w:val="13"/>
                <w:szCs w:val="13"/>
              </w:rPr>
              <w:t xml:space="preserve">무관 용법 제외</w:t>
            </w:r>
          </w:p>
        </w:tc>
        <w:tc>
          <w:tcPr>
            <w:tcW w:type="dxa" w:w="1318"/>
            <w:tcBorders>
              <w:bottom w:val="single" w:sz="4" w:space="0" w:color="000000"/>
            </w:tcBorders>
          </w:tcPr>
          <w:p>
            <w:pPr>
              <w:pStyle w:val="Compact"/>
              <w:spacing w:before="20" w:after="20" w:line="240" w:lineRule="auto"/>
              <w:jc w:val="center"/>
              <w:keepNext/>
            </w:pPr>
            <w:r>
              <w:rPr>
                <w:sz w:val="13"/>
                <w:szCs w:val="13"/>
              </w:rPr>
              <w:t xml:space="preserve">핵심 표본</w:t>
            </w:r>
          </w:p>
        </w:tc>
        <w:tc>
          <w:tcPr>
            <w:tcW w:type="dxa" w:w="1318"/>
            <w:tcBorders>
              <w:bottom w:val="single" w:sz="4" w:space="0" w:color="000000"/>
            </w:tcBorders>
          </w:tcPr>
          <w:p>
            <w:pPr>
              <w:pStyle w:val="Compact"/>
              <w:spacing w:before="20" w:after="20" w:line="240" w:lineRule="auto"/>
              <w:jc w:val="center"/>
              <w:keepNext/>
            </w:pPr>
            <w:r>
              <w:rPr>
                <w:sz w:val="13"/>
                <w:szCs w:val="13"/>
              </w:rPr>
              <w:t xml:space="preserve">2023–2024년 제외</w:t>
            </w:r>
          </w:p>
        </w:tc>
        <w:tc>
          <w:tcPr>
            <w:tcW w:type="dxa" w:w="1318"/>
            <w:tcBorders>
              <w:bottom w:val="single" w:sz="4" w:space="0" w:color="000000"/>
            </w:tcBorders>
          </w:tcPr>
          <w:p>
            <w:pPr>
              <w:pStyle w:val="Compact"/>
              <w:spacing w:before="20" w:after="20" w:line="240" w:lineRule="auto"/>
              <w:jc w:val="center"/>
              <w:keepNext/>
            </w:pPr>
            <w:r>
              <w:rPr>
                <w:sz w:val="13"/>
                <w:szCs w:val="13"/>
              </w:rPr>
              <w:t xml:space="preserve">2010년 이후</w:t>
            </w:r>
          </w:p>
        </w:tc>
      </w:tr>
      <w:tr>
        <w:trPr>
          <w:cantSplit/>
        </w:trPr>
        <w:tc>
          <w:tcPr>
            <w:tcW w:type="dxa" w:w="1160"/>
          </w:tcPr>
          <w:p>
            <w:pPr>
              <w:pStyle w:val="Compact"/>
              <w:spacing w:before="20" w:after="20" w:line="240" w:lineRule="auto"/>
              <w:keepNext/>
            </w:pPr>
            <w:r>
              <w:rPr>
                <w:sz w:val="13"/>
                <w:szCs w:val="13"/>
              </w:rPr>
              <w:t xml:space="preserve">출원연도(yc)</w:t>
            </w:r>
          </w:p>
        </w:tc>
        <w:tc>
          <w:tcPr>
            <w:tcW w:type="dxa" w:w="1318"/>
          </w:tcPr>
          <w:p>
            <w:pPr>
              <w:pStyle w:val="Compact"/>
              <w:spacing w:before="20" w:after="20" w:line="240" w:lineRule="auto"/>
              <w:jc w:val="center"/>
              <w:keepNext/>
            </w:pPr>
            <w:r>
              <w:rPr>
                <w:sz w:val="13"/>
                <w:szCs w:val="13"/>
              </w:rPr>
              <w:t xml:space="preserve">1.015*** (0.003)</w:t>
            </w:r>
          </w:p>
        </w:tc>
        <w:tc>
          <w:tcPr>
            <w:tcW w:type="dxa" w:w="1318"/>
          </w:tcPr>
          <w:p>
            <w:pPr>
              <w:pStyle w:val="Compact"/>
              <w:spacing w:before="20" w:after="20" w:line="240" w:lineRule="auto"/>
              <w:jc w:val="center"/>
              <w:keepNext/>
            </w:pPr>
            <w:r>
              <w:rPr>
                <w:sz w:val="13"/>
                <w:szCs w:val="13"/>
              </w:rPr>
              <w:t xml:space="preserve">1.022*** (0.004)</w:t>
            </w:r>
          </w:p>
        </w:tc>
        <w:tc>
          <w:tcPr>
            <w:tcW w:type="dxa" w:w="1318"/>
          </w:tcPr>
          <w:p>
            <w:pPr>
              <w:pStyle w:val="Compact"/>
              <w:spacing w:before="20" w:after="20" w:line="240" w:lineRule="auto"/>
              <w:jc w:val="center"/>
              <w:keepNext/>
            </w:pPr>
            <w:r>
              <w:rPr>
                <w:sz w:val="13"/>
                <w:szCs w:val="13"/>
              </w:rPr>
              <w:t xml:space="preserve">1.001 (0.004)</w:t>
            </w:r>
          </w:p>
        </w:tc>
        <w:tc>
          <w:tcPr>
            <w:tcW w:type="dxa" w:w="1318"/>
          </w:tcPr>
          <w:p>
            <w:pPr>
              <w:pStyle w:val="Compact"/>
              <w:spacing w:before="20" w:after="20" w:line="240" w:lineRule="auto"/>
              <w:jc w:val="center"/>
              <w:keepNext/>
            </w:pPr>
            <w:r>
              <w:rPr>
                <w:sz w:val="13"/>
                <w:szCs w:val="13"/>
              </w:rPr>
              <w:t xml:space="preserve">0.964*** (0.008)</w:t>
            </w:r>
          </w:p>
        </w:tc>
        <w:tc>
          <w:tcPr>
            <w:tcW w:type="dxa" w:w="1318"/>
          </w:tcPr>
          <w:p>
            <w:pPr>
              <w:pStyle w:val="Compact"/>
              <w:spacing w:before="20" w:after="20" w:line="240" w:lineRule="auto"/>
              <w:jc w:val="center"/>
              <w:keepNext/>
            </w:pPr>
            <w:r>
              <w:rPr>
                <w:sz w:val="13"/>
                <w:szCs w:val="13"/>
              </w:rPr>
              <w:t xml:space="preserve">1.022*** (0.004)</w:t>
            </w:r>
          </w:p>
        </w:tc>
        <w:tc>
          <w:tcPr>
            <w:tcW w:type="dxa" w:w="1318"/>
          </w:tcPr>
          <w:p>
            <w:pPr>
              <w:pStyle w:val="Compact"/>
              <w:spacing w:before="20" w:after="20" w:line="240" w:lineRule="auto"/>
              <w:jc w:val="center"/>
              <w:keepNext/>
            </w:pPr>
            <w:r>
              <w:rPr>
                <w:sz w:val="13"/>
                <w:szCs w:val="13"/>
              </w:rPr>
              <w:t xml:space="preserve">0.970*** (0.006)</w:t>
            </w:r>
          </w:p>
        </w:tc>
      </w:tr>
      <w:tr>
        <w:trPr>
          <w:cantSplit/>
        </w:trPr>
        <w:tc>
          <w:tcPr>
            <w:tcW w:type="dxa" w:w="1160"/>
          </w:tcPr>
          <w:p>
            <w:pPr>
              <w:pStyle w:val="Compact"/>
              <w:spacing w:before="20" w:after="20" w:line="240" w:lineRule="auto"/>
              <w:keepNext/>
            </w:pPr>
            <w:r>
              <w:rPr>
                <w:sz w:val="13"/>
                <w:szCs w:val="13"/>
              </w:rPr>
              <w:t xml:space="preserve">중국(CN)</w:t>
            </w:r>
          </w:p>
        </w:tc>
        <w:tc>
          <w:tcPr>
            <w:tcW w:type="dxa" w:w="1318"/>
          </w:tcPr>
          <w:p>
            <w:pPr>
              <w:pStyle w:val="Compact"/>
              <w:spacing w:before="20" w:after="20" w:line="240" w:lineRule="auto"/>
              <w:jc w:val="center"/>
              <w:keepNext/>
            </w:pPr>
            <w:r>
              <w:rPr>
                <w:sz w:val="13"/>
                <w:szCs w:val="13"/>
              </w:rPr>
              <w:t xml:space="preserve">0.785*** (0.062)</w:t>
            </w:r>
          </w:p>
        </w:tc>
        <w:tc>
          <w:tcPr>
            <w:tcW w:type="dxa" w:w="1318"/>
          </w:tcPr>
          <w:p>
            <w:pPr>
              <w:pStyle w:val="Compact"/>
              <w:spacing w:before="20" w:after="20" w:line="240" w:lineRule="auto"/>
              <w:jc w:val="center"/>
              <w:keepNext/>
            </w:pPr>
            <w:r>
              <w:rPr>
                <w:sz w:val="13"/>
                <w:szCs w:val="13"/>
              </w:rPr>
              <w:t xml:space="preserve">0.792*** (0.077)</w:t>
            </w:r>
          </w:p>
        </w:tc>
        <w:tc>
          <w:tcPr>
            <w:tcW w:type="dxa" w:w="1318"/>
          </w:tcPr>
          <w:p>
            <w:pPr>
              <w:pStyle w:val="Compact"/>
              <w:spacing w:before="20" w:after="20" w:line="240" w:lineRule="auto"/>
              <w:jc w:val="center"/>
              <w:keepNext/>
            </w:pPr>
            <w:r>
              <w:rPr>
                <w:sz w:val="13"/>
                <w:szCs w:val="13"/>
              </w:rPr>
              <w:t xml:space="preserve">0.785*** (0.063)</w:t>
            </w:r>
          </w:p>
        </w:tc>
        <w:tc>
          <w:tcPr>
            <w:tcW w:type="dxa" w:w="1318"/>
          </w:tcPr>
          <w:p>
            <w:pPr>
              <w:pStyle w:val="Compact"/>
              <w:spacing w:before="20" w:after="20" w:line="240" w:lineRule="auto"/>
              <w:jc w:val="center"/>
              <w:keepNext/>
            </w:pPr>
            <w:r>
              <w:rPr>
                <w:sz w:val="13"/>
                <w:szCs w:val="13"/>
              </w:rPr>
              <w:t xml:space="preserve">0.786*** (0.073)</w:t>
            </w:r>
          </w:p>
        </w:tc>
        <w:tc>
          <w:tcPr>
            <w:tcW w:type="dxa" w:w="1318"/>
          </w:tcPr>
          <w:p>
            <w:pPr>
              <w:pStyle w:val="Compact"/>
              <w:spacing w:before="20" w:after="20" w:line="240" w:lineRule="auto"/>
              <w:jc w:val="center"/>
              <w:keepNext/>
            </w:pPr>
            <w:r>
              <w:rPr>
                <w:sz w:val="13"/>
                <w:szCs w:val="13"/>
              </w:rPr>
              <w:t xml:space="preserve">0.808*** (0.071)</w:t>
            </w:r>
          </w:p>
        </w:tc>
        <w:tc>
          <w:tcPr>
            <w:tcW w:type="dxa" w:w="1318"/>
          </w:tcPr>
          <w:p>
            <w:pPr>
              <w:pStyle w:val="Compact"/>
              <w:spacing w:before="20" w:after="20" w:line="240" w:lineRule="auto"/>
              <w:jc w:val="center"/>
              <w:keepNext/>
            </w:pPr>
            <w:r>
              <w:rPr>
                <w:sz w:val="13"/>
                <w:szCs w:val="13"/>
              </w:rPr>
              <w:t xml:space="preserve">0.794*** (0.057)</w:t>
            </w:r>
          </w:p>
        </w:tc>
      </w:tr>
      <w:tr>
        <w:trPr>
          <w:cantSplit/>
        </w:trPr>
        <w:tc>
          <w:tcPr>
            <w:tcW w:type="dxa" w:w="1160"/>
          </w:tcPr>
          <w:p>
            <w:pPr>
              <w:pStyle w:val="Compact"/>
              <w:spacing w:before="20" w:after="20" w:line="240" w:lineRule="auto"/>
              <w:keepNext/>
            </w:pPr>
            <w:r>
              <w:rPr>
                <w:sz w:val="13"/>
                <w:szCs w:val="13"/>
              </w:rPr>
              <w:t xml:space="preserve">한국(KR)</w:t>
            </w:r>
          </w:p>
        </w:tc>
        <w:tc>
          <w:tcPr>
            <w:tcW w:type="dxa" w:w="1318"/>
          </w:tcPr>
          <w:p>
            <w:pPr>
              <w:pStyle w:val="Compact"/>
              <w:spacing w:before="20" w:after="20" w:line="240" w:lineRule="auto"/>
              <w:jc w:val="center"/>
              <w:keepNext/>
            </w:pPr>
            <w:r>
              <w:rPr>
                <w:sz w:val="13"/>
                <w:szCs w:val="13"/>
              </w:rPr>
              <w:t xml:space="preserve">1.018 (0.094)</w:t>
            </w:r>
          </w:p>
        </w:tc>
        <w:tc>
          <w:tcPr>
            <w:tcW w:type="dxa" w:w="1318"/>
          </w:tcPr>
          <w:p>
            <w:pPr>
              <w:pStyle w:val="Compact"/>
              <w:spacing w:before="20" w:after="20" w:line="240" w:lineRule="auto"/>
              <w:jc w:val="center"/>
              <w:keepNext/>
            </w:pPr>
            <w:r>
              <w:rPr>
                <w:sz w:val="13"/>
                <w:szCs w:val="13"/>
              </w:rPr>
              <w:t xml:space="preserve">0.919 (0.127)</w:t>
            </w:r>
          </w:p>
        </w:tc>
        <w:tc>
          <w:tcPr>
            <w:tcW w:type="dxa" w:w="1318"/>
          </w:tcPr>
          <w:p>
            <w:pPr>
              <w:pStyle w:val="Compact"/>
              <w:spacing w:before="20" w:after="20" w:line="240" w:lineRule="auto"/>
              <w:jc w:val="center"/>
              <w:keepNext/>
            </w:pPr>
            <w:r>
              <w:rPr>
                <w:sz w:val="13"/>
                <w:szCs w:val="13"/>
              </w:rPr>
              <w:t xml:space="preserve">0.961 (0.094)</w:t>
            </w:r>
          </w:p>
        </w:tc>
        <w:tc>
          <w:tcPr>
            <w:tcW w:type="dxa" w:w="1318"/>
          </w:tcPr>
          <w:p>
            <w:pPr>
              <w:pStyle w:val="Compact"/>
              <w:spacing w:before="20" w:after="20" w:line="240" w:lineRule="auto"/>
              <w:jc w:val="center"/>
              <w:keepNext/>
            </w:pPr>
            <w:r>
              <w:rPr>
                <w:sz w:val="13"/>
                <w:szCs w:val="13"/>
              </w:rPr>
              <w:t xml:space="preserve">1.135 (0.120)</w:t>
            </w:r>
          </w:p>
        </w:tc>
        <w:tc>
          <w:tcPr>
            <w:tcW w:type="dxa" w:w="1318"/>
          </w:tcPr>
          <w:p>
            <w:pPr>
              <w:pStyle w:val="Compact"/>
              <w:spacing w:before="20" w:after="20" w:line="240" w:lineRule="auto"/>
              <w:jc w:val="center"/>
              <w:keepNext/>
            </w:pPr>
            <w:r>
              <w:rPr>
                <w:sz w:val="13"/>
                <w:szCs w:val="13"/>
              </w:rPr>
              <w:t xml:space="preserve">1.017 (0.099)</w:t>
            </w:r>
          </w:p>
        </w:tc>
        <w:tc>
          <w:tcPr>
            <w:tcW w:type="dxa" w:w="1318"/>
          </w:tcPr>
          <w:p>
            <w:pPr>
              <w:pStyle w:val="Compact"/>
              <w:spacing w:before="20" w:after="20" w:line="240" w:lineRule="auto"/>
              <w:jc w:val="center"/>
              <w:keepNext/>
            </w:pPr>
            <w:r>
              <w:rPr>
                <w:sz w:val="13"/>
                <w:szCs w:val="13"/>
              </w:rPr>
              <w:t xml:space="preserve">0.999 (0.096)</w:t>
            </w:r>
          </w:p>
        </w:tc>
      </w:tr>
      <w:tr>
        <w:trPr>
          <w:cantSplit/>
        </w:trPr>
        <w:tc>
          <w:tcPr>
            <w:tcW w:type="dxa" w:w="1160"/>
          </w:tcPr>
          <w:p>
            <w:pPr>
              <w:pStyle w:val="Compact"/>
              <w:spacing w:before="20" w:after="20" w:line="240" w:lineRule="auto"/>
              <w:keepNext/>
            </w:pPr>
            <w:r>
              <w:rPr>
                <w:sz w:val="13"/>
                <w:szCs w:val="13"/>
              </w:rPr>
              <w:t xml:space="preserve">대만(TW)</w:t>
            </w:r>
          </w:p>
        </w:tc>
        <w:tc>
          <w:tcPr>
            <w:tcW w:type="dxa" w:w="1318"/>
          </w:tcPr>
          <w:p>
            <w:pPr>
              <w:pStyle w:val="Compact"/>
              <w:spacing w:before="20" w:after="20" w:line="240" w:lineRule="auto"/>
              <w:jc w:val="center"/>
              <w:keepNext/>
            </w:pPr>
            <w:r>
              <w:rPr>
                <w:sz w:val="13"/>
                <w:szCs w:val="13"/>
              </w:rPr>
              <w:t xml:space="preserve">1.021 (0.083)</w:t>
            </w:r>
          </w:p>
        </w:tc>
        <w:tc>
          <w:tcPr>
            <w:tcW w:type="dxa" w:w="1318"/>
          </w:tcPr>
          <w:p>
            <w:pPr>
              <w:pStyle w:val="Compact"/>
              <w:spacing w:before="20" w:after="20" w:line="240" w:lineRule="auto"/>
              <w:jc w:val="center"/>
              <w:keepNext/>
            </w:pPr>
            <w:r>
              <w:rPr>
                <w:sz w:val="13"/>
                <w:szCs w:val="13"/>
              </w:rPr>
              <w:t xml:space="preserve">1.111 (0.149)</w:t>
            </w:r>
          </w:p>
        </w:tc>
        <w:tc>
          <w:tcPr>
            <w:tcW w:type="dxa" w:w="1318"/>
          </w:tcPr>
          <w:p>
            <w:pPr>
              <w:pStyle w:val="Compact"/>
              <w:spacing w:before="20" w:after="20" w:line="240" w:lineRule="auto"/>
              <w:jc w:val="center"/>
              <w:keepNext/>
            </w:pPr>
            <w:r>
              <w:rPr>
                <w:sz w:val="13"/>
                <w:szCs w:val="13"/>
              </w:rPr>
              <w:t xml:space="preserve">1.012 (0.082)</w:t>
            </w:r>
          </w:p>
        </w:tc>
        <w:tc>
          <w:tcPr>
            <w:tcW w:type="dxa" w:w="1318"/>
          </w:tcPr>
          <w:p>
            <w:pPr>
              <w:pStyle w:val="Compact"/>
              <w:spacing w:before="20" w:after="20" w:line="240" w:lineRule="auto"/>
              <w:jc w:val="center"/>
              <w:keepNext/>
            </w:pPr>
            <w:r>
              <w:rPr>
                <w:sz w:val="13"/>
                <w:szCs w:val="13"/>
              </w:rPr>
              <w:t xml:space="preserve">1.079 (0.093)</w:t>
            </w:r>
          </w:p>
        </w:tc>
        <w:tc>
          <w:tcPr>
            <w:tcW w:type="dxa" w:w="1318"/>
          </w:tcPr>
          <w:p>
            <w:pPr>
              <w:pStyle w:val="Compact"/>
              <w:spacing w:before="20" w:after="20" w:line="240" w:lineRule="auto"/>
              <w:jc w:val="center"/>
              <w:keepNext/>
            </w:pPr>
            <w:r>
              <w:rPr>
                <w:sz w:val="13"/>
                <w:szCs w:val="13"/>
              </w:rPr>
              <w:t xml:space="preserve">1.108 (0.095)</w:t>
            </w:r>
          </w:p>
        </w:tc>
        <w:tc>
          <w:tcPr>
            <w:tcW w:type="dxa" w:w="1318"/>
          </w:tcPr>
          <w:p>
            <w:pPr>
              <w:pStyle w:val="Compact"/>
              <w:spacing w:before="20" w:after="20" w:line="240" w:lineRule="auto"/>
              <w:jc w:val="center"/>
              <w:keepNext/>
            </w:pPr>
            <w:r>
              <w:rPr>
                <w:sz w:val="13"/>
                <w:szCs w:val="13"/>
              </w:rPr>
              <w:t xml:space="preserve">1.021 (0.076)</w:t>
            </w:r>
          </w:p>
        </w:tc>
      </w:tr>
      <w:tr>
        <w:trPr>
          <w:cantSplit/>
        </w:trPr>
        <w:tc>
          <w:tcPr>
            <w:tcW w:type="dxa" w:w="1160"/>
          </w:tcPr>
          <w:p>
            <w:pPr>
              <w:pStyle w:val="Compact"/>
              <w:spacing w:before="20" w:after="20" w:line="240" w:lineRule="auto"/>
              <w:keepNext/>
            </w:pPr>
            <w:r>
              <w:rPr>
                <w:sz w:val="13"/>
                <w:szCs w:val="13"/>
              </w:rPr>
              <w:t xml:space="preserve">일본(JP)</w:t>
            </w:r>
          </w:p>
        </w:tc>
        <w:tc>
          <w:tcPr>
            <w:tcW w:type="dxa" w:w="1318"/>
          </w:tcPr>
          <w:p>
            <w:pPr>
              <w:pStyle w:val="Compact"/>
              <w:spacing w:before="20" w:after="20" w:line="240" w:lineRule="auto"/>
              <w:jc w:val="center"/>
              <w:keepNext/>
            </w:pPr>
            <w:r>
              <w:rPr>
                <w:sz w:val="13"/>
                <w:szCs w:val="13"/>
              </w:rPr>
              <w:t xml:space="preserve">1.270* (0.133)</w:t>
            </w:r>
          </w:p>
        </w:tc>
        <w:tc>
          <w:tcPr>
            <w:tcW w:type="dxa" w:w="1318"/>
          </w:tcPr>
          <w:p>
            <w:pPr>
              <w:pStyle w:val="Compact"/>
              <w:spacing w:before="20" w:after="20" w:line="240" w:lineRule="auto"/>
              <w:jc w:val="center"/>
              <w:keepNext/>
            </w:pPr>
            <w:r>
              <w:rPr>
                <w:sz w:val="13"/>
                <w:szCs w:val="13"/>
              </w:rPr>
              <w:t xml:space="preserve">1.302 (0.183)</w:t>
            </w:r>
          </w:p>
        </w:tc>
        <w:tc>
          <w:tcPr>
            <w:tcW w:type="dxa" w:w="1318"/>
          </w:tcPr>
          <w:p>
            <w:pPr>
              <w:pStyle w:val="Compact"/>
              <w:spacing w:before="20" w:after="20" w:line="240" w:lineRule="auto"/>
              <w:jc w:val="center"/>
              <w:keepNext/>
            </w:pPr>
            <w:r>
              <w:rPr>
                <w:sz w:val="13"/>
                <w:szCs w:val="13"/>
              </w:rPr>
              <w:t xml:space="preserve">1.397** (0.145)</w:t>
            </w:r>
          </w:p>
        </w:tc>
        <w:tc>
          <w:tcPr>
            <w:tcW w:type="dxa" w:w="1318"/>
          </w:tcPr>
          <w:p>
            <w:pPr>
              <w:pStyle w:val="Compact"/>
              <w:spacing w:before="20" w:after="20" w:line="240" w:lineRule="auto"/>
              <w:jc w:val="center"/>
              <w:keepNext/>
            </w:pPr>
            <w:r>
              <w:rPr>
                <w:sz w:val="13"/>
                <w:szCs w:val="13"/>
              </w:rPr>
              <w:t xml:space="preserve">1.041 (0.287)</w:t>
            </w:r>
          </w:p>
        </w:tc>
        <w:tc>
          <w:tcPr>
            <w:tcW w:type="dxa" w:w="1318"/>
          </w:tcPr>
          <w:p>
            <w:pPr>
              <w:pStyle w:val="Compact"/>
              <w:spacing w:before="20" w:after="20" w:line="240" w:lineRule="auto"/>
              <w:jc w:val="center"/>
              <w:keepNext/>
            </w:pPr>
            <w:r>
              <w:rPr>
                <w:sz w:val="13"/>
                <w:szCs w:val="13"/>
              </w:rPr>
              <w:t xml:space="preserve">1.388** (0.153)</w:t>
            </w:r>
          </w:p>
        </w:tc>
        <w:tc>
          <w:tcPr>
            <w:tcW w:type="dxa" w:w="1318"/>
          </w:tcPr>
          <w:p>
            <w:pPr>
              <w:pStyle w:val="Compact"/>
              <w:spacing w:before="20" w:after="20" w:line="240" w:lineRule="auto"/>
              <w:jc w:val="center"/>
              <w:keepNext/>
            </w:pPr>
            <w:r>
              <w:rPr>
                <w:sz w:val="13"/>
                <w:szCs w:val="13"/>
              </w:rPr>
              <w:t xml:space="preserve">1.577*** (0.141)</w:t>
            </w:r>
          </w:p>
        </w:tc>
      </w:tr>
      <w:tr>
        <w:trPr>
          <w:cantSplit/>
        </w:trPr>
        <w:tc>
          <w:tcPr>
            <w:tcW w:type="dxa" w:w="1160"/>
          </w:tcPr>
          <w:p>
            <w:pPr>
              <w:pStyle w:val="Compact"/>
              <w:spacing w:before="20" w:after="20" w:line="240" w:lineRule="auto"/>
              <w:keepNext/>
            </w:pPr>
            <w:r>
              <w:rPr>
                <w:sz w:val="13"/>
                <w:szCs w:val="13"/>
              </w:rPr>
              <w:t xml:space="preserve">EPO(EP)</w:t>
            </w:r>
          </w:p>
        </w:tc>
        <w:tc>
          <w:tcPr>
            <w:tcW w:type="dxa" w:w="1318"/>
          </w:tcPr>
          <w:p>
            <w:pPr>
              <w:pStyle w:val="Compact"/>
              <w:spacing w:before="20" w:after="20" w:line="240" w:lineRule="auto"/>
              <w:jc w:val="center"/>
              <w:keepNext/>
            </w:pPr>
            <w:r>
              <w:rPr>
                <w:sz w:val="13"/>
                <w:szCs w:val="13"/>
              </w:rPr>
              <w:t xml:space="preserve">0.993 (0.080)</w:t>
            </w:r>
          </w:p>
        </w:tc>
        <w:tc>
          <w:tcPr>
            <w:tcW w:type="dxa" w:w="1318"/>
          </w:tcPr>
          <w:p>
            <w:pPr>
              <w:pStyle w:val="Compact"/>
              <w:spacing w:before="20" w:after="20" w:line="240" w:lineRule="auto"/>
              <w:jc w:val="center"/>
              <w:keepNext/>
            </w:pPr>
            <w:r>
              <w:rPr>
                <w:sz w:val="13"/>
                <w:szCs w:val="13"/>
              </w:rPr>
              <w:t xml:space="preserve">1.435*** (0.119)</w:t>
            </w:r>
          </w:p>
        </w:tc>
        <w:tc>
          <w:tcPr>
            <w:tcW w:type="dxa" w:w="1318"/>
          </w:tcPr>
          <w:p>
            <w:pPr>
              <w:pStyle w:val="Compact"/>
              <w:spacing w:before="20" w:after="20" w:line="240" w:lineRule="auto"/>
              <w:jc w:val="center"/>
              <w:keepNext/>
            </w:pPr>
            <w:r>
              <w:rPr>
                <w:sz w:val="13"/>
                <w:szCs w:val="13"/>
              </w:rPr>
              <w:t xml:space="preserve">0.989 (0.082)</w:t>
            </w:r>
          </w:p>
        </w:tc>
        <w:tc>
          <w:tcPr>
            <w:tcW w:type="dxa" w:w="1318"/>
          </w:tcPr>
          <w:p>
            <w:pPr>
              <w:pStyle w:val="Compact"/>
              <w:spacing w:before="20" w:after="20" w:line="240" w:lineRule="auto"/>
              <w:jc w:val="center"/>
              <w:keepNext/>
            </w:pPr>
            <w:r>
              <w:rPr>
                <w:sz w:val="13"/>
                <w:szCs w:val="13"/>
              </w:rPr>
              <w:t xml:space="preserve">1.084 (0.121)</w:t>
            </w:r>
          </w:p>
        </w:tc>
        <w:tc>
          <w:tcPr>
            <w:tcW w:type="dxa" w:w="1318"/>
          </w:tcPr>
          <w:p>
            <w:pPr>
              <w:pStyle w:val="Compact"/>
              <w:spacing w:before="20" w:after="20" w:line="240" w:lineRule="auto"/>
              <w:jc w:val="center"/>
              <w:keepNext/>
            </w:pPr>
            <w:r>
              <w:rPr>
                <w:sz w:val="13"/>
                <w:szCs w:val="13"/>
              </w:rPr>
              <w:t xml:space="preserve">0.988 (0.087)</w:t>
            </w:r>
          </w:p>
        </w:tc>
        <w:tc>
          <w:tcPr>
            <w:tcW w:type="dxa" w:w="1318"/>
          </w:tcPr>
          <w:p>
            <w:pPr>
              <w:pStyle w:val="Compact"/>
              <w:spacing w:before="20" w:after="20" w:line="240" w:lineRule="auto"/>
              <w:jc w:val="center"/>
              <w:keepNext/>
            </w:pPr>
            <w:r>
              <w:rPr>
                <w:sz w:val="13"/>
                <w:szCs w:val="13"/>
              </w:rPr>
              <w:t xml:space="preserve">1.014 (0.076)</w:t>
            </w:r>
          </w:p>
        </w:tc>
      </w:tr>
      <w:tr>
        <w:trPr>
          <w:cantSplit/>
        </w:trPr>
        <w:tc>
          <w:tcPr>
            <w:tcW w:type="dxa" w:w="1160"/>
          </w:tcPr>
          <w:p>
            <w:pPr>
              <w:pStyle w:val="Compact"/>
              <w:spacing w:before="20" w:after="20" w:line="240" w:lineRule="auto"/>
              <w:keepNext/>
            </w:pPr>
            <w:r>
              <w:rPr>
                <w:sz w:val="13"/>
                <w:szCs w:val="13"/>
              </w:rPr>
              <w:t xml:space="preserve">PCT(WO)</w:t>
            </w:r>
          </w:p>
        </w:tc>
        <w:tc>
          <w:tcPr>
            <w:tcW w:type="dxa" w:w="1318"/>
          </w:tcPr>
          <w:p>
            <w:pPr>
              <w:pStyle w:val="Compact"/>
              <w:spacing w:before="20" w:after="20" w:line="240" w:lineRule="auto"/>
              <w:jc w:val="center"/>
              <w:keepNext/>
            </w:pPr>
            <w:r>
              <w:rPr>
                <w:sz w:val="13"/>
                <w:szCs w:val="13"/>
              </w:rPr>
              <w:t xml:space="preserve">0.826*** (0.073)</w:t>
            </w:r>
          </w:p>
        </w:tc>
        <w:tc>
          <w:tcPr>
            <w:tcW w:type="dxa" w:w="1318"/>
          </w:tcPr>
          <w:p>
            <w:pPr>
              <w:pStyle w:val="Compact"/>
              <w:spacing w:before="20" w:after="20" w:line="240" w:lineRule="auto"/>
              <w:jc w:val="center"/>
              <w:keepNext/>
            </w:pPr>
            <w:r>
              <w:rPr>
                <w:sz w:val="13"/>
                <w:szCs w:val="13"/>
              </w:rPr>
              <w:t xml:space="preserve">0.751** (0.131)</w:t>
            </w:r>
          </w:p>
        </w:tc>
        <w:tc>
          <w:tcPr>
            <w:tcW w:type="dxa" w:w="1318"/>
          </w:tcPr>
          <w:p>
            <w:pPr>
              <w:pStyle w:val="Compact"/>
              <w:spacing w:before="20" w:after="20" w:line="240" w:lineRule="auto"/>
              <w:jc w:val="center"/>
              <w:keepNext/>
            </w:pPr>
            <w:r>
              <w:rPr>
                <w:sz w:val="13"/>
                <w:szCs w:val="13"/>
              </w:rPr>
              <w:t xml:space="preserve">0.820*** (0.073)</w:t>
            </w:r>
          </w:p>
        </w:tc>
        <w:tc>
          <w:tcPr>
            <w:tcW w:type="dxa" w:w="1318"/>
          </w:tcPr>
          <w:p>
            <w:pPr>
              <w:pStyle w:val="Compact"/>
              <w:spacing w:before="20" w:after="20" w:line="240" w:lineRule="auto"/>
              <w:jc w:val="center"/>
              <w:keepNext/>
            </w:pPr>
            <w:r>
              <w:rPr>
                <w:sz w:val="13"/>
                <w:szCs w:val="13"/>
              </w:rPr>
              <w:t xml:space="preserve">0.868 (0.090)</w:t>
            </w:r>
          </w:p>
        </w:tc>
        <w:tc>
          <w:tcPr>
            <w:tcW w:type="dxa" w:w="1318"/>
          </w:tcPr>
          <w:p>
            <w:pPr>
              <w:pStyle w:val="Compact"/>
              <w:spacing w:before="20" w:after="20" w:line="240" w:lineRule="auto"/>
              <w:jc w:val="center"/>
              <w:keepNext/>
            </w:pPr>
            <w:r>
              <w:rPr>
                <w:sz w:val="13"/>
                <w:szCs w:val="13"/>
              </w:rPr>
              <w:t xml:space="preserve">0.912 (0.087)</w:t>
            </w:r>
          </w:p>
        </w:tc>
        <w:tc>
          <w:tcPr>
            <w:tcW w:type="dxa" w:w="1318"/>
          </w:tcPr>
          <w:p>
            <w:pPr>
              <w:pStyle w:val="Compact"/>
              <w:spacing w:before="20" w:after="20" w:line="240" w:lineRule="auto"/>
              <w:jc w:val="center"/>
              <w:keepNext/>
            </w:pPr>
            <w:r>
              <w:rPr>
                <w:sz w:val="13"/>
                <w:szCs w:val="13"/>
              </w:rPr>
              <w:t xml:space="preserve">0.842** (0.068)</w:t>
            </w:r>
          </w:p>
        </w:tc>
      </w:tr>
      <w:tr>
        <w:trPr>
          <w:cantSplit/>
        </w:trPr>
        <w:tc>
          <w:tcPr>
            <w:tcW w:type="dxa" w:w="1160"/>
          </w:tcPr>
          <w:p>
            <w:pPr>
              <w:pStyle w:val="Compact"/>
              <w:spacing w:before="20" w:after="20" w:line="240" w:lineRule="auto"/>
              <w:keepNext/>
            </w:pPr>
            <w:r>
              <w:rPr>
                <w:sz w:val="13"/>
                <w:szCs w:val="13"/>
              </w:rPr>
              <w:t xml:space="preserve">기타</w:t>
            </w:r>
          </w:p>
        </w:tc>
        <w:tc>
          <w:tcPr>
            <w:tcW w:type="dxa" w:w="1318"/>
          </w:tcPr>
          <w:p>
            <w:pPr>
              <w:pStyle w:val="Compact"/>
              <w:spacing w:before="20" w:after="20" w:line="240" w:lineRule="auto"/>
              <w:jc w:val="center"/>
              <w:keepNext/>
            </w:pPr>
            <w:r>
              <w:rPr>
                <w:sz w:val="13"/>
                <w:szCs w:val="13"/>
              </w:rPr>
              <w:t xml:space="preserve">1.057 (0.171)</w:t>
            </w:r>
          </w:p>
        </w:tc>
        <w:tc>
          <w:tcPr>
            <w:tcW w:type="dxa" w:w="1318"/>
          </w:tcPr>
          <w:p>
            <w:pPr>
              <w:pStyle w:val="Compact"/>
              <w:spacing w:before="20" w:after="20" w:line="240" w:lineRule="auto"/>
              <w:jc w:val="center"/>
              <w:keepNext/>
            </w:pPr>
            <w:r>
              <w:rPr>
                <w:sz w:val="13"/>
                <w:szCs w:val="13"/>
              </w:rPr>
              <w:t xml:space="preserve">1.342 (0.272)</w:t>
            </w:r>
          </w:p>
        </w:tc>
        <w:tc>
          <w:tcPr>
            <w:tcW w:type="dxa" w:w="1318"/>
          </w:tcPr>
          <w:p>
            <w:pPr>
              <w:pStyle w:val="Compact"/>
              <w:spacing w:before="20" w:after="20" w:line="240" w:lineRule="auto"/>
              <w:jc w:val="center"/>
              <w:keepNext/>
            </w:pPr>
            <w:r>
              <w:rPr>
                <w:sz w:val="13"/>
                <w:szCs w:val="13"/>
              </w:rPr>
              <w:t xml:space="preserve">0.938 (0.169)</w:t>
            </w:r>
          </w:p>
        </w:tc>
        <w:tc>
          <w:tcPr>
            <w:tcW w:type="dxa" w:w="1318"/>
          </w:tcPr>
          <w:p>
            <w:pPr>
              <w:pStyle w:val="Compact"/>
              <w:spacing w:before="20" w:after="20" w:line="240" w:lineRule="auto"/>
              <w:jc w:val="center"/>
              <w:keepNext/>
            </w:pPr>
            <w:r>
              <w:rPr>
                <w:sz w:val="13"/>
                <w:szCs w:val="13"/>
              </w:rPr>
              <w:t xml:space="preserve">0.701 (0.652)</w:t>
            </w:r>
          </w:p>
        </w:tc>
        <w:tc>
          <w:tcPr>
            <w:tcW w:type="dxa" w:w="1318"/>
          </w:tcPr>
          <w:p>
            <w:pPr>
              <w:pStyle w:val="Compact"/>
              <w:spacing w:before="20" w:after="20" w:line="240" w:lineRule="auto"/>
              <w:jc w:val="center"/>
              <w:keepNext/>
            </w:pPr>
            <w:r>
              <w:rPr>
                <w:sz w:val="13"/>
                <w:szCs w:val="13"/>
              </w:rPr>
              <w:t xml:space="preserve">1.106 (0.181)</w:t>
            </w:r>
          </w:p>
        </w:tc>
        <w:tc>
          <w:tcPr>
            <w:tcW w:type="dxa" w:w="1318"/>
          </w:tcPr>
          <w:p>
            <w:pPr>
              <w:pStyle w:val="Compact"/>
              <w:spacing w:before="20" w:after="20" w:line="240" w:lineRule="auto"/>
              <w:jc w:val="center"/>
              <w:keepNext/>
            </w:pPr>
            <w:r>
              <w:rPr>
                <w:sz w:val="13"/>
                <w:szCs w:val="13"/>
              </w:rPr>
              <w:t xml:space="preserve">0.716 (0.204)</w:t>
            </w:r>
          </w:p>
        </w:tc>
      </w:tr>
      <w:tr>
        <w:trPr>
          <w:cantSplit/>
        </w:trPr>
        <w:tc>
          <w:tcPr>
            <w:tcW w:type="dxa" w:w="1160"/>
          </w:tcPr>
          <w:p>
            <w:pPr>
              <w:pStyle w:val="Compact"/>
              <w:spacing w:before="20" w:after="20" w:line="240" w:lineRule="auto"/>
              <w:keepNext/>
            </w:pPr>
            <w:r>
              <w:rPr>
                <w:sz w:val="13"/>
                <w:szCs w:val="13"/>
              </w:rPr>
              <w:t xml:space="preserve">N</w:t>
            </w:r>
          </w:p>
        </w:tc>
        <w:tc>
          <w:tcPr>
            <w:tcW w:type="dxa" w:w="1318"/>
          </w:tcPr>
          <w:p>
            <w:pPr>
              <w:pStyle w:val="Compact"/>
              <w:spacing w:before="20" w:after="20" w:line="240" w:lineRule="auto"/>
              <w:jc w:val="center"/>
              <w:keepNext/>
            </w:pPr>
            <w:r>
              <w:rPr>
                <w:sz w:val="13"/>
                <w:szCs w:val="13"/>
              </w:rPr>
              <w:t xml:space="preserve">928</w:t>
            </w:r>
          </w:p>
        </w:tc>
        <w:tc>
          <w:tcPr>
            <w:tcW w:type="dxa" w:w="1318"/>
          </w:tcPr>
          <w:p>
            <w:pPr>
              <w:pStyle w:val="Compact"/>
              <w:spacing w:before="20" w:after="20" w:line="240" w:lineRule="auto"/>
              <w:jc w:val="center"/>
              <w:keepNext/>
            </w:pPr>
            <w:r>
              <w:rPr>
                <w:sz w:val="13"/>
                <w:szCs w:val="13"/>
              </w:rPr>
              <w:t xml:space="preserve">473</w:t>
            </w:r>
          </w:p>
        </w:tc>
        <w:tc>
          <w:tcPr>
            <w:tcW w:type="dxa" w:w="1318"/>
          </w:tcPr>
          <w:p>
            <w:pPr>
              <w:pStyle w:val="Compact"/>
              <w:spacing w:before="20" w:after="20" w:line="240" w:lineRule="auto"/>
              <w:jc w:val="center"/>
              <w:keepNext/>
            </w:pPr>
            <w:r>
              <w:rPr>
                <w:sz w:val="13"/>
                <w:szCs w:val="13"/>
              </w:rPr>
              <w:t xml:space="preserve">860</w:t>
            </w:r>
          </w:p>
        </w:tc>
        <w:tc>
          <w:tcPr>
            <w:tcW w:type="dxa" w:w="1318"/>
          </w:tcPr>
          <w:p>
            <w:pPr>
              <w:pStyle w:val="Compact"/>
              <w:spacing w:before="20" w:after="20" w:line="240" w:lineRule="auto"/>
              <w:jc w:val="center"/>
              <w:keepNext/>
            </w:pPr>
            <w:r>
              <w:rPr>
                <w:sz w:val="13"/>
                <w:szCs w:val="13"/>
              </w:rPr>
              <w:t xml:space="preserve">467</w:t>
            </w:r>
          </w:p>
        </w:tc>
        <w:tc>
          <w:tcPr>
            <w:tcW w:type="dxa" w:w="1318"/>
          </w:tcPr>
          <w:p>
            <w:pPr>
              <w:pStyle w:val="Compact"/>
              <w:spacing w:before="20" w:after="20" w:line="240" w:lineRule="auto"/>
              <w:jc w:val="center"/>
              <w:keepNext/>
            </w:pPr>
            <w:r>
              <w:rPr>
                <w:sz w:val="13"/>
                <w:szCs w:val="13"/>
              </w:rPr>
              <w:t xml:space="preserve">753</w:t>
            </w:r>
          </w:p>
        </w:tc>
        <w:tc>
          <w:tcPr>
            <w:tcW w:type="dxa" w:w="1318"/>
          </w:tcPr>
          <w:p>
            <w:pPr>
              <w:pStyle w:val="Compact"/>
              <w:spacing w:before="20" w:after="20" w:line="240" w:lineRule="auto"/>
              <w:jc w:val="center"/>
              <w:keepNext/>
            </w:pPr>
            <w:r>
              <w:rPr>
                <w:sz w:val="13"/>
                <w:szCs w:val="13"/>
              </w:rPr>
              <w:t xml:space="preserve">830</w:t>
            </w:r>
          </w:p>
        </w:tc>
      </w:tr>
    </w:tbl>
    <w:p>
      <w:pPr>
        <w:pStyle w:val="BodyText"/>
      </w:pPr>
      <w:r>
        <w:rPr>
          <w:b/>
          <w:bCs/>
        </w:rPr>
        <w:t xml:space="preserve">무관 대안의 독립성(IIA).</w:t>
      </w:r>
      <w:r>
        <w:t xml:space="preserve"> </w:t>
      </w:r>
      <w:r>
        <w:t xml:space="preserve">다항 로짓의 IIA 가정을 간접 점검하기 위해 공정 단독형을 제외한 표본(N = 763)에서 통합형 대 조립 단독형을 이항 로짓으로 추정하면 기술범위 OR 1.463, 출원연도 0.987, 중국 출원청 1.177로, 다항 로짓 통합형 방정식의 값(1.403, 0.993, 1.205)과 거의 같다. 세 번째 대안의 존재가 통합형 방정식의 추정을 왜곡한다는 징후는 없다.</w:t>
      </w:r>
    </w:p>
    <w:p>
      <w:pPr>
        <w:pStyle w:val="BodyText"/>
      </w:pPr>
      <w:r>
        <w:t xml:space="preserve">2010년 이후 표본에서 출원연도의 IRR이 1보다 작아지는 것은 본문 제5.1절에서 언급한 대로다. 2010년 이후 표본의 일본 계수(IRR 1.577)는 기술범위가 21인 같은 제목의 출원 4건에 좌우되며, 이 4건을 빼면 1.057(p = 0.75)이 된다.</w:t>
      </w:r>
    </w:p>
    <w:bookmarkEnd w:id="54"/>
    <w:bookmarkStart w:id="55" w:name="부록-c.-검색어의-무관한-용법"/>
    <w:p>
      <w:pPr>
        <w:pStyle w:val="Heading3"/>
      </w:pPr>
      <w:r>
        <w:t xml:space="preserve">부록 C. 검색어의 무관한 용법</w:t>
      </w:r>
    </w:p>
    <w:p>
      <w:pPr>
        <w:pStyle w:val="FirstParagraph"/>
      </w:pPr>
      <w:r>
        <w:t xml:space="preserve">키워드 필터의</w:t>
      </w:r>
      <w:r>
        <w:t xml:space="preserve"> </w:t>
      </w:r>
      <w:r>
        <w:rPr>
          <w:i/>
          <w:iCs/>
        </w:rPr>
        <w:t xml:space="preserve">direct bonding</w:t>
      </w:r>
      <w:r>
        <w:t xml:space="preserve">은 하이브리드 본딩과 무관한 뜻으로도 쓰인다. 제목에 다음 용어가 들어 있는 출원을 무관한 용법으로 판정하였다: 세라믹·DBC(direct bonded copper)·알루미나·지르코니아·질화알루미늄 기판, 구리 합금, 다이아몬드–몰리브덴 접합, 레이저 전구체, 정전 척, 전력 모듈·전력소자 기판, 히트 스프레더, 직접 접합 금속 기판, 직접 접합 회로 조립체, sp3–sp2 하이브리드 결합(화학 결합의 뜻). 해당 출원은 68건이며 표 C1에 분포를 보인다. 2010년 이전 출원 가운데 무관 용법을 뺀 뒤 남는 출원의 상당수는 실리콘 웨이퍼 직접 접합(SOI 웨이퍼 제조 등) 출원으로, 하이브리드 본딩의 유전체 접합을 이루는 전구 기술이므로 표본에 남겼다. 68건의 제목 목록은 저자에게 요청하면 제공한다.</w:t>
      </w:r>
    </w:p>
    <w:p>
      <w:pPr>
        <w:pStyle w:val="BodyText"/>
      </w:pPr>
      <w:r>
        <w:rPr>
          <w:b/>
          <w:bCs/>
        </w:rPr>
        <w:t xml:space="preserve">표 C1.</w:t>
      </w:r>
      <w:r>
        <w:t xml:space="preserve"> </w:t>
      </w:r>
      <w:r>
        <w:t xml:space="preserve">무관 용법으로 판정한 출원 68건의 분포.</w:t>
      </w:r>
    </w:p>
    <w:tbl>
      <w:tblPr>
        <w:tblStyle w:val="Table"/>
        <w:tblW w:type="dxa" w:w="9069"/>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7342"/>
        <w:gridCol w:w="1727"/>
      </w:tblGrid>
      <w:tr>
        <w:trPr>
          <w:tblHeader w:val="on"/>
          <w:cantSplit/>
        </w:trPr>
        <w:tc>
          <w:tcPr>
            <w:tcW w:type="dxa" w:w="7342"/>
            <w:tcBorders>
              <w:bottom w:val="single" w:sz="4" w:space="0" w:color="000000"/>
            </w:tcBorders>
          </w:tcPr>
          <w:p>
            <w:pPr>
              <w:pStyle w:val="Compact"/>
              <w:spacing w:before="20" w:after="20" w:line="240" w:lineRule="auto"/>
              <w:keepNext/>
            </w:pPr>
            <w:r>
              <w:rPr>
                <w:sz w:val="18"/>
                <w:szCs w:val="18"/>
              </w:rPr>
              <w:t xml:space="preserve">구분</w:t>
            </w:r>
          </w:p>
        </w:tc>
        <w:tc>
          <w:tcPr>
            <w:tcW w:type="dxa" w:w="1727"/>
            <w:tcBorders>
              <w:bottom w:val="single" w:sz="4" w:space="0" w:color="000000"/>
            </w:tcBorders>
          </w:tcPr>
          <w:p>
            <w:pPr>
              <w:pStyle w:val="Compact"/>
              <w:spacing w:before="20" w:after="20" w:line="240" w:lineRule="auto"/>
              <w:jc w:val="right"/>
              <w:keepNext/>
            </w:pPr>
            <w:r>
              <w:rPr>
                <w:sz w:val="18"/>
                <w:szCs w:val="18"/>
              </w:rPr>
              <w:t xml:space="preserve">건수</w:t>
            </w:r>
          </w:p>
        </w:tc>
      </w:tr>
      <w:tr>
        <w:trPr>
          <w:cantSplit/>
        </w:trPr>
        <w:tc>
          <w:tcPr>
            <w:tcW w:type="dxa" w:w="7342"/>
          </w:tcPr>
          <w:p>
            <w:pPr>
              <w:pStyle w:val="Compact"/>
              <w:spacing w:before="20" w:after="20" w:line="240" w:lineRule="auto"/>
              <w:keepNext/>
            </w:pPr>
            <w:r>
              <w:rPr>
                <w:sz w:val="18"/>
                <w:szCs w:val="18"/>
              </w:rPr>
              <w:t xml:space="preserve">출원청: 미국</w:t>
            </w:r>
          </w:p>
        </w:tc>
        <w:tc>
          <w:tcPr>
            <w:tcW w:type="dxa" w:w="1727"/>
          </w:tcPr>
          <w:p>
            <w:pPr>
              <w:pStyle w:val="Compact"/>
              <w:spacing w:before="20" w:after="20" w:line="240" w:lineRule="auto"/>
              <w:jc w:val="right"/>
              <w:keepNext/>
            </w:pPr>
            <w:r>
              <w:rPr>
                <w:sz w:val="18"/>
                <w:szCs w:val="18"/>
              </w:rPr>
              <w:t xml:space="preserve">35</w:t>
            </w:r>
          </w:p>
        </w:tc>
      </w:tr>
      <w:tr>
        <w:trPr>
          <w:cantSplit/>
        </w:trPr>
        <w:tc>
          <w:tcPr>
            <w:tcW w:type="dxa" w:w="7342"/>
          </w:tcPr>
          <w:p>
            <w:pPr>
              <w:pStyle w:val="Compact"/>
              <w:spacing w:before="20" w:after="20" w:line="240" w:lineRule="auto"/>
              <w:keepNext/>
            </w:pPr>
            <w:r>
              <w:rPr>
                <w:sz w:val="18"/>
                <w:szCs w:val="18"/>
              </w:rPr>
              <w:t xml:space="preserve">출원청: 중국</w:t>
            </w:r>
          </w:p>
        </w:tc>
        <w:tc>
          <w:tcPr>
            <w:tcW w:type="dxa" w:w="1727"/>
          </w:tcPr>
          <w:p>
            <w:pPr>
              <w:pStyle w:val="Compact"/>
              <w:spacing w:before="20" w:after="20" w:line="240" w:lineRule="auto"/>
              <w:jc w:val="right"/>
              <w:keepNext/>
            </w:pPr>
            <w:r>
              <w:rPr>
                <w:sz w:val="18"/>
                <w:szCs w:val="18"/>
              </w:rPr>
              <w:t xml:space="preserve">11</w:t>
            </w:r>
          </w:p>
        </w:tc>
      </w:tr>
      <w:tr>
        <w:trPr>
          <w:cantSplit/>
        </w:trPr>
        <w:tc>
          <w:tcPr>
            <w:tcW w:type="dxa" w:w="7342"/>
          </w:tcPr>
          <w:p>
            <w:pPr>
              <w:pStyle w:val="Compact"/>
              <w:spacing w:before="20" w:after="20" w:line="240" w:lineRule="auto"/>
              <w:keepNext/>
            </w:pPr>
            <w:r>
              <w:rPr>
                <w:sz w:val="18"/>
                <w:szCs w:val="18"/>
              </w:rPr>
              <w:t xml:space="preserve">출원청: 일본</w:t>
            </w:r>
          </w:p>
        </w:tc>
        <w:tc>
          <w:tcPr>
            <w:tcW w:type="dxa" w:w="1727"/>
          </w:tcPr>
          <w:p>
            <w:pPr>
              <w:pStyle w:val="Compact"/>
              <w:spacing w:before="20" w:after="20" w:line="240" w:lineRule="auto"/>
              <w:jc w:val="right"/>
              <w:keepNext/>
            </w:pPr>
            <w:r>
              <w:rPr>
                <w:sz w:val="18"/>
                <w:szCs w:val="18"/>
              </w:rPr>
              <w:t xml:space="preserve">7</w:t>
            </w:r>
          </w:p>
        </w:tc>
      </w:tr>
      <w:tr>
        <w:trPr>
          <w:cantSplit/>
        </w:trPr>
        <w:tc>
          <w:tcPr>
            <w:tcW w:type="dxa" w:w="7342"/>
          </w:tcPr>
          <w:p>
            <w:pPr>
              <w:pStyle w:val="Compact"/>
              <w:spacing w:before="20" w:after="20" w:line="240" w:lineRule="auto"/>
              <w:keepNext/>
            </w:pPr>
            <w:r>
              <w:rPr>
                <w:sz w:val="18"/>
                <w:szCs w:val="18"/>
              </w:rPr>
              <w:t xml:space="preserve">출원청: EPO</w:t>
            </w:r>
          </w:p>
        </w:tc>
        <w:tc>
          <w:tcPr>
            <w:tcW w:type="dxa" w:w="1727"/>
          </w:tcPr>
          <w:p>
            <w:pPr>
              <w:pStyle w:val="Compact"/>
              <w:spacing w:before="20" w:after="20" w:line="240" w:lineRule="auto"/>
              <w:jc w:val="right"/>
              <w:keepNext/>
            </w:pPr>
            <w:r>
              <w:rPr>
                <w:sz w:val="18"/>
                <w:szCs w:val="18"/>
              </w:rPr>
              <w:t xml:space="preserve">7</w:t>
            </w:r>
          </w:p>
        </w:tc>
      </w:tr>
      <w:tr>
        <w:trPr>
          <w:cantSplit/>
        </w:trPr>
        <w:tc>
          <w:tcPr>
            <w:tcW w:type="dxa" w:w="7342"/>
          </w:tcPr>
          <w:p>
            <w:pPr>
              <w:pStyle w:val="Compact"/>
              <w:spacing w:before="20" w:after="20" w:line="240" w:lineRule="auto"/>
              <w:keepNext/>
            </w:pPr>
            <w:r>
              <w:rPr>
                <w:sz w:val="18"/>
                <w:szCs w:val="18"/>
              </w:rPr>
              <w:t xml:space="preserve">출원청: PCT</w:t>
            </w:r>
          </w:p>
        </w:tc>
        <w:tc>
          <w:tcPr>
            <w:tcW w:type="dxa" w:w="1727"/>
          </w:tcPr>
          <w:p>
            <w:pPr>
              <w:pStyle w:val="Compact"/>
              <w:spacing w:before="20" w:after="20" w:line="240" w:lineRule="auto"/>
              <w:jc w:val="right"/>
              <w:keepNext/>
            </w:pPr>
            <w:r>
              <w:rPr>
                <w:sz w:val="18"/>
                <w:szCs w:val="18"/>
              </w:rPr>
              <w:t xml:space="preserve">5</w:t>
            </w:r>
          </w:p>
        </w:tc>
      </w:tr>
      <w:tr>
        <w:trPr>
          <w:cantSplit/>
        </w:trPr>
        <w:tc>
          <w:tcPr>
            <w:tcW w:type="dxa" w:w="7342"/>
          </w:tcPr>
          <w:p>
            <w:pPr>
              <w:pStyle w:val="Compact"/>
              <w:spacing w:before="20" w:after="20" w:line="240" w:lineRule="auto"/>
              <w:keepNext/>
            </w:pPr>
            <w:r>
              <w:rPr>
                <w:sz w:val="18"/>
                <w:szCs w:val="18"/>
              </w:rPr>
              <w:t xml:space="preserve">출원청: 한국</w:t>
            </w:r>
          </w:p>
        </w:tc>
        <w:tc>
          <w:tcPr>
            <w:tcW w:type="dxa" w:w="1727"/>
          </w:tcPr>
          <w:p>
            <w:pPr>
              <w:pStyle w:val="Compact"/>
              <w:spacing w:before="20" w:after="20" w:line="240" w:lineRule="auto"/>
              <w:jc w:val="right"/>
              <w:keepNext/>
            </w:pPr>
            <w:r>
              <w:rPr>
                <w:sz w:val="18"/>
                <w:szCs w:val="18"/>
              </w:rPr>
              <w:t xml:space="preserve">2</w:t>
            </w:r>
          </w:p>
        </w:tc>
      </w:tr>
      <w:tr>
        <w:trPr>
          <w:cantSplit/>
        </w:trPr>
        <w:tc>
          <w:tcPr>
            <w:tcW w:type="dxa" w:w="7342"/>
          </w:tcPr>
          <w:p>
            <w:pPr>
              <w:pStyle w:val="Compact"/>
              <w:spacing w:before="20" w:after="20" w:line="240" w:lineRule="auto"/>
              <w:keepNext/>
            </w:pPr>
            <w:r>
              <w:rPr>
                <w:sz w:val="18"/>
                <w:szCs w:val="18"/>
              </w:rPr>
              <w:t xml:space="preserve">출원청: 대만</w:t>
            </w:r>
          </w:p>
        </w:tc>
        <w:tc>
          <w:tcPr>
            <w:tcW w:type="dxa" w:w="1727"/>
          </w:tcPr>
          <w:p>
            <w:pPr>
              <w:pStyle w:val="Compact"/>
              <w:spacing w:before="20" w:after="20" w:line="240" w:lineRule="auto"/>
              <w:jc w:val="right"/>
              <w:keepNext/>
            </w:pPr>
            <w:r>
              <w:rPr>
                <w:sz w:val="18"/>
                <w:szCs w:val="18"/>
              </w:rPr>
              <w:t xml:space="preserve">1</w:t>
            </w:r>
          </w:p>
        </w:tc>
      </w:tr>
      <w:tr>
        <w:trPr>
          <w:cantSplit/>
        </w:trPr>
        <w:tc>
          <w:tcPr>
            <w:tcW w:type="dxa" w:w="7342"/>
          </w:tcPr>
          <w:p>
            <w:pPr>
              <w:pStyle w:val="Compact"/>
              <w:spacing w:before="20" w:after="20" w:line="240" w:lineRule="auto"/>
              <w:keepNext/>
            </w:pPr>
            <w:r>
              <w:rPr>
                <w:sz w:val="18"/>
                <w:szCs w:val="18"/>
              </w:rPr>
              <w:t xml:space="preserve">출원청: 기타</w:t>
            </w:r>
          </w:p>
        </w:tc>
        <w:tc>
          <w:tcPr>
            <w:tcW w:type="dxa" w:w="1727"/>
          </w:tcPr>
          <w:p>
            <w:pPr>
              <w:pStyle w:val="Compact"/>
              <w:spacing w:before="20" w:after="20" w:line="240" w:lineRule="auto"/>
              <w:jc w:val="right"/>
              <w:keepNext/>
            </w:pPr>
            <w:r>
              <w:rPr>
                <w:sz w:val="18"/>
                <w:szCs w:val="18"/>
              </w:rPr>
              <w:t xml:space="preserve">0</w:t>
            </w:r>
          </w:p>
        </w:tc>
      </w:tr>
      <w:tr>
        <w:trPr>
          <w:cantSplit/>
        </w:trPr>
        <w:tc>
          <w:tcPr>
            <w:tcW w:type="dxa" w:w="7342"/>
          </w:tcPr>
          <w:p>
            <w:pPr>
              <w:pStyle w:val="Compact"/>
              <w:spacing w:before="20" w:after="20" w:line="240" w:lineRule="auto"/>
              <w:keepNext/>
            </w:pPr>
            <w:r>
              <w:rPr>
                <w:sz w:val="18"/>
                <w:szCs w:val="18"/>
              </w:rPr>
              <w:t xml:space="preserve">유형: 조립 단독형</w:t>
            </w:r>
          </w:p>
        </w:tc>
        <w:tc>
          <w:tcPr>
            <w:tcW w:type="dxa" w:w="1727"/>
          </w:tcPr>
          <w:p>
            <w:pPr>
              <w:pStyle w:val="Compact"/>
              <w:spacing w:before="20" w:after="20" w:line="240" w:lineRule="auto"/>
              <w:jc w:val="right"/>
              <w:keepNext/>
            </w:pPr>
            <w:r>
              <w:rPr>
                <w:sz w:val="18"/>
                <w:szCs w:val="18"/>
              </w:rPr>
              <w:t xml:space="preserve">34</w:t>
            </w:r>
          </w:p>
        </w:tc>
      </w:tr>
      <w:tr>
        <w:trPr>
          <w:cantSplit/>
        </w:trPr>
        <w:tc>
          <w:tcPr>
            <w:tcW w:type="dxa" w:w="7342"/>
          </w:tcPr>
          <w:p>
            <w:pPr>
              <w:pStyle w:val="Compact"/>
              <w:spacing w:before="20" w:after="20" w:line="240" w:lineRule="auto"/>
              <w:keepNext/>
            </w:pPr>
            <w:r>
              <w:rPr>
                <w:sz w:val="18"/>
                <w:szCs w:val="18"/>
              </w:rPr>
              <w:t xml:space="preserve">유형: 통합형</w:t>
            </w:r>
          </w:p>
        </w:tc>
        <w:tc>
          <w:tcPr>
            <w:tcW w:type="dxa" w:w="1727"/>
          </w:tcPr>
          <w:p>
            <w:pPr>
              <w:pStyle w:val="Compact"/>
              <w:spacing w:before="20" w:after="20" w:line="240" w:lineRule="auto"/>
              <w:jc w:val="right"/>
              <w:keepNext/>
            </w:pPr>
            <w:r>
              <w:rPr>
                <w:sz w:val="18"/>
                <w:szCs w:val="18"/>
              </w:rPr>
              <w:t xml:space="preserve">17</w:t>
            </w:r>
          </w:p>
        </w:tc>
      </w:tr>
      <w:tr>
        <w:trPr>
          <w:cantSplit/>
        </w:trPr>
        <w:tc>
          <w:tcPr>
            <w:tcW w:type="dxa" w:w="7342"/>
          </w:tcPr>
          <w:p>
            <w:pPr>
              <w:pStyle w:val="Compact"/>
              <w:spacing w:before="20" w:after="20" w:line="240" w:lineRule="auto"/>
              <w:keepNext/>
            </w:pPr>
            <w:r>
              <w:rPr>
                <w:sz w:val="18"/>
                <w:szCs w:val="18"/>
              </w:rPr>
              <w:t xml:space="preserve">유형: 공정 단독형</w:t>
            </w:r>
          </w:p>
        </w:tc>
        <w:tc>
          <w:tcPr>
            <w:tcW w:type="dxa" w:w="1727"/>
          </w:tcPr>
          <w:p>
            <w:pPr>
              <w:pStyle w:val="Compact"/>
              <w:spacing w:before="20" w:after="20" w:line="240" w:lineRule="auto"/>
              <w:jc w:val="right"/>
              <w:keepNext/>
            </w:pPr>
            <w:r>
              <w:rPr>
                <w:sz w:val="18"/>
                <w:szCs w:val="18"/>
              </w:rPr>
              <w:t xml:space="preserve">17</w:t>
            </w:r>
          </w:p>
        </w:tc>
      </w:tr>
      <w:tr>
        <w:trPr>
          <w:cantSplit/>
        </w:trPr>
        <w:tc>
          <w:tcPr>
            <w:tcW w:type="dxa" w:w="7342"/>
          </w:tcPr>
          <w:p>
            <w:pPr>
              <w:pStyle w:val="Compact"/>
              <w:spacing w:before="20" w:after="20" w:line="240" w:lineRule="auto"/>
              <w:keepNext/>
            </w:pPr>
            <w:r>
              <w:rPr>
                <w:sz w:val="18"/>
                <w:szCs w:val="18"/>
              </w:rPr>
              <w:t xml:space="preserve">출원 시기: 2014년 이전</w:t>
            </w:r>
          </w:p>
        </w:tc>
        <w:tc>
          <w:tcPr>
            <w:tcW w:type="dxa" w:w="1727"/>
          </w:tcPr>
          <w:p>
            <w:pPr>
              <w:pStyle w:val="Compact"/>
              <w:spacing w:before="20" w:after="20" w:line="240" w:lineRule="auto"/>
              <w:jc w:val="right"/>
              <w:keepNext/>
            </w:pPr>
            <w:r>
              <w:rPr>
                <w:sz w:val="18"/>
                <w:szCs w:val="18"/>
              </w:rPr>
              <w:t xml:space="preserve">36</w:t>
            </w:r>
          </w:p>
        </w:tc>
      </w:tr>
      <w:tr>
        <w:trPr>
          <w:cantSplit/>
        </w:trPr>
        <w:tc>
          <w:tcPr>
            <w:tcW w:type="dxa" w:w="7342"/>
          </w:tcPr>
          <w:p>
            <w:pPr>
              <w:pStyle w:val="Compact"/>
              <w:spacing w:before="20" w:after="20" w:line="240" w:lineRule="auto"/>
              <w:keepNext/>
            </w:pPr>
            <w:r>
              <w:rPr>
                <w:sz w:val="18"/>
                <w:szCs w:val="18"/>
              </w:rPr>
              <w:t xml:space="preserve">출원 시기: 2015년 이후</w:t>
            </w:r>
          </w:p>
        </w:tc>
        <w:tc>
          <w:tcPr>
            <w:tcW w:type="dxa" w:w="1727"/>
          </w:tcPr>
          <w:p>
            <w:pPr>
              <w:pStyle w:val="Compact"/>
              <w:spacing w:before="20" w:after="20" w:line="240" w:lineRule="auto"/>
              <w:jc w:val="right"/>
              <w:keepNext/>
            </w:pPr>
            <w:r>
              <w:rPr>
                <w:sz w:val="18"/>
                <w:szCs w:val="18"/>
              </w:rPr>
              <w:t xml:space="preserve">32</w:t>
            </w:r>
          </w:p>
        </w:tc>
      </w:tr>
    </w:tbl>
    <w:bookmarkEnd w:id="55"/>
    <w:bookmarkEnd w:id="56"/>
    <w:bookmarkEnd w:id="57"/>
    <w:sectPr>
      <w:footnotePr>
        <w:numRestart w:val="eachSect"/>
      </w:footnotePr>
      <w:pgSz w:w="11906" w:h="16838"/>
      <w:pgMar w:left="1417" w:right="1417" w:top="1417" w:bottom="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3" Type="http://schemas.openxmlformats.org/officeDocument/2006/relationships/image" Target="media/rId23.png"/><Relationship Id="rId29" Type="http://schemas.openxmlformats.org/officeDocument/2006/relationships/image" Target="media/rId29.png"/><Relationship Id="rId37" Type="http://schemas.openxmlformats.org/officeDocument/2006/relationships/image" Target="media/rId37.png"/><Relationship Id="rId40" Type="http://schemas.openxmlformats.org/officeDocument/2006/relationships/image" Target="media/rId40.png"/><Relationship Id="rId17" Type="http://schemas.openxmlformats.org/officeDocument/2006/relationships/image" Target="media/rId17.png"/><Relationship Id="rId34" Type="http://schemas.openxmlformats.org/officeDocument/2006/relationships/image" Target="media/rId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2026-09-25T08:27:54Z</dcterms:created>
  <dcterms:modified xsi:type="dcterms:W3CDTF">2026-09-25T08:27:54Z</dcterms:modified>
</cp:coreProperties>
</file>

<file path=docProps/custom.xml><?xml version="1.0" encoding="utf-8"?>
<Properties xmlns="http://schemas.openxmlformats.org/officeDocument/2006/custom-properties" xmlns:vt="http://schemas.openxmlformats.org/officeDocument/2006/docPropsVTypes"/>
</file>