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특허-데이터를-활용한-차세대-반도체-패키징-기술-생태계의-진화"/>
    <w:p>
      <w:pPr>
        <w:pStyle w:val="Heading1"/>
      </w:pPr>
      <w:r>
        <w:t xml:space="preserve">특허 데이터를 활용한 차세대 반도체 패키징 기술 생태계의 진화</w:t>
      </w:r>
    </w:p>
    <w:bookmarkStart w:id="9" w:name="X2364fb3b382049c5eb9761acc4225d98782682f"/>
    <w:p>
      <w:pPr>
        <w:pStyle w:val="Heading2"/>
      </w:pPr>
      <w:r>
        <w:t xml:space="preserve">— 하이브리드 본딩(Hybrid Bonding)을 중심으로 한 거시–미시 다층 분석 〔확장 심화판 rev4〕</w:t>
      </w:r>
    </w:p>
    <w:p>
      <w:pPr>
        <w:pStyle w:val="FirstParagraph"/>
      </w:pPr>
      <w:r>
        <w:rPr>
          <w:i/>
          <w:iCs/>
        </w:rPr>
        <w:t xml:space="preserve">기술경영학과 석사학위논문 (확장 심화 초안 rev3)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심화판(rev4).</w:t>
      </w:r>
      <w:r>
        <w:t xml:space="preserve"> </w:t>
      </w:r>
      <w:r>
        <w:t xml:space="preserve">본 파일은 이전 버전들(</w:t>
      </w:r>
      <w:r>
        <w:rPr>
          <w:rStyle w:val="VerbatimChar"/>
        </w:rPr>
        <w:t xml:space="preserve">draft.md</w:t>
      </w:r>
      <w:r>
        <w:t xml:space="preserve">·</w:t>
      </w:r>
      <w:r>
        <w:rPr>
          <w:rStyle w:val="VerbatimChar"/>
        </w:rPr>
        <w:t xml:space="preserve">draft_expanded.md</w:t>
      </w:r>
      <w:r>
        <w:t xml:space="preserve">·</w:t>
      </w:r>
      <w:r>
        <w:rPr>
          <w:rStyle w:val="VerbatimChar"/>
        </w:rPr>
        <w:t xml:space="preserve">rev1</w:t>
      </w:r>
      <w:r>
        <w:t xml:space="preserve">·</w:t>
      </w:r>
      <w:r>
        <w:rPr>
          <w:rStyle w:val="VerbatimChar"/>
        </w:rPr>
        <w:t xml:space="preserve">rev2</w:t>
      </w:r>
      <w:r>
        <w:t xml:space="preserve">·</w:t>
      </w:r>
      <w:r>
        <w:rPr>
          <w:rStyle w:val="VerbatimChar"/>
        </w:rPr>
        <w:t xml:space="preserve">rev3</w:t>
      </w:r>
      <w:r>
        <w:t xml:space="preserve">)을</w:t>
      </w:r>
      <w:r>
        <w:t xml:space="preserve"> </w:t>
      </w:r>
      <w:r>
        <w:rPr>
          <w:b/>
          <w:bCs/>
        </w:rPr>
        <w:t xml:space="preserve">그대로 보존</w:t>
      </w:r>
      <w:r>
        <w:t xml:space="preserve">한 채 만든 별도본으로, rev3를 베이스로</w:t>
      </w:r>
      <w:r>
        <w:t xml:space="preserve"> </w:t>
      </w:r>
      <w:r>
        <w:rPr>
          <w:b/>
          <w:bCs/>
        </w:rPr>
        <w:t xml:space="preserve">§4.5에 기술 네트워크 그림([그림 4-1],</w:t>
      </w:r>
      <w:r>
        <w:rPr>
          <w:b/>
          <w:bCs/>
        </w:rPr>
        <w:t xml:space="preserve"> </w:t>
      </w:r>
      <w:r>
        <w:rPr>
          <w:rStyle w:val="VerbatimChar"/>
          <w:b/>
          <w:bCs/>
        </w:rPr>
        <w:t xml:space="preserve">figures/tech_network_rich.png</w:t>
      </w:r>
      <w:r>
        <w:rPr>
          <w:b/>
          <w:bCs/>
        </w:rPr>
        <w:t xml:space="preserve">)을 삽입</w:t>
      </w:r>
      <w:r>
        <w:t xml:space="preserve">한 판이다. 그림은 자료①②의 검증된 사실로 결정론적으로 구성(LLM 추출 아님)되었고 기업 노드에 CII·SLI·PFS 지표를 병기한다. 동일한 논지·수치·구조를 유지하며, 모든 실증 수치는 저자의 선행 분석(①②)에서 인용한 것이다(재계산 아님).</w:t>
      </w:r>
    </w:p>
    <w:p>
      <w:r>
        <w:pict>
          <v:rect style="width:0;height:1.5pt" o:hralign="center" o:hrstd="t" o:hr="t"/>
        </w:pict>
      </w:r>
    </w:p>
    <w:bookmarkEnd w:id="9"/>
    <w:bookmarkStart w:id="10" w:name="학위논문-전면부-작성-예정"/>
    <w:p>
      <w:pPr>
        <w:pStyle w:val="Heading2"/>
      </w:pPr>
      <w:r>
        <w:t xml:space="preserve">〔학위논문 전면부 — 작성 예정〕</w:t>
      </w:r>
    </w:p>
    <w:p>
      <w:pPr>
        <w:pStyle w:val="BlockText"/>
      </w:pPr>
      <w:r>
        <w:t xml:space="preserve">아래는 학과 양식 확정 후 채울 전면부 골격이다(분량 산정에는 미포함).</w:t>
      </w:r>
    </w:p>
    <w:p>
      <w:pPr>
        <w:pStyle w:val="Compact"/>
        <w:numPr>
          <w:ilvl w:val="0"/>
          <w:numId w:val="1001"/>
        </w:numPr>
      </w:pPr>
      <w:r>
        <w:t xml:space="preserve">표지 / 제출지 / 인준지(심사위원 서명)</w:t>
      </w:r>
    </w:p>
    <w:p>
      <w:pPr>
        <w:pStyle w:val="Compact"/>
        <w:numPr>
          <w:ilvl w:val="0"/>
          <w:numId w:val="1001"/>
        </w:numPr>
      </w:pPr>
      <w:r>
        <w:t xml:space="preserve">감사의 글</w:t>
      </w:r>
    </w:p>
    <w:p>
      <w:pPr>
        <w:pStyle w:val="Compact"/>
        <w:numPr>
          <w:ilvl w:val="0"/>
          <w:numId w:val="1001"/>
        </w:numPr>
      </w:pPr>
      <w:r>
        <w:t xml:space="preserve">목차 / 표 목차 / 그림 목차</w:t>
      </w:r>
    </w:p>
    <w:p>
      <w:pPr>
        <w:pStyle w:val="Compact"/>
        <w:numPr>
          <w:ilvl w:val="0"/>
          <w:numId w:val="1001"/>
        </w:numPr>
      </w:pPr>
      <w:r>
        <w:rPr>
          <w:b/>
          <w:bCs/>
        </w:rPr>
        <w:t xml:space="preserve">연구윤리 준수 서약</w:t>
      </w:r>
      <w:r>
        <w:t xml:space="preserve"> </w:t>
      </w:r>
      <w:r>
        <w:t xml:space="preserve">— 본 논문이 연구윤리를 준수하여 작성되었음을 서약함.</w:t>
      </w:r>
    </w:p>
    <w:p>
      <w:pPr>
        <w:pStyle w:val="Compact"/>
        <w:numPr>
          <w:ilvl w:val="0"/>
          <w:numId w:val="1001"/>
        </w:numPr>
      </w:pPr>
      <w:r>
        <w:rPr>
          <w:b/>
          <w:bCs/>
        </w:rPr>
        <w:t xml:space="preserve">AI 사용 고지(Disclosure)</w:t>
      </w:r>
      <w:r>
        <w:t xml:space="preserve"> </w:t>
      </w:r>
      <w:r>
        <w:t xml:space="preserve">— 본 논문의 초안 작성·문헌 검색·편집에 AI 보조 도구를 활용하였으며, 모든 핵심 결정과 자료는 저자가 제공·검증하였다(상세는 §저자 고지).</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10"/>
    <w:bookmarkStart w:id="11"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1"/>
    <w:bookmarkStart w:id="12"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2"/>
    <w:bookmarkEnd w:id="13"/>
    <w:bookmarkStart w:id="19" w:name="제1장-서론"/>
    <w:p>
      <w:pPr>
        <w:pStyle w:val="Heading1"/>
      </w:pPr>
      <w:r>
        <w:t xml:space="preserve">제1장 서론</w:t>
      </w:r>
    </w:p>
    <w:bookmarkStart w:id="14"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4"/>
    <w:bookmarkStart w:id="15"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5"/>
    <w:bookmarkStart w:id="16"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2"/>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2"/>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2"/>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2"/>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2"/>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6"/>
    <w:bookmarkStart w:id="17"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bookmarkEnd w:id="17"/>
    <w:bookmarkStart w:id="18" w:name="연구의-의의와-주요-용어"/>
    <w:p>
      <w:pPr>
        <w:pStyle w:val="Heading2"/>
      </w:pPr>
      <w:r>
        <w:t xml:space="preserve">1.5 연구의 의의와 주요 용어</w:t>
      </w:r>
    </w:p>
    <w:p>
      <w:pPr>
        <w:pStyle w:val="FirstParagraph"/>
      </w:pPr>
      <w:r>
        <w:t xml:space="preserve">본 연구의 의의는 세 가지다.</w:t>
      </w:r>
      <w:r>
        <w:t xml:space="preserve"> </w:t>
      </w:r>
      <w:r>
        <w:rPr>
          <w:b/>
          <w:bCs/>
        </w:rPr>
        <w:t xml:space="preserve">학술적으로</w:t>
      </w:r>
      <w:r>
        <w:t xml:space="preserve">, 신흥 핵심 공정인 하이브리드 본딩을 특허 계량의 대상으로 삼아 거시·미시를 결합한 다층 분석을 시도함으로써, 단편적 동향 분석에 머물던 기존 연구의 공백을 메운다.</w:t>
      </w:r>
      <w:r>
        <w:t xml:space="preserve"> </w:t>
      </w:r>
      <w:r>
        <w:rPr>
          <w:b/>
          <w:bCs/>
        </w:rPr>
        <w:t xml:space="preserve">방법론적으로</w:t>
      </w:r>
      <w:r>
        <w:t xml:space="preserve">, 결과변수의 통계적 성격에 모형을 맞추는 원칙(카운트→음이항, 범주→다항 로짓)과 서술적 기술 스캐닝을 한 데이터에서 결합하는 혼합방법을 제시한다.</w:t>
      </w:r>
      <w:r>
        <w:t xml:space="preserve"> </w:t>
      </w:r>
      <w:r>
        <w:rPr>
          <w:b/>
          <w:bCs/>
        </w:rPr>
        <w:t xml:space="preserve">실무·정책적으로</w:t>
      </w:r>
      <w:r>
        <w:t xml:space="preserve">, 관할권·기업 전략의 유형화와 한국 산업에의 시사점을 도출하여 의사결정의 근거를 제공한다.</w:t>
      </w:r>
    </w:p>
    <w:p>
      <w:pPr>
        <w:pStyle w:val="BodyText"/>
      </w:pPr>
      <w:r>
        <w:t xml:space="preserve">논의의 명료성을 위해 주요 용어를 정리한다.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용어</w:t>
            </w:r>
          </w:p>
        </w:tc>
        <w:tc>
          <w:tcPr/>
          <w:p>
            <w:pPr>
              <w:pStyle w:val="Compact"/>
            </w:pPr>
            <w:r>
              <w:t xml:space="preserve">정의</w:t>
            </w:r>
          </w:p>
        </w:tc>
      </w:tr>
      <w:tr>
        <w:tc>
          <w:tcPr/>
          <w:p>
            <w:pPr>
              <w:pStyle w:val="Compact"/>
            </w:pPr>
            <w:r>
              <w:t xml:space="preserve">하이브리드 본딩(Hybrid Bonding)</w:t>
            </w:r>
          </w:p>
        </w:tc>
        <w:tc>
          <w:tcPr/>
          <w:p>
            <w:pPr>
              <w:pStyle w:val="Compact"/>
            </w:pPr>
            <w:r>
              <w:t xml:space="preserve">솔더 범프 없이 구리(Cu) 전극과 절연막(oxide)을 상온에서 동시에 직접 접합하는 기술</w:t>
            </w:r>
          </w:p>
        </w:tc>
      </w:tr>
      <w:tr>
        <w:tc>
          <w:tcPr/>
          <w:p>
            <w:pPr>
              <w:pStyle w:val="Compact"/>
            </w:pPr>
            <w:r>
              <w:t xml:space="preserve">이종 집적(Heterogeneous Integration)</w:t>
            </w:r>
          </w:p>
        </w:tc>
        <w:tc>
          <w:tcPr/>
          <w:p>
            <w:pPr>
              <w:pStyle w:val="Compact"/>
            </w:pPr>
            <w:r>
              <w:t xml:space="preserve">서로 다른 공정·기능의 칩을 한 패키지에 통합해 단일 제품처럼 동작시키는 방식</w:t>
            </w:r>
          </w:p>
        </w:tc>
      </w:tr>
      <w:tr>
        <w:tc>
          <w:tcPr/>
          <w:p>
            <w:pPr>
              <w:pStyle w:val="Compact"/>
            </w:pPr>
            <w:r>
              <w:t xml:space="preserve">칩렛(Chiplet)</w:t>
            </w:r>
          </w:p>
        </w:tc>
        <w:tc>
          <w:tcPr/>
          <w:p>
            <w:pPr>
              <w:pStyle w:val="Compact"/>
            </w:pPr>
            <w:r>
              <w:t xml:space="preserve">큰 칩을 기능 단위로 분할한 소형 칩. 이종 집적의 핵심 아키텍처</w:t>
            </w:r>
          </w:p>
        </w:tc>
      </w:tr>
      <w:tr>
        <w:tc>
          <w:tcPr/>
          <w:p>
            <w:pPr>
              <w:pStyle w:val="Compact"/>
            </w:pPr>
            <w:r>
              <w:t xml:space="preserve">W2W / D2W</w:t>
            </w:r>
          </w:p>
        </w:tc>
        <w:tc>
          <w:tcPr/>
          <w:p>
            <w:pPr>
              <w:pStyle w:val="Compact"/>
            </w:pPr>
            <w:r>
              <w:t xml:space="preserve">웨이퍼-투-웨이퍼 / 다이-투-웨이퍼 접합 방식</w:t>
            </w:r>
          </w:p>
        </w:tc>
      </w:tr>
      <w:tr>
        <w:tc>
          <w:tcPr/>
          <w:p>
            <w:pPr>
              <w:pStyle w:val="Compact"/>
            </w:pPr>
            <w:r>
              <w:t xml:space="preserve">TSV(Through-Silicon Via)</w:t>
            </w:r>
          </w:p>
        </w:tc>
        <w:tc>
          <w:tcPr/>
          <w:p>
            <w:pPr>
              <w:pStyle w:val="Compact"/>
            </w:pPr>
            <w:r>
              <w:t xml:space="preserve">칩을 수직 관통해 전기적으로 직결하는 전극</w:t>
            </w:r>
          </w:p>
        </w:tc>
      </w:tr>
      <w:tr>
        <w:tc>
          <w:tcPr/>
          <w:p>
            <w:pPr>
              <w:pStyle w:val="Compact"/>
            </w:pPr>
            <w:r>
              <w:t xml:space="preserve">CPC</w:t>
            </w:r>
          </w:p>
        </w:tc>
        <w:tc>
          <w:tcPr/>
          <w:p>
            <w:pPr>
              <w:pStyle w:val="Compact"/>
            </w:pPr>
            <w:r>
              <w:t xml:space="preserve">협력적 특허분류 체계. 본 연구는 H01L(반도체 소자) 하위 코드를 분석</w:t>
            </w:r>
          </w:p>
        </w:tc>
      </w:tr>
      <w:tr>
        <w:tc>
          <w:tcPr/>
          <w:p>
            <w:pPr>
              <w:pStyle w:val="Compact"/>
            </w:pPr>
            <w:r>
              <w:t xml:space="preserve">전공정(H01L21) / 후공정·접합(H01L24)</w:t>
            </w:r>
          </w:p>
        </w:tc>
        <w:tc>
          <w:tcPr/>
          <w:p>
            <w:pPr>
              <w:pStyle w:val="Compact"/>
            </w:pPr>
            <w:r>
              <w:t xml:space="preserve">제조·처리 / 접합·인터커넥트 영역</w:t>
            </w:r>
          </w:p>
        </w:tc>
      </w:tr>
      <w:tr>
        <w:tc>
          <w:tcPr/>
          <w:p>
            <w:pPr>
              <w:pStyle w:val="Compact"/>
            </w:pPr>
            <w:r>
              <w:t xml:space="preserve">기술범위(breadth)</w:t>
            </w:r>
          </w:p>
        </w:tc>
        <w:tc>
          <w:tcPr/>
          <w:p>
            <w:pPr>
              <w:pStyle w:val="Compact"/>
            </w:pPr>
            <w:r>
              <w:t xml:space="preserve">한 출원이 포함하는 서로 다른 CPC 서브클래스의 수(기술 영역의 폭)</w:t>
            </w:r>
          </w:p>
        </w:tc>
      </w:tr>
      <w:tr>
        <w:tc>
          <w:tcPr/>
          <w:p>
            <w:pPr>
              <w:pStyle w:val="Compact"/>
            </w:pPr>
            <w:r>
              <w:t xml:space="preserve">전략지향(has_process / tech_cat)</w:t>
            </w:r>
          </w:p>
        </w:tc>
        <w:tc>
          <w:tcPr/>
          <w:p>
            <w:pPr>
              <w:pStyle w:val="Compact"/>
            </w:pPr>
            <w:r>
              <w:t xml:space="preserve">전공정 청구 여부 / 전략유형(assembly-only·integrated·process-only)</w:t>
            </w:r>
          </w:p>
        </w:tc>
      </w:tr>
      <w:tr>
        <w:tc>
          <w:tcPr/>
          <w:p>
            <w:pPr>
              <w:pStyle w:val="Compact"/>
            </w:pPr>
            <w:r>
              <w:t xml:space="preserve">CII·PFS·SLI·RTA</w:t>
            </w:r>
          </w:p>
        </w:tc>
        <w:tc>
          <w:tcPr/>
          <w:p>
            <w:pPr>
              <w:pStyle w:val="Compact"/>
            </w:pPr>
            <w:r>
              <w:t xml:space="preserve">인용영향력·시장확보·과학연계성·기술집중도 지수</w:t>
            </w:r>
          </w:p>
        </w:tc>
      </w:tr>
    </w:tbl>
    <w:p>
      <w:r>
        <w:pict>
          <v:rect style="width:0;height:1.5pt" o:hralign="center" o:hrstd="t" o:hr="t"/>
        </w:pict>
      </w:r>
    </w:p>
    <w:bookmarkEnd w:id="18"/>
    <w:bookmarkEnd w:id="19"/>
    <w:bookmarkStart w:id="34" w:name="제2장-이론적-배경-및-선행연구"/>
    <w:p>
      <w:pPr>
        <w:pStyle w:val="Heading1"/>
      </w:pPr>
      <w:r>
        <w:t xml:space="preserve">제2장 이론적 배경 및 선행연구</w:t>
      </w:r>
    </w:p>
    <w:bookmarkStart w:id="24" w:name="차세대-반도체-패키징과-하이브리드-본딩"/>
    <w:p>
      <w:pPr>
        <w:pStyle w:val="Heading2"/>
      </w:pPr>
      <w:r>
        <w:t xml:space="preserve">2.1 차세대 반도체 패키징과 하이브리드 본딩</w:t>
      </w:r>
    </w:p>
    <w:bookmarkStart w:id="20"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20"/>
    <w:bookmarkStart w:id="21"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21"/>
    <w:bookmarkStart w:id="22"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2"/>
    <w:bookmarkStart w:id="23"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p>
      <w:pPr>
        <w:pStyle w:val="BodyText"/>
      </w:pPr>
      <w:r>
        <w:t xml:space="preserve">산업·학계의 기술 리뷰는 하이브리드 본딩의 메커니즘과 난제를 보다 구체적으로 정리한다. 본 기술은 다이 표면에서</w:t>
      </w:r>
      <w:r>
        <w:t xml:space="preserve"> </w:t>
      </w:r>
      <w:r>
        <w:rPr>
          <w:b/>
          <w:bCs/>
        </w:rPr>
        <w:t xml:space="preserve">유전체–유전체(dielectric-to-dielectric) 접합과 구리–구리(Cu-Cu) 접합을 동시에</w:t>
      </w:r>
      <w:r>
        <w:t xml:space="preserve"> </w:t>
      </w:r>
      <w:r>
        <w:t xml:space="preserve">형성하며, 마이크로범프를 대체함으로써 제곱밀리미터당 약 10만 개 이상의 다이 간 인터커넥트 밀도를 구현하고 인터커넥트 길이를 단축해 온칩 인터커넥트에 준하는 성능을 달성한다(</w:t>
      </w:r>
      <w:r>
        <w:rPr>
          <w:i/>
          <w:iCs/>
        </w:rPr>
        <w:t xml:space="preserve">Journal of Microelectronics and Electronic Packaging</w:t>
      </w:r>
      <w:r>
        <w:t xml:space="preserve">, 2021). 동시에 리뷰들은 수율 확보의 난제로 나노미터급 표면 평탄화(CMP), 파티클·보이드 제어, 정밀 정렬(alignment), 상온 접합 후 어닐링 조건 등을 지적하며, D2W 단계에서는 다이 절단·이송 과정의 손상 최소화가 관건임을 강조한다(</w:t>
      </w:r>
      <w:r>
        <w:rPr>
          <w:i/>
          <w:iCs/>
        </w:rPr>
        <w:t xml:space="preserve">ASME Journal of Electronic Packaging</w:t>
      </w:r>
      <w:r>
        <w:t xml:space="preserve">, 2026). 이러한 난제들은 모두 전공정(H01L21)의 정밀 제어 역량을 요구한다는 점에서, 후공정 본딩이 전공정 기술과 융합되는 본 연구의 핵심 주제를 기술적으로 뒷받침한다.</w:t>
      </w:r>
    </w:p>
    <w:p>
      <w:pPr>
        <w:pStyle w:val="BodyText"/>
      </w:pPr>
      <w:r>
        <w:t xml:space="preserve">이러한 특성은 혁신 이론의 관점에서</w:t>
      </w:r>
      <w:r>
        <w:t xml:space="preserve"> </w:t>
      </w:r>
      <w:r>
        <w:rPr>
          <w:b/>
          <w:bCs/>
        </w:rPr>
        <w:t xml:space="preserve">파괴적 혁신(disruptive innovation)</w:t>
      </w:r>
      <w:r>
        <w:t xml:space="preserve"> </w:t>
      </w:r>
      <w:r>
        <w:t xml:space="preserve">이자</w:t>
      </w:r>
      <w:r>
        <w:t xml:space="preserve"> </w:t>
      </w:r>
      <w:r>
        <w:rPr>
          <w:b/>
          <w:bCs/>
        </w:rPr>
        <w:t xml:space="preserve">아키텍처 혁신(architectural innovation)</w:t>
      </w:r>
      <w:r>
        <w:t xml:space="preserve"> </w:t>
      </w:r>
      <w:r>
        <w:t xml:space="preserve">으로 해석된다. 하이브리드 본딩은 개별 소자의 성능을 점진적으로 개선하는 존속적 혁신이 아니라, 칩을 ’어떻게 연결하고 쌓는가’라는 시스템 아키텍처 자체를 재편함으로써 기존 마이크로범프 기반 패키징의 가치사슬을 대체한다(Tidd &amp; Bessant, 2020). 선행 연구들이 본 기술을 파괴적 혁신으로 규정한 것(이승환, 2025; 김민규 외, 2025)도 이러한 맥락에서다. 본 연구는 이 혁신이 특허 데이터 상에서 기술범위 확대와 전·후공정 융합이라는 측정 가능한 패턴으로 발현됨을 제5·6장에서 실증한다.</w:t>
      </w:r>
    </w:p>
    <w:p>
      <w:pPr>
        <w:pStyle w:val="BodyText"/>
      </w:pPr>
      <w:r>
        <w:t xml:space="preserve">적용 제품군을 P–S–P 관점에서 정리하면 [표 2-1]과 같다.</w:t>
      </w:r>
    </w:p>
    <w:p>
      <w:pPr>
        <w:pStyle w:val="BodyText"/>
      </w:pPr>
      <w:r>
        <w:rPr>
          <w:b/>
          <w:bCs/>
        </w:rPr>
        <w:t xml:space="preserve">[표 2-1] 하이브리드 본딩의 적용 제품·산업 (P–S–P 관점)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적용 영역</w:t>
            </w:r>
          </w:p>
        </w:tc>
        <w:tc>
          <w:tcPr/>
          <w:p>
            <w:pPr>
              <w:pStyle w:val="Compact"/>
            </w:pPr>
            <w:r>
              <w:t xml:space="preserve">하이브리드 본딩의 역할</w:t>
            </w:r>
          </w:p>
        </w:tc>
        <w:tc>
          <w:tcPr/>
          <w:p>
            <w:pPr>
              <w:pStyle w:val="Compact"/>
            </w:pPr>
            <w:r>
              <w:t xml:space="preserve">대표 사례</w:t>
            </w:r>
          </w:p>
        </w:tc>
      </w:tr>
      <w:tr>
        <w:tc>
          <w:tcPr/>
          <w:p>
            <w:pPr>
              <w:pStyle w:val="Compact"/>
            </w:pPr>
            <w:r>
              <w:t xml:space="preserve">제품(로직)</w:t>
            </w:r>
          </w:p>
        </w:tc>
        <w:tc>
          <w:tcPr/>
          <w:p>
            <w:pPr>
              <w:pStyle w:val="Compact"/>
            </w:pPr>
            <w:r>
              <w:t xml:space="preserve">AI 가속기·CPU</w:t>
            </w:r>
          </w:p>
        </w:tc>
        <w:tc>
          <w:tcPr/>
          <w:p>
            <w:pPr>
              <w:pStyle w:val="Compact"/>
            </w:pPr>
            <w:r>
              <w:t xml:space="preserve">레티클 한계 극복(칩렛), 캐시 수직 적층</w:t>
            </w:r>
          </w:p>
        </w:tc>
        <w:tc>
          <w:tcPr/>
          <w:p>
            <w:pPr>
              <w:pStyle w:val="Compact"/>
            </w:pPr>
            <w:r>
              <w:t xml:space="preserve">AMD 3D V-Cache</w:t>
            </w:r>
          </w:p>
        </w:tc>
      </w:tr>
      <w:tr>
        <w:tc>
          <w:tcPr/>
          <w:p>
            <w:pPr>
              <w:pStyle w:val="Compact"/>
            </w:pPr>
            <w:r>
              <w:t xml:space="preserve">제품(메모리)</w:t>
            </w:r>
          </w:p>
        </w:tc>
        <w:tc>
          <w:tcPr/>
          <w:p>
            <w:pPr>
              <w:pStyle w:val="Compact"/>
            </w:pPr>
            <w:r>
              <w:t xml:space="preserve">HBM4+</w:t>
            </w:r>
          </w:p>
        </w:tc>
        <w:tc>
          <w:tcPr/>
          <w:p>
            <w:pPr>
              <w:pStyle w:val="Compact"/>
            </w:pPr>
            <w:r>
              <w:t xml:space="preserve">범프 제거로 두께·발열 해결, 적층 고도화</w:t>
            </w:r>
          </w:p>
        </w:tc>
        <w:tc>
          <w:tcPr/>
          <w:p>
            <w:pPr>
              <w:pStyle w:val="Compact"/>
            </w:pPr>
            <w:r>
              <w:t xml:space="preserve">차세대 HBM</w:t>
            </w:r>
          </w:p>
        </w:tc>
      </w:tr>
      <w:tr>
        <w:tc>
          <w:tcPr/>
          <w:p>
            <w:pPr>
              <w:pStyle w:val="Compact"/>
            </w:pPr>
            <w:r>
              <w:t xml:space="preserve">구조</w:t>
            </w:r>
          </w:p>
        </w:tc>
        <w:tc>
          <w:tcPr/>
          <w:p>
            <w:pPr>
              <w:pStyle w:val="Compact"/>
            </w:pPr>
            <w:r>
              <w:t xml:space="preserve">칩렛·BSPDN·CPO</w:t>
            </w:r>
          </w:p>
        </w:tc>
        <w:tc>
          <w:tcPr/>
          <w:p>
            <w:pPr>
              <w:pStyle w:val="Compact"/>
            </w:pPr>
            <w:r>
              <w:t xml:space="preserve">이종 집적 아키텍처 구현, 전·광 결합</w:t>
            </w:r>
          </w:p>
        </w:tc>
        <w:tc>
          <w:tcPr/>
          <w:p>
            <w:pPr>
              <w:pStyle w:val="Compact"/>
            </w:pPr>
            <w:r>
              <w:t xml:space="preserve">TSMC SoIC</w:t>
            </w:r>
          </w:p>
        </w:tc>
      </w:tr>
      <w:tr>
        <w:tc>
          <w:tcPr/>
          <w:p>
            <w:pPr>
              <w:pStyle w:val="Compact"/>
            </w:pPr>
            <w:r>
              <w:t xml:space="preserve">파생</w:t>
            </w:r>
          </w:p>
        </w:tc>
        <w:tc>
          <w:tcPr/>
          <w:p>
            <w:pPr>
              <w:pStyle w:val="Compact"/>
            </w:pPr>
            <w:r>
              <w:t xml:space="preserve">전력반도체(SiC/GaN)·MicroLED</w:t>
            </w:r>
          </w:p>
        </w:tc>
        <w:tc>
          <w:tcPr/>
          <w:p>
            <w:pPr>
              <w:pStyle w:val="Compact"/>
            </w:pPr>
            <w:r>
              <w:t xml:space="preserve">고방열 접합, 대량 전사</w:t>
            </w:r>
          </w:p>
        </w:tc>
        <w:tc>
          <w:tcPr/>
          <w:p>
            <w:pPr>
              <w:pStyle w:val="Compact"/>
            </w:pPr>
            <w:r>
              <w:t xml:space="preserve">전력 모듈·디스플레이</w:t>
            </w:r>
          </w:p>
        </w:tc>
      </w:tr>
    </w:tbl>
    <w:bookmarkEnd w:id="23"/>
    <w:bookmarkEnd w:id="24"/>
    <w:bookmarkStart w:id="25"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5"/>
    <w:bookmarkStart w:id="26"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6"/>
    <w:bookmarkStart w:id="31" w:name="특허-기반-정량분석-방법론"/>
    <w:p>
      <w:pPr>
        <w:pStyle w:val="Heading2"/>
      </w:pPr>
      <w:r>
        <w:t xml:space="preserve">2.4 특허 기반 정량분석 방법론</w:t>
      </w:r>
    </w:p>
    <w:bookmarkStart w:id="27"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7"/>
    <w:bookmarkStart w:id="28"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8"/>
    <w:bookmarkStart w:id="29"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9"/>
    <w:bookmarkStart w:id="30"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p>
      <w:pPr>
        <w:pStyle w:val="BodyText"/>
      </w:pPr>
      <w:r>
        <w:t xml:space="preserve">특히 후발자의 추격(catch-up) 가능성을 다룬 연구들은 본 연구와 직접 맞닿는다. 이종호·오철(2022)은 미국 특허의 기술수명주기(TCT) 분석으로 AI 반도체에서 후발자의 추격 여건을 진단하였고, 이찬우(2020)는 중국 파운드리(SMIC)의 특허 성과로 추격 동학을 분석하였다. 이러한 추격 이론의 관점은 본 연구에서 중국 출원청 특허의 좁은 범위·높은 process-only 경향(특정 공정 집중)과 YMTC의 빠른 인용 피크·높은 과학연계성(자립 신호)으로 구체화되어, 추격이 단순 모방이 아니라 선택적 공정 내재화와 기초연구 투자를 통해 이루어짐을 시사한다.</w:t>
      </w:r>
    </w:p>
    <w:bookmarkEnd w:id="30"/>
    <w:bookmarkEnd w:id="31"/>
    <w:bookmarkStart w:id="32"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2"/>
    <w:bookmarkStart w:id="33"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3"/>
    <w:bookmarkEnd w:id="34"/>
    <w:bookmarkStart w:id="42" w:name="제3장-연구-설계-통합-분석틀과-데이터"/>
    <w:p>
      <w:pPr>
        <w:pStyle w:val="Heading1"/>
      </w:pPr>
      <w:r>
        <w:t xml:space="preserve">제3장 연구 설계: 통합 분석틀과 데이터</w:t>
      </w:r>
    </w:p>
    <w:bookmarkStart w:id="35"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정합한다([표 3-1]). 본 연구는 이러한 특허 고유의 분류 체계를 준용함으로써 분석의 자의성을 배제하고 기술적 속성에 기반한 객관적 분류를 확립한다.</w:t>
      </w:r>
    </w:p>
    <w:p>
      <w:pPr>
        <w:pStyle w:val="BodyText"/>
      </w:pPr>
      <w:r>
        <w:rPr>
          <w:b/>
          <w:bCs/>
        </w:rPr>
        <w:t xml:space="preserve">[표 3-1] P–S–P 계층과 CPC 매핑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의미</w:t>
            </w:r>
          </w:p>
        </w:tc>
        <w:tc>
          <w:tcPr/>
          <w:p>
            <w:pPr>
              <w:pStyle w:val="Compact"/>
            </w:pPr>
            <w:r>
              <w:t xml:space="preserve">주요 CPC</w:t>
            </w:r>
          </w:p>
        </w:tc>
        <w:tc>
          <w:tcPr/>
          <w:p>
            <w:pPr>
              <w:pStyle w:val="Compact"/>
            </w:pPr>
            <w:r>
              <w:t xml:space="preserve">비고</w:t>
            </w:r>
          </w:p>
        </w:tc>
      </w:tr>
      <w:tr>
        <w:tc>
          <w:tcPr/>
          <w:p>
            <w:pPr>
              <w:pStyle w:val="Compact"/>
            </w:pPr>
            <w:r>
              <w:t xml:space="preserve">공정(Process)</w:t>
            </w:r>
          </w:p>
        </w:tc>
        <w:tc>
          <w:tcPr/>
          <w:p>
            <w:pPr>
              <w:pStyle w:val="Compact"/>
            </w:pPr>
            <w:r>
              <w:t xml:space="preserve">반도체 장치의 제조·처리</w:t>
            </w:r>
          </w:p>
        </w:tc>
        <w:tc>
          <w:tcPr/>
          <w:p>
            <w:pPr>
              <w:pStyle w:val="Compact"/>
            </w:pPr>
            <w:r>
              <w:rPr>
                <w:b/>
                <w:bCs/>
              </w:rPr>
              <w:t xml:space="preserve">H01L21</w:t>
            </w:r>
          </w:p>
        </w:tc>
        <w:tc>
          <w:tcPr/>
          <w:p>
            <w:pPr>
              <w:pStyle w:val="Compact"/>
            </w:pPr>
            <w:r>
              <w:t xml:space="preserve">미시 분석의</w:t>
            </w:r>
            <w:r>
              <w:t xml:space="preserve"> </w:t>
            </w:r>
            <w:r>
              <w:t xml:space="preserve">‘전공정’</w:t>
            </w:r>
            <w:r>
              <w:t xml:space="preserve"> </w:t>
            </w:r>
            <w:r>
              <w:t xml:space="preserve">축</w:t>
            </w:r>
          </w:p>
        </w:tc>
      </w:tr>
      <w:tr>
        <w:tc>
          <w:tcPr/>
          <w:p>
            <w:pPr>
              <w:pStyle w:val="Compact"/>
            </w:pPr>
            <w:r>
              <w:t xml:space="preserve">(접합·인터커넥트)</w:t>
            </w:r>
          </w:p>
        </w:tc>
        <w:tc>
          <w:tcPr/>
          <w:p>
            <w:pPr>
              <w:pStyle w:val="Compact"/>
            </w:pPr>
            <w:r>
              <w:t xml:space="preserve">본딩·인터커넥트 공정</w:t>
            </w:r>
          </w:p>
        </w:tc>
        <w:tc>
          <w:tcPr/>
          <w:p>
            <w:pPr>
              <w:pStyle w:val="Compact"/>
            </w:pPr>
            <w:r>
              <w:rPr>
                <w:b/>
                <w:bCs/>
              </w:rPr>
              <w:t xml:space="preserve">H01L24</w:t>
            </w:r>
          </w:p>
        </w:tc>
        <w:tc>
          <w:tcPr/>
          <w:p>
            <w:pPr>
              <w:pStyle w:val="Compact"/>
            </w:pPr>
            <w:r>
              <w:t xml:space="preserve">미시 분석의</w:t>
            </w:r>
            <w:r>
              <w:t xml:space="preserve"> </w:t>
            </w:r>
            <w:r>
              <w:t xml:space="preserve">‘후공정’</w:t>
            </w:r>
            <w:r>
              <w:t xml:space="preserve"> </w:t>
            </w:r>
            <w:r>
              <w:t xml:space="preserve">축</w:t>
            </w:r>
          </w:p>
        </w:tc>
      </w:tr>
      <w:tr>
        <w:tc>
          <w:tcPr/>
          <w:p>
            <w:pPr>
              <w:pStyle w:val="Compact"/>
            </w:pPr>
            <w:r>
              <w:t xml:space="preserve">구조(Structure)</w:t>
            </w:r>
          </w:p>
        </w:tc>
        <w:tc>
          <w:tcPr/>
          <w:p>
            <w:pPr>
              <w:pStyle w:val="Compact"/>
            </w:pPr>
            <w:r>
              <w:t xml:space="preserve">세부 구조·칩 집적/어셈블리</w:t>
            </w:r>
          </w:p>
        </w:tc>
        <w:tc>
          <w:tcPr/>
          <w:p>
            <w:pPr>
              <w:pStyle w:val="Compact"/>
            </w:pPr>
            <w:r>
              <w:t xml:space="preserve">H01L23, H01L25</w:t>
            </w:r>
          </w:p>
        </w:tc>
        <w:tc>
          <w:tcPr/>
          <w:p>
            <w:pPr>
              <w:pStyle w:val="Compact"/>
            </w:pPr>
            <w:r>
              <w:t xml:space="preserve">예: H01L25/50 적층 구조</w:t>
            </w:r>
          </w:p>
        </w:tc>
      </w:tr>
      <w:tr>
        <w:tc>
          <w:tcPr/>
          <w:p>
            <w:pPr>
              <w:pStyle w:val="Compact"/>
            </w:pPr>
            <w:r>
              <w:t xml:space="preserve">제품(Product)</w:t>
            </w:r>
          </w:p>
        </w:tc>
        <w:tc>
          <w:tcPr/>
          <w:p>
            <w:pPr>
              <w:pStyle w:val="Compact"/>
            </w:pPr>
            <w:r>
              <w:t xml:space="preserve">복합 소자·메모리·데이터 처리</w:t>
            </w:r>
          </w:p>
        </w:tc>
        <w:tc>
          <w:tcPr/>
          <w:p>
            <w:pPr>
              <w:pStyle w:val="Compact"/>
            </w:pPr>
            <w:r>
              <w:t xml:space="preserve">H01L27, G11C, G06F</w:t>
            </w:r>
          </w:p>
        </w:tc>
        <w:tc>
          <w:tcPr/>
          <w:p>
            <w:pPr>
              <w:pStyle w:val="Compact"/>
            </w:pPr>
            <w:r>
              <w:t xml:space="preserve">최종 응용</w:t>
            </w:r>
          </w:p>
        </w:tc>
      </w:tr>
    </w:tbl>
    <w:p>
      <w:pPr>
        <w:pStyle w:val="BodyText"/>
      </w:pPr>
      <w:r>
        <w:t xml:space="preserve">미시 계량분석(제5장)은 위 표의 H01L21(전공정)과 H01L24(후공정·접합)의 대비에 초점을 두며, 거시 분석(제4장)은 H01L21·23·25·27 등 P–S–P 전 범위를 조망한다.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5"/>
    <w:bookmarkStart w:id="36"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 이 데이터 구축 흐름을 도식화하면 다음과 같다.</w:t>
      </w:r>
    </w:p>
    <w:p>
      <w:pPr>
        <w:pStyle w:val="SourceCode"/>
      </w:pPr>
      <w:r>
        <w:rPr>
          <w:rStyle w:val="VerbatimChar"/>
        </w:rPr>
        <w:t xml:space="preserve">PATSTAT 2025</w:t>
      </w:r>
      <w:r>
        <w:br/>
      </w:r>
      <w:r>
        <w:rPr>
          <w:rStyle w:val="VerbatimChar"/>
        </w:rPr>
        <w:t xml:space="preserve">   │  ① CPC 1차 추출 (H01L24 직접접합·H01L2224/08145 등)</w:t>
      </w:r>
      <w:r>
        <w:br/>
      </w:r>
      <w:r>
        <w:rPr>
          <w:rStyle w:val="VerbatimChar"/>
        </w:rPr>
        <w:t xml:space="preserve">   ▼</w:t>
      </w:r>
      <w:r>
        <w:br/>
      </w:r>
      <w:r>
        <w:rPr>
          <w:rStyle w:val="VerbatimChar"/>
        </w:rPr>
        <w:t xml:space="preserve">후보 레코드</w:t>
      </w:r>
      <w:r>
        <w:br/>
      </w:r>
      <w:r>
        <w:rPr>
          <w:rStyle w:val="VerbatimChar"/>
        </w:rPr>
        <w:t xml:space="preserve">   │  ② 키워드 AND 필터링 (direct/hybrid bonding, Cu-Cu, dielectric …)</w:t>
      </w:r>
      <w:r>
        <w:br/>
      </w:r>
      <w:r>
        <w:rPr>
          <w:rStyle w:val="VerbatimChar"/>
        </w:rPr>
        <w:t xml:space="preserve">   ▼</w:t>
      </w:r>
      <w:r>
        <w:br/>
      </w:r>
      <w:r>
        <w:rPr>
          <w:rStyle w:val="VerbatimChar"/>
        </w:rPr>
        <w:t xml:space="preserve">하이브리드 본딩 ~5,278 레코드 ───────────────┐  비교군: HBM ~2,330</w:t>
      </w:r>
      <w:r>
        <w:br/>
      </w:r>
      <w:r>
        <w:rPr>
          <w:rStyle w:val="VerbatimChar"/>
        </w:rPr>
        <w:t xml:space="preserve">   │  ③ 출원 단위 응집                          │</w:t>
      </w:r>
      <w:r>
        <w:br/>
      </w:r>
      <w:r>
        <w:rPr>
          <w:rStyle w:val="VerbatimChar"/>
        </w:rPr>
        <w:t xml:space="preserve">   ▼                                            ▼</w:t>
      </w:r>
      <w:r>
        <w:br/>
      </w:r>
      <w:r>
        <w:rPr>
          <w:rStyle w:val="VerbatimChar"/>
        </w:rPr>
        <w:t xml:space="preserve">928 고유 출원 (미시 분석, H01L21 vs H01L24)   거시 분석 (레코드 수준, P–S–P 전 범위)</w:t>
      </w:r>
      <w:r>
        <w:br/>
      </w:r>
      <w:r>
        <w:rPr>
          <w:rStyle w:val="VerbatimChar"/>
        </w:rPr>
        <w:t xml:space="preserve">   │  ④ 기간·공개시차 정제 (1968–2024)</w:t>
      </w:r>
      <w:r>
        <w:br/>
      </w:r>
      <w:r>
        <w:rPr>
          <w:rStyle w:val="VerbatimChar"/>
        </w:rPr>
        <w:t xml:space="preserve">   ▼</w:t>
      </w:r>
      <w:r>
        <w:br/>
      </w:r>
      <w:r>
        <w:rPr>
          <w:rStyle w:val="VerbatimChar"/>
        </w:rPr>
        <w:t xml:space="preserve">분석용 데이터셋</w:t>
      </w:r>
    </w:p>
    <w:bookmarkEnd w:id="36"/>
    <w:bookmarkStart w:id="38" w:name="변수-정의"/>
    <w:p>
      <w:pPr>
        <w:pStyle w:val="Heading2"/>
      </w:pPr>
      <w:r>
        <w:t xml:space="preserve">3.3 변수 정의</w:t>
      </w:r>
    </w:p>
    <w:p>
      <w:pPr>
        <w:pStyle w:val="FirstParagraph"/>
      </w:pPr>
      <w:r>
        <w:t xml:space="preserve">미시 분석의 변수는</w:t>
      </w:r>
      <w:r>
        <w:t xml:space="preserve"> </w:t>
      </w:r>
      <w:hyperlink r:id="rId37">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8"/>
    <w:bookmarkStart w:id="40"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3"/>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3"/>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3"/>
        </w:numPr>
      </w:pPr>
      <w:r>
        <w:rPr>
          <w:b/>
          <w:bCs/>
        </w:rPr>
        <w:t xml:space="preserve">SLI</w:t>
      </w:r>
      <w:r>
        <w:t xml:space="preserve"> </w:t>
      </w:r>
      <w:r>
        <w:t xml:space="preserve">= 특허당 평균 비특허문헌(NPL, 과학논문) 인용 수(기초과학 연계 정도).</w:t>
      </w:r>
    </w:p>
    <w:p>
      <w:pPr>
        <w:pStyle w:val="Compact"/>
        <w:numPr>
          <w:ilvl w:val="0"/>
          <w:numId w:val="1003"/>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9"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9"/>
    <w:bookmarkEnd w:id="40"/>
    <w:bookmarkStart w:id="41"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41"/>
    <w:bookmarkEnd w:id="42"/>
    <w:bookmarkStart w:id="58" w:name="제4장-거시-분석-생태계-구조와-전략-분화-rq1"/>
    <w:p>
      <w:pPr>
        <w:pStyle w:val="Heading1"/>
      </w:pPr>
      <w:r>
        <w:t xml:space="preserve">제4장 거시 분석: 생태계 구조와 전략 분화 (RQ1)</w:t>
      </w:r>
    </w:p>
    <w:bookmarkStart w:id="43"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3"/>
    <w:bookmarkStart w:id="44"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[표 4-1]과 같이 미국이 가장 많고 중국·PCT/WO가 뒤를 이었다.</w:t>
      </w:r>
    </w:p>
    <w:p>
      <w:pPr>
        <w:pStyle w:val="BodyText"/>
      </w:pPr>
      <w:r>
        <w:rPr>
          <w:b/>
          <w:bCs/>
        </w:rPr>
        <w:t xml:space="preserve">[표 4-1] 출원청별 출원 분포</w:t>
      </w:r>
      <w:r>
        <w:t xml:space="preserve"> </w:t>
      </w:r>
      <w:r>
        <w:t xml:space="preserve">(미시 분석 표본, 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출원청</w:t>
            </w:r>
          </w:p>
        </w:tc>
        <w:tc>
          <w:tcPr/>
          <w:p>
            <w:pPr>
              <w:pStyle w:val="Compact"/>
            </w:pPr>
            <w:r>
              <w:t xml:space="preserve">출원 수</w:t>
            </w:r>
          </w:p>
        </w:tc>
        <w:tc>
          <w:tcPr/>
          <w:p>
            <w:pPr>
              <w:pStyle w:val="Compact"/>
            </w:pPr>
            <w:r>
              <w:t xml:space="preserve">비중</w:t>
            </w:r>
          </w:p>
        </w:tc>
      </w:tr>
      <w:tr>
        <w:tc>
          <w:tcPr/>
          <w:p>
            <w:pPr>
              <w:pStyle w:val="Compact"/>
            </w:pPr>
            <w:r>
              <w:t xml:space="preserve">미국(US)</w:t>
            </w:r>
          </w:p>
        </w:tc>
        <w:tc>
          <w:tcPr/>
          <w:p>
            <w:pPr>
              <w:pStyle w:val="Compact"/>
            </w:pPr>
            <w:r>
              <w:t xml:space="preserve">382</w:t>
            </w:r>
          </w:p>
        </w:tc>
        <w:tc>
          <w:tcPr/>
          <w:p>
            <w:pPr>
              <w:pStyle w:val="Compact"/>
            </w:pPr>
            <w:r>
              <w:t xml:space="preserve">41.2%</w:t>
            </w:r>
          </w:p>
        </w:tc>
      </w:tr>
      <w:tr>
        <w:tc>
          <w:tcPr/>
          <w:p>
            <w:pPr>
              <w:pStyle w:val="Compact"/>
            </w:pPr>
            <w:r>
              <w:t xml:space="preserve">중국(CN)</w:t>
            </w:r>
          </w:p>
        </w:tc>
        <w:tc>
          <w:tcPr/>
          <w:p>
            <w:pPr>
              <w:pStyle w:val="Compact"/>
            </w:pPr>
            <w:r>
              <w:t xml:space="preserve">175</w:t>
            </w:r>
          </w:p>
        </w:tc>
        <w:tc>
          <w:tcPr/>
          <w:p>
            <w:pPr>
              <w:pStyle w:val="Compact"/>
            </w:pPr>
            <w:r>
              <w:t xml:space="preserve">18.9%</w:t>
            </w:r>
          </w:p>
        </w:tc>
      </w:tr>
      <w:tr>
        <w:tc>
          <w:tcPr/>
          <w:p>
            <w:pPr>
              <w:pStyle w:val="Compact"/>
            </w:pPr>
            <w:r>
              <w:t xml:space="preserve">PCT(WO)</w:t>
            </w:r>
          </w:p>
        </w:tc>
        <w:tc>
          <w:tcPr/>
          <w:p>
            <w:pPr>
              <w:pStyle w:val="Compact"/>
            </w:pPr>
            <w:r>
              <w:t xml:space="preserve">113</w:t>
            </w:r>
          </w:p>
        </w:tc>
        <w:tc>
          <w:tcPr/>
          <w:p>
            <w:pPr>
              <w:pStyle w:val="Compact"/>
            </w:pPr>
            <w:r>
              <w:t xml:space="preserve">12.2%</w:t>
            </w:r>
          </w:p>
        </w:tc>
      </w:tr>
      <w:tr>
        <w:tc>
          <w:tcPr/>
          <w:p>
            <w:pPr>
              <w:pStyle w:val="Compact"/>
            </w:pPr>
            <w:r>
              <w:t xml:space="preserve">EPO(EP)</w:t>
            </w:r>
          </w:p>
        </w:tc>
        <w:tc>
          <w:tcPr/>
          <w:p>
            <w:pPr>
              <w:pStyle w:val="Compact"/>
            </w:pPr>
            <w:r>
              <w:t xml:space="preserve">83</w:t>
            </w:r>
          </w:p>
        </w:tc>
        <w:tc>
          <w:tcPr/>
          <w:p>
            <w:pPr>
              <w:pStyle w:val="Compact"/>
            </w:pPr>
            <w:r>
              <w:t xml:space="preserve">8.9%</w:t>
            </w:r>
          </w:p>
        </w:tc>
      </w:tr>
      <w:tr>
        <w:tc>
          <w:tcPr/>
          <w:p>
            <w:pPr>
              <w:pStyle w:val="Compact"/>
            </w:pPr>
            <w:r>
              <w:t xml:space="preserve">대만(TW)</w:t>
            </w:r>
          </w:p>
        </w:tc>
        <w:tc>
          <w:tcPr/>
          <w:p>
            <w:pPr>
              <w:pStyle w:val="Compact"/>
            </w:pPr>
            <w:r>
              <w:t xml:space="preserve">75</w:t>
            </w:r>
          </w:p>
        </w:tc>
        <w:tc>
          <w:tcPr/>
          <w:p>
            <w:pPr>
              <w:pStyle w:val="Compact"/>
            </w:pPr>
            <w:r>
              <w:t xml:space="preserve">8.1%</w:t>
            </w:r>
          </w:p>
        </w:tc>
      </w:tr>
      <w:tr>
        <w:tc>
          <w:tcPr/>
          <w:p>
            <w:pPr>
              <w:pStyle w:val="Compact"/>
            </w:pPr>
            <w:r>
              <w:t xml:space="preserve">한국(KR)</w:t>
            </w:r>
          </w:p>
        </w:tc>
        <w:tc>
          <w:tcPr/>
          <w:p>
            <w:pPr>
              <w:pStyle w:val="Compact"/>
            </w:pPr>
            <w:r>
              <w:t xml:space="preserve">58</w:t>
            </w:r>
          </w:p>
        </w:tc>
        <w:tc>
          <w:tcPr/>
          <w:p>
            <w:pPr>
              <w:pStyle w:val="Compact"/>
            </w:pPr>
            <w:r>
              <w:t xml:space="preserve">6.3%</w:t>
            </w:r>
          </w:p>
        </w:tc>
      </w:tr>
      <w:tr>
        <w:tc>
          <w:tcPr/>
          <w:p>
            <w:pPr>
              <w:pStyle w:val="Compact"/>
            </w:pPr>
            <w:r>
              <w:t xml:space="preserve">일본(JP)</w:t>
            </w:r>
          </w:p>
        </w:tc>
        <w:tc>
          <w:tcPr/>
          <w:p>
            <w:pPr>
              <w:pStyle w:val="Compact"/>
            </w:pPr>
            <w:r>
              <w:t xml:space="preserve">26</w:t>
            </w:r>
          </w:p>
        </w:tc>
        <w:tc>
          <w:tcPr/>
          <w:p>
            <w:pPr>
              <w:pStyle w:val="Compact"/>
            </w:pPr>
            <w:r>
              <w:t xml:space="preserve">2.8%</w:t>
            </w:r>
          </w:p>
        </w:tc>
      </w:tr>
      <w:tr>
        <w:tc>
          <w:tcPr/>
          <w:p>
            <w:pPr>
              <w:pStyle w:val="Compact"/>
            </w:pPr>
            <w:r>
              <w:t xml:space="preserve">기타</w:t>
            </w:r>
          </w:p>
        </w:tc>
        <w:tc>
          <w:tcPr/>
          <w:p>
            <w:pPr>
              <w:pStyle w:val="Compact"/>
            </w:pPr>
            <w:r>
              <w:t xml:space="preserve">16</w:t>
            </w:r>
          </w:p>
        </w:tc>
        <w:tc>
          <w:tcPr/>
          <w:p>
            <w:pPr>
              <w:pStyle w:val="Compact"/>
            </w:pPr>
            <w:r>
              <w:t xml:space="preserve">1.7%</w:t>
            </w:r>
          </w:p>
        </w:tc>
      </w:tr>
    </w:tbl>
    <w:p>
      <w:pPr>
        <w:pStyle w:val="BodyText"/>
      </w:pPr>
      <w:r>
        <w:rPr>
          <w:i/>
          <w:iCs/>
        </w:rPr>
        <w:t xml:space="preserve">주: 비중은 928건 대비 백분율(반올림). 출원청은 출원인 국적이 아님(§3.2).</w:t>
      </w:r>
    </w:p>
    <w:bookmarkEnd w:id="44"/>
    <w:bookmarkStart w:id="45"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5"/>
    <w:bookmarkStart w:id="46"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4"/>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4"/>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4"/>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p>
      <w:pPr>
        <w:pStyle w:val="FirstParagraph"/>
      </w:pPr>
      <w:r>
        <w:t xml:space="preserve">기업별 상위 CPC 코드를 정리하면 [표 4-2]와 같으며, 같은 기술 영역 안에서도 주체별 전략이 코드 수준에서 분기함을 보여준다.</w:t>
      </w:r>
    </w:p>
    <w:p>
      <w:pPr>
        <w:pStyle w:val="BodyText"/>
      </w:pPr>
      <w:r>
        <w:rPr>
          <w:b/>
          <w:bCs/>
        </w:rPr>
        <w:t xml:space="preserve">[표 4-2] 주요 주체별 상위 CPC 집중 영역</w:t>
      </w:r>
      <w:r>
        <w:t xml:space="preserve"> </w:t>
      </w:r>
      <w:r>
        <w:t xml:space="preserve">(자료②)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주체(업태)</w:t>
            </w:r>
          </w:p>
        </w:tc>
        <w:tc>
          <w:tcPr/>
          <w:p>
            <w:pPr>
              <w:pStyle w:val="Compact"/>
            </w:pPr>
            <w:r>
              <w:t xml:space="preserve">상위 CPC(예시)</w:t>
            </w:r>
          </w:p>
        </w:tc>
        <w:tc>
          <w:tcPr/>
          <w:p>
            <w:pPr>
              <w:pStyle w:val="Compact"/>
            </w:pPr>
            <w:r>
              <w:t xml:space="preserve">함의</w:t>
            </w:r>
          </w:p>
        </w:tc>
      </w:tr>
      <w:tr>
        <w:tc>
          <w:tcPr/>
          <w:p>
            <w:pPr>
              <w:pStyle w:val="Compact"/>
            </w:pPr>
            <w:r>
              <w:t xml:space="preserve">Adeia(IP)</w:t>
            </w:r>
          </w:p>
        </w:tc>
        <w:tc>
          <w:tcPr/>
          <w:p>
            <w:pPr>
              <w:pStyle w:val="Compact"/>
            </w:pPr>
            <w:r>
              <w:t xml:space="preserve">H01L2224/80003, /0237, /0233, B81C1/00047</w:t>
            </w:r>
          </w:p>
        </w:tc>
        <w:tc>
          <w:tcPr/>
          <w:p>
            <w:pPr>
              <w:pStyle w:val="Compact"/>
            </w:pPr>
            <w:r>
              <w:t xml:space="preserve">전도층 접착·RDL·웨이퍼 식각(TSV) 등 원천 접합</w:t>
            </w:r>
          </w:p>
        </w:tc>
      </w:tr>
      <w:tr>
        <w:tc>
          <w:tcPr/>
          <w:p>
            <w:pPr>
              <w:pStyle w:val="Compact"/>
            </w:pPr>
            <w:r>
              <w:t xml:space="preserve">TSMC(제조)</w:t>
            </w:r>
          </w:p>
        </w:tc>
        <w:tc>
          <w:tcPr/>
          <w:p>
            <w:pPr>
              <w:pStyle w:val="Compact"/>
            </w:pPr>
            <w:r>
              <w:t xml:space="preserve">H01L2224/215, H01L21/76883, /76871, /0214</w:t>
            </w:r>
          </w:p>
        </w:tc>
        <w:tc>
          <w:tcPr/>
          <w:p>
            <w:pPr>
              <w:pStyle w:val="Compact"/>
            </w:pPr>
            <w:r>
              <w:t xml:space="preserve">인터커넥트·비아필링·다마신·절연막(CMP) = 전공정 내재화</w:t>
            </w:r>
          </w:p>
        </w:tc>
      </w:tr>
      <w:tr>
        <w:tc>
          <w:tcPr/>
          <w:p>
            <w:pPr>
              <w:pStyle w:val="Compact"/>
            </w:pPr>
            <w:r>
              <w:t xml:space="preserve">Samsung(제조)</w:t>
            </w:r>
          </w:p>
        </w:tc>
        <w:tc>
          <w:tcPr/>
          <w:p>
            <w:pPr>
              <w:pStyle w:val="Compact"/>
            </w:pPr>
            <w:r>
              <w:t xml:space="preserve">H01L2924/2075, /01021, H01L2225/06579, H01L23/12</w:t>
            </w:r>
          </w:p>
        </w:tc>
        <w:tc>
          <w:tcPr/>
          <w:p>
            <w:pPr>
              <w:pStyle w:val="Compact"/>
            </w:pPr>
            <w:r>
              <w:t xml:space="preserve">적층 구조·특수 절연 소재</w:t>
            </w:r>
          </w:p>
        </w:tc>
      </w:tr>
      <w:tr>
        <w:tc>
          <w:tcPr/>
          <w:p>
            <w:pPr>
              <w:pStyle w:val="Compact"/>
            </w:pPr>
            <w:r>
              <w:t xml:space="preserve">YMTC(제조)</w:t>
            </w:r>
          </w:p>
        </w:tc>
        <w:tc>
          <w:tcPr/>
          <w:p>
            <w:pPr>
              <w:pStyle w:val="Compact"/>
            </w:pPr>
            <w:r>
              <w:t xml:space="preserve">H01L2224/822, H01L21/76841, H10B41/50, /27</w:t>
            </w:r>
          </w:p>
        </w:tc>
        <w:tc>
          <w:tcPr/>
          <w:p>
            <w:pPr>
              <w:pStyle w:val="Compact"/>
            </w:pPr>
            <w:r>
              <w:t xml:space="preserve">수직채널·주변회로 경계(X-Stacking)</w:t>
            </w:r>
          </w:p>
        </w:tc>
      </w:tr>
      <w:tr>
        <w:tc>
          <w:tcPr/>
          <w:p>
            <w:pPr>
              <w:pStyle w:val="Compact"/>
            </w:pPr>
            <w:r>
              <w:t xml:space="preserve">Tokyo Electron(장비)</w:t>
            </w:r>
          </w:p>
        </w:tc>
        <w:tc>
          <w:tcPr/>
          <w:p>
            <w:pPr>
              <w:pStyle w:val="Compact"/>
            </w:pPr>
            <w:r>
              <w:t xml:space="preserve">G01N(계측·검사) 최상위(75.76)</w:t>
            </w:r>
          </w:p>
        </w:tc>
        <w:tc>
          <w:tcPr/>
          <w:p>
            <w:pPr>
              <w:pStyle w:val="Compact"/>
            </w:pPr>
            <w:r>
              <w:t xml:space="preserve">정렬(alignment) 난제 집중</w:t>
            </w:r>
          </w:p>
        </w:tc>
      </w:tr>
      <w:tr>
        <w:tc>
          <w:tcPr/>
          <w:p>
            <w:pPr>
              <w:pStyle w:val="Compact"/>
            </w:pPr>
            <w:r>
              <w:t xml:space="preserve">Applied Materials(장비)</w:t>
            </w:r>
          </w:p>
        </w:tc>
        <w:tc>
          <w:tcPr/>
          <w:p>
            <w:pPr>
              <w:pStyle w:val="Compact"/>
            </w:pPr>
            <w:r>
              <w:t xml:space="preserve">F26B(건조), H01L21/677·/687(물류)</w:t>
            </w:r>
          </w:p>
        </w:tc>
        <w:tc>
          <w:tcPr/>
          <w:p>
            <w:pPr>
              <w:pStyle w:val="Compact"/>
            </w:pPr>
            <w:r>
              <w:t xml:space="preserve">표면처리·클러스터 툴</w:t>
            </w:r>
          </w:p>
        </w:tc>
      </w:tr>
      <w:tr>
        <w:tc>
          <w:tcPr/>
          <w:p>
            <w:pPr>
              <w:pStyle w:val="Compact"/>
            </w:pPr>
            <w:r>
              <w:t xml:space="preserve">Intel(제조)</w:t>
            </w:r>
          </w:p>
        </w:tc>
        <w:tc>
          <w:tcPr/>
          <w:p>
            <w:pPr>
              <w:pStyle w:val="Compact"/>
            </w:pPr>
            <w:r>
              <w:t xml:space="preserve">G02B(광학) 다수</w:t>
            </w:r>
          </w:p>
        </w:tc>
        <w:tc>
          <w:tcPr/>
          <w:p>
            <w:pPr>
              <w:pStyle w:val="Compact"/>
            </w:pPr>
            <w:r>
              <w:t xml:space="preserve">실리콘 포토닉스(CPO) 응용</w:t>
            </w:r>
          </w:p>
        </w:tc>
      </w:tr>
      <w:tr>
        <w:tc>
          <w:tcPr/>
          <w:p>
            <w:pPr>
              <w:pStyle w:val="Compact"/>
            </w:pPr>
            <w:r>
              <w:t xml:space="preserve">Huawei</w:t>
            </w:r>
          </w:p>
        </w:tc>
        <w:tc>
          <w:tcPr/>
          <w:p>
            <w:pPr>
              <w:pStyle w:val="Compact"/>
            </w:pPr>
            <w:r>
              <w:t xml:space="preserve">H05K1/18(PCB), H01L25/105(전력모듈)</w:t>
            </w:r>
          </w:p>
        </w:tc>
        <w:tc>
          <w:tcPr/>
          <w:p>
            <w:pPr>
              <w:pStyle w:val="Compact"/>
            </w:pPr>
            <w:r>
              <w:t xml:space="preserve">전력반도체 활용</w:t>
            </w:r>
          </w:p>
        </w:tc>
      </w:tr>
    </w:tbl>
    <w:bookmarkEnd w:id="46"/>
    <w:bookmarkStart w:id="50"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p>
      <w:pPr>
        <w:pStyle w:val="BodyText"/>
      </w:pPr>
      <w:r>
        <w:t xml:space="preserve">이상의 거시 분석을 하나의 그림으로 종합하면 [그림 4-1]과 같다. 하이브리드 본딩(후공정 H01L24)이 동행공정(TSV·CMP·다이싱·표면처리)을</w:t>
      </w:r>
      <w:r>
        <w:t xml:space="preserve"> </w:t>
      </w:r>
      <w:r>
        <w:rPr>
          <w:i/>
          <w:iCs/>
        </w:rPr>
        <w:t xml:space="preserve">요구</w:t>
      </w:r>
      <w:r>
        <w:t xml:space="preserve">하고 전공정(H01L21)으로</w:t>
      </w:r>
      <w:r>
        <w:t xml:space="preserve"> </w:t>
      </w:r>
      <w:r>
        <w:rPr>
          <w:i/>
          <w:iCs/>
        </w:rPr>
        <w:t xml:space="preserve">침투</w:t>
      </w:r>
      <w:r>
        <w:t xml:space="preserve">하며(경계 흐려짐), 구조(칩렛·BSPDN·CPO)를 거쳐 제품(HBM·AI 가속기 등)으로 확장되는 흐름과, 기업·관할권 전략(노드 라벨에 CII/SLI/PFS 지표 병기)이 CPC 축에 매핑되는 양상을 함께 보여준다.</w:t>
      </w:r>
    </w:p>
    <w:p>
      <w:pPr>
        <w:pStyle w:val="CaptionedFigure"/>
      </w:pPr>
      <w:r>
        <w:drawing>
          <wp:inline>
            <wp:extent cx="5334000" cy="3323985"/>
            <wp:effectExtent b="0" l="0" r="0" t="0"/>
            <wp:docPr descr="그림 4-1. 하이브리드 본딩 기술 네트워크(자료①②의 검증된 사실로 결정론적으로 구성; 기업 노드에 CII·SLI·PFS 지표 병기)" title="" id="48" name="Picture"/>
            <a:graphic>
              <a:graphicData uri="http://schemas.openxmlformats.org/drawingml/2006/picture">
                <pic:pic>
                  <pic:nvPicPr>
                    <pic:cNvPr descr="figures/tech_network_rich.png" id="49" name="Picture"/>
                    <pic:cNvPicPr>
                      <a:picLocks noChangeArrowheads="1" noChangeAspect="1"/>
                    </pic:cNvPicPr>
                  </pic:nvPicPr>
                  <pic:blipFill>
                    <a:blip r:embed="rId47"/>
                    <a:stretch>
                      <a:fillRect/>
                    </a:stretch>
                  </pic:blipFill>
                  <pic:spPr bwMode="auto">
                    <a:xfrm>
                      <a:off x="0" y="0"/>
                      <a:ext cx="5334000" cy="3323985"/>
                    </a:xfrm>
                    <a:prstGeom prst="rect">
                      <a:avLst/>
                    </a:prstGeom>
                    <a:noFill/>
                    <a:ln w="9525">
                      <a:noFill/>
                      <a:headEnd/>
                      <a:tailEnd/>
                    </a:ln>
                  </pic:spPr>
                </pic:pic>
              </a:graphicData>
            </a:graphic>
          </wp:inline>
        </w:drawing>
      </w:r>
    </w:p>
    <w:p>
      <w:pPr>
        <w:pStyle w:val="ImageCaption"/>
      </w:pPr>
      <w:r>
        <w:t xml:space="preserve">그림 4-1. 하이브리드 본딩 기술 네트워크(자료①②의 검증된 사실로 결정론적으로 구성; 기업 노드에 CII·SLI·PFS 지표 병기)</w:t>
      </w:r>
    </w:p>
    <w:p>
      <w:pPr>
        <w:pStyle w:val="BodyText"/>
      </w:pPr>
      <w:r>
        <w:rPr>
          <w:i/>
          <w:iCs/>
        </w:rPr>
        <w:t xml:space="preserve">[그림 4-1] 하이브리드 본딩 기술 네트워크. 노드 유형: 핵심공정·동행공정·CPC·구조·제품·기업·관할권. 기업 노드는 검증된 인용·시장 지표(예: Ziptronix CII 272.5/SLI 11.1/PFS 99.2, TSMC CII 71.1/SLI 0.8, YMTC CII 49.2/SLI 48.5%, Samsung CII 24.8·무인용 37%, Intel CII 4.6·144건)를 함께 표기한다. 점선은 관할권→CPC 경향(중국 process-only RRR 2.69, 일본 RRR 0.09)이다. 원자료: 자료①②.</w:t>
      </w:r>
    </w:p>
    <w:bookmarkEnd w:id="50"/>
    <w:bookmarkStart w:id="51"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51"/>
    <w:bookmarkStart w:id="52"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52"/>
    <w:bookmarkStart w:id="57"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53"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53"/>
    <w:bookmarkStart w:id="54"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54"/>
    <w:bookmarkStart w:id="55"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5"/>
    <w:bookmarkStart w:id="56"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6"/>
    <w:bookmarkEnd w:id="57"/>
    <w:bookmarkEnd w:id="58"/>
    <w:bookmarkStart w:id="63"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9"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9"/>
    <w:bookmarkStart w:id="60"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60"/>
    <w:bookmarkStart w:id="61"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61"/>
    <w:bookmarkStart w:id="62" w:name="결과의-종합과-강건성"/>
    <w:p>
      <w:pPr>
        <w:pStyle w:val="Heading2"/>
      </w:pPr>
      <w:r>
        <w:t xml:space="preserve">5.4 결과의 종합과 강건성</w:t>
      </w:r>
    </w:p>
    <w:p>
      <w:pPr>
        <w:pStyle w:val="FirstParagraph"/>
      </w:pPr>
      <w:r>
        <w:t xml:space="preserve">세 모형의 적합도를 종합하면 [표 5-4]와 같다.</w:t>
      </w:r>
    </w:p>
    <w:p>
      <w:pPr>
        <w:pStyle w:val="BodyText"/>
      </w:pPr>
      <w:r>
        <w:rPr>
          <w:b/>
          <w:bCs/>
        </w:rPr>
        <w:t xml:space="preserve">[표 5-4] 모형 적합도 종합</w:t>
      </w:r>
      <w:r>
        <w:t xml:space="preserve"> </w:t>
      </w:r>
      <w:r>
        <w:t xml:space="preserve">(N=928,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결과변수</w:t>
            </w:r>
          </w:p>
        </w:tc>
        <w:tc>
          <w:tcPr/>
          <w:p>
            <w:pPr>
              <w:pStyle w:val="Compact"/>
            </w:pPr>
            <w:r>
              <w:t xml:space="preserve">모형</w:t>
            </w:r>
          </w:p>
        </w:tc>
        <w:tc>
          <w:tcPr/>
          <w:p>
            <w:pPr>
              <w:pStyle w:val="Compact"/>
            </w:pPr>
            <w:r>
              <w:t xml:space="preserve">핵심 적합 지표</w:t>
            </w:r>
          </w:p>
        </w:tc>
      </w:tr>
      <w:tr>
        <w:tc>
          <w:tcPr/>
          <w:p>
            <w:pPr>
              <w:pStyle w:val="Compact"/>
            </w:pPr>
            <w:r>
              <w:t xml:space="preserve">breadth</w:t>
            </w:r>
          </w:p>
        </w:tc>
        <w:tc>
          <w:tcPr/>
          <w:p>
            <w:pPr>
              <w:pStyle w:val="Compact"/>
            </w:pPr>
            <w:r>
              <w:t xml:space="preserve">OLS</w:t>
            </w:r>
          </w:p>
        </w:tc>
        <w:tc>
          <w:tcPr/>
          <w:p>
            <w:pPr>
              <w:pStyle w:val="Compact"/>
            </w:pPr>
            <w:r>
              <w:t xml:space="preserve">R²=0.033, AIC 5224.9</w:t>
            </w:r>
          </w:p>
        </w:tc>
      </w:tr>
      <w:tr>
        <w:tc>
          <w:tcPr/>
          <w:p>
            <w:pPr>
              <w:pStyle w:val="Compact"/>
            </w:pPr>
            <w:r>
              <w:t xml:space="preserve">breadth</w:t>
            </w:r>
          </w:p>
        </w:tc>
        <w:tc>
          <w:tcPr/>
          <w:p>
            <w:pPr>
              <w:pStyle w:val="Compact"/>
            </w:pPr>
            <w:r>
              <w:t xml:space="preserve">Poisson</w:t>
            </w:r>
          </w:p>
        </w:tc>
        <w:tc>
          <w:tcPr/>
          <w:p>
            <w:pPr>
              <w:pStyle w:val="Compact"/>
            </w:pPr>
            <w:r>
              <w:t xml:space="preserve">AIC 5477.2</w:t>
            </w:r>
          </w:p>
        </w:tc>
      </w:tr>
      <w:tr>
        <w:tc>
          <w:tcPr/>
          <w:p>
            <w:pPr>
              <w:pStyle w:val="Compact"/>
            </w:pPr>
            <w:r>
              <w:t xml:space="preserve">breadth</w:t>
            </w:r>
          </w:p>
        </w:tc>
        <w:tc>
          <w:tcPr/>
          <w:p>
            <w:pPr>
              <w:pStyle w:val="Compact"/>
            </w:pPr>
            <w:r>
              <w:rPr>
                <w:b/>
                <w:bCs/>
              </w:rPr>
              <w:t xml:space="preserve">음이항(채택)</w:t>
            </w:r>
          </w:p>
        </w:tc>
        <w:tc>
          <w:tcPr/>
          <w:p>
            <w:pPr>
              <w:pStyle w:val="Compact"/>
            </w:pPr>
            <w:r>
              <w:rPr>
                <w:b/>
                <w:bCs/>
              </w:rPr>
              <w:t xml:space="preserve">AIC 4883.0</w:t>
            </w:r>
            <w:r>
              <w:t xml:space="preserve">, ln(alpha) −1.316</w:t>
            </w:r>
          </w:p>
        </w:tc>
      </w:tr>
      <w:tr>
        <w:tc>
          <w:tcPr/>
          <w:p>
            <w:pPr>
              <w:pStyle w:val="Compact"/>
            </w:pPr>
            <w:r>
              <w:t xml:space="preserve">has_process</w:t>
            </w:r>
          </w:p>
        </w:tc>
        <w:tc>
          <w:tcPr/>
          <w:p>
            <w:pPr>
              <w:pStyle w:val="Compact"/>
            </w:pPr>
            <w:r>
              <w:t xml:space="preserve">이항 로짓</w:t>
            </w:r>
          </w:p>
        </w:tc>
        <w:tc>
          <w:tcPr/>
          <w:p>
            <w:pPr>
              <w:pStyle w:val="Compact"/>
            </w:pPr>
            <w:r>
              <w:t xml:space="preserve">logL −547.6, AIC 1115.1,</w:t>
            </w:r>
            <w:r>
              <w:t xml:space="preserve"> </w:t>
            </w:r>
            <w:r>
              <w:rPr>
                <w:b/>
                <w:bCs/>
              </w:rPr>
              <w:t xml:space="preserve">AUC 0.707</w:t>
            </w:r>
          </w:p>
        </w:tc>
      </w:tr>
      <w:tr>
        <w:tc>
          <w:tcPr/>
          <w:p>
            <w:pPr>
              <w:pStyle w:val="Compact"/>
            </w:pPr>
            <w:r>
              <w:t xml:space="preserve">tech_cat</w:t>
            </w:r>
          </w:p>
        </w:tc>
        <w:tc>
          <w:tcPr/>
          <w:p>
            <w:pPr>
              <w:pStyle w:val="Compact"/>
            </w:pPr>
            <w:r>
              <w:t xml:space="preserve">다항 로짓</w:t>
            </w:r>
          </w:p>
        </w:tc>
        <w:tc>
          <w:tcPr/>
          <w:p>
            <w:pPr>
              <w:pStyle w:val="Compact"/>
            </w:pPr>
            <w:r>
              <w:t xml:space="preserve">logL −774.5, AIC 1589.0</w:t>
            </w:r>
          </w:p>
        </w:tc>
      </w:tr>
    </w:tbl>
    <w:p>
      <w:pPr>
        <w:pStyle w:val="BodyText"/>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62"/>
    <w:bookmarkEnd w:id="63"/>
    <w:bookmarkStart w:id="70" w:name="제6장-통합-논의-전후공정-경계의-흐려짐-rq4"/>
    <w:p>
      <w:pPr>
        <w:pStyle w:val="Heading1"/>
      </w:pPr>
      <w:r>
        <w:t xml:space="preserve">제6장 통합 논의: 전/후공정 경계의 흐려짐 (RQ4)</w:t>
      </w:r>
    </w:p>
    <w:bookmarkStart w:id="64"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64"/>
    <w:bookmarkStart w:id="65"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5"/>
    <w:bookmarkStart w:id="66"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6"/>
    <w:bookmarkStart w:id="67" w:name="한국-산업에의-시사점"/>
    <w:p>
      <w:pPr>
        <w:pStyle w:val="Heading2"/>
      </w:pPr>
      <w:r>
        <w:t xml:space="preserve">6.4 한국 산업에의 시사점</w:t>
      </w:r>
    </w:p>
    <w:p>
      <w:pPr>
        <w:pStyle w:val="FirstParagraph"/>
      </w:pPr>
      <w:r>
        <w:t xml:space="preserve">관할권·기업 전략을 종합하면 [표 6-3]과 같은 국가별 전략 지형이 드러난다. 이는 §6.3의 교차 매핑을 국가 단위로 요약한 것이다.</w:t>
      </w:r>
    </w:p>
    <w:p>
      <w:pPr>
        <w:pStyle w:val="BodyText"/>
      </w:pPr>
      <w:r>
        <w:rPr>
          <w:b/>
          <w:bCs/>
        </w:rPr>
        <w:t xml:space="preserve">[표 6-3] 관할권별 전략 지형 종합</w:t>
      </w:r>
      <w:r>
        <w:t xml:space="preserve"> </w:t>
      </w:r>
      <w:r>
        <w:t xml:space="preserve">(자료①②)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관할권</w:t>
            </w:r>
          </w:p>
        </w:tc>
        <w:tc>
          <w:tcPr/>
          <w:p>
            <w:pPr>
              <w:pStyle w:val="Compact"/>
            </w:pPr>
            <w:r>
              <w:t xml:space="preserve">기술범위(미시)</w:t>
            </w:r>
          </w:p>
        </w:tc>
        <w:tc>
          <w:tcPr/>
          <w:p>
            <w:pPr>
              <w:pStyle w:val="Compact"/>
            </w:pPr>
            <w:r>
              <w:t xml:space="preserve">전략지향(미시)</w:t>
            </w:r>
          </w:p>
        </w:tc>
        <w:tc>
          <w:tcPr/>
          <w:p>
            <w:pPr>
              <w:pStyle w:val="Compact"/>
            </w:pPr>
            <w:r>
              <w:t xml:space="preserve">거시 전략·대표 주체</w:t>
            </w:r>
          </w:p>
        </w:tc>
      </w:tr>
      <w:tr>
        <w:tc>
          <w:tcPr/>
          <w:p>
            <w:pPr>
              <w:pStyle w:val="Compact"/>
            </w:pPr>
            <w:r>
              <w:t xml:space="preserve">미국(US)</w:t>
            </w:r>
          </w:p>
        </w:tc>
        <w:tc>
          <w:tcPr/>
          <w:p>
            <w:pPr>
              <w:pStyle w:val="Compact"/>
            </w:pPr>
            <w:r>
              <w:t xml:space="preserve">기준(넓은 편)</w:t>
            </w:r>
          </w:p>
        </w:tc>
        <w:tc>
          <w:tcPr/>
          <w:p>
            <w:pPr>
              <w:pStyle w:val="Compact"/>
            </w:pPr>
            <w:r>
              <w:t xml:space="preserve">균형</w:t>
            </w:r>
          </w:p>
        </w:tc>
        <w:tc>
          <w:tcPr/>
          <w:p>
            <w:pPr>
              <w:pStyle w:val="Compact"/>
            </w:pPr>
            <w:r>
              <w:t xml:space="preserve">원천 IP(Adeia 계열)·종합</w:t>
            </w:r>
          </w:p>
        </w:tc>
      </w:tr>
      <w:tr>
        <w:tc>
          <w:tcPr/>
          <w:p>
            <w:pPr>
              <w:pStyle w:val="Compact"/>
            </w:pPr>
            <w:r>
              <w:t xml:space="preserve">중국(CN)</w:t>
            </w:r>
          </w:p>
        </w:tc>
        <w:tc>
          <w:tcPr/>
          <w:p>
            <w:pPr>
              <w:pStyle w:val="Compact"/>
            </w:pPr>
            <w:r>
              <w:t xml:space="preserve">약 21% 좁음</w:t>
            </w:r>
          </w:p>
        </w:tc>
        <w:tc>
          <w:tcPr/>
          <w:p>
            <w:pPr>
              <w:pStyle w:val="Compact"/>
            </w:pPr>
            <w:r>
              <w:t xml:space="preserve">process-only 강함(RRR 2.69)</w:t>
            </w:r>
          </w:p>
        </w:tc>
        <w:tc>
          <w:tcPr/>
          <w:p>
            <w:pPr>
              <w:pStyle w:val="Compact"/>
            </w:pPr>
            <w:r>
              <w:t xml:space="preserve">추격·공정 내재화(YMTC X-Stacking)</w:t>
            </w:r>
          </w:p>
        </w:tc>
      </w:tr>
      <w:tr>
        <w:tc>
          <w:tcPr/>
          <w:p>
            <w:pPr>
              <w:pStyle w:val="Compact"/>
            </w:pPr>
            <w:r>
              <w:t xml:space="preserve">일본(JP)</w:t>
            </w:r>
          </w:p>
        </w:tc>
        <w:tc>
          <w:tcPr/>
          <w:p>
            <w:pPr>
              <w:pStyle w:val="Compact"/>
            </w:pPr>
            <w:r>
              <w:t xml:space="preserve">최광폭</w:t>
            </w:r>
          </w:p>
        </w:tc>
        <w:tc>
          <w:tcPr/>
          <w:p>
            <w:pPr>
              <w:pStyle w:val="Compact"/>
            </w:pPr>
            <w:r>
              <w:t xml:space="preserve">process-only 거의 없음(RRR 0.086)</w:t>
            </w:r>
          </w:p>
        </w:tc>
        <w:tc>
          <w:tcPr/>
          <w:p>
            <w:pPr>
              <w:pStyle w:val="Compact"/>
            </w:pPr>
            <w:r>
              <w:t xml:space="preserve">장비·소재 전 공정 포트폴리오(TEL 등)</w:t>
            </w:r>
          </w:p>
        </w:tc>
      </w:tr>
      <w:tr>
        <w:tc>
          <w:tcPr/>
          <w:p>
            <w:pPr>
              <w:pStyle w:val="Compact"/>
            </w:pPr>
            <w:r>
              <w:t xml:space="preserve">대만(TW)</w:t>
            </w:r>
          </w:p>
        </w:tc>
        <w:tc>
          <w:tcPr/>
          <w:p>
            <w:pPr>
              <w:pStyle w:val="Compact"/>
            </w:pPr>
            <w:r>
              <w:t xml:space="preserve">US와 무차별</w:t>
            </w:r>
          </w:p>
        </w:tc>
        <w:tc>
          <w:tcPr/>
          <w:p>
            <w:pPr>
              <w:pStyle w:val="Compact"/>
            </w:pPr>
            <w:r>
              <w:t xml:space="preserve">process-only 다소 높음</w:t>
            </w:r>
          </w:p>
        </w:tc>
        <w:tc>
          <w:tcPr/>
          <w:p>
            <w:pPr>
              <w:pStyle w:val="Compact"/>
            </w:pPr>
            <w:r>
              <w:t xml:space="preserve">파운드리 공정 특화(TSMC)</w:t>
            </w:r>
          </w:p>
        </w:tc>
      </w:tr>
      <w:tr>
        <w:tc>
          <w:tcPr/>
          <w:p>
            <w:pPr>
              <w:pStyle w:val="Compact"/>
            </w:pPr>
            <w:r>
              <w:t xml:space="preserve">한국(KR)</w:t>
            </w:r>
          </w:p>
        </w:tc>
        <w:tc>
          <w:tcPr/>
          <w:p>
            <w:pPr>
              <w:pStyle w:val="Compact"/>
            </w:pPr>
            <w:r>
              <w:t xml:space="preserve">US와 무차별</w:t>
            </w:r>
          </w:p>
        </w:tc>
        <w:tc>
          <w:tcPr/>
          <w:p>
            <w:pPr>
              <w:pStyle w:val="Compact"/>
            </w:pPr>
            <w:r>
              <w:t xml:space="preserve">균형</w:t>
            </w:r>
          </w:p>
        </w:tc>
        <w:tc>
          <w:tcPr/>
          <w:p>
            <w:pPr>
              <w:pStyle w:val="Compact"/>
            </w:pPr>
            <w:r>
              <w:t xml:space="preserve">메모리 제조(Samsung), 질적 고도화 과제</w:t>
            </w:r>
          </w:p>
        </w:tc>
      </w:tr>
    </w:tbl>
    <w:p>
      <w:pPr>
        <w:pStyle w:val="BodyText"/>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7"/>
    <w:bookmarkStart w:id="68"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bookmarkEnd w:id="68"/>
    <w:bookmarkStart w:id="69" w:name="선행연구와의-비교-및-정합성"/>
    <w:p>
      <w:pPr>
        <w:pStyle w:val="Heading2"/>
      </w:pPr>
      <w:r>
        <w:t xml:space="preserve">6.6 선행연구와의 비교 및 정합성</w:t>
      </w:r>
    </w:p>
    <w:p>
      <w:pPr>
        <w:pStyle w:val="FirstParagraph"/>
      </w:pPr>
      <w:r>
        <w:t xml:space="preserve">본 연구의 결과는 선행연구와 어떻게 연결되는가? 첫째,</w:t>
      </w:r>
      <w:r>
        <w:t xml:space="preserve"> </w:t>
      </w:r>
      <w:r>
        <w:rPr>
          <w:b/>
          <w:bCs/>
        </w:rPr>
        <w:t xml:space="preserve">융합·피인용 문헌과의 정합.</w:t>
      </w:r>
      <w:r>
        <w:t xml:space="preserve"> </w:t>
      </w:r>
      <w:r>
        <w:t xml:space="preserve">기술 융복합·시장 다변화가 특허 피인용에 긍정적이라는 김영준(2023)의 결론은, 본 연구에서 기술범위(breadth)가 넓을수록 integrated 전략(전·후공정 동시 청구)으로 귀결된다는 미시 결과와 같은 방향이다. 즉 ’넓은 특허일수록 융합적’이라는 명제가 본 사례에서 재확인된다. 둘째,</w:t>
      </w:r>
      <w:r>
        <w:t xml:space="preserve"> </w:t>
      </w:r>
      <w:r>
        <w:rPr>
          <w:b/>
          <w:bCs/>
        </w:rPr>
        <w:t xml:space="preserve">파운드리 경쟁 문헌과의 정합.</w:t>
      </w:r>
      <w:r>
        <w:t xml:space="preserve"> </w:t>
      </w:r>
      <w:r>
        <w:t xml:space="preserve">TSMC가 전공정 미세화와 첨단 패키징(CoWoS·SoIC)을 동시에 구축한다는 지일용(2025)의 관찰은, 본 연구의 거시(RTA상 TSMC의 다마신·CMP 집중)와 미시(일본 외 제조 강국의 integrated 경향)에서 일관되게 나타난다. 셋째,</w:t>
      </w:r>
      <w:r>
        <w:t xml:space="preserve"> </w:t>
      </w:r>
      <w:r>
        <w:rPr>
          <w:b/>
          <w:bCs/>
        </w:rPr>
        <w:t xml:space="preserve">기술수명·추격 문헌과의 정합.</w:t>
      </w:r>
      <w:r>
        <w:t xml:space="preserve"> </w:t>
      </w:r>
      <w:r>
        <w:t xml:space="preserve">후발자의 추격 가능성을 기술수명주기(TCT)로 분석한 이종호·오철(2022)의 시각은, YMTC의 빠른 인용 피크(2년)와 높은 과학연계성이 추격을 넘어선 자립 신호라는 본 연구의 해석과 부합한다.</w:t>
      </w:r>
    </w:p>
    <w:p>
      <w:pPr>
        <w:pStyle w:val="BodyText"/>
      </w:pPr>
      <w:r>
        <w:t xml:space="preserve">동시에 본 연구는 선행연구를</w:t>
      </w:r>
      <w:r>
        <w:t xml:space="preserve"> </w:t>
      </w:r>
      <w:r>
        <w:rPr>
          <w:b/>
          <w:bCs/>
        </w:rPr>
        <w:t xml:space="preserve">확장</w:t>
      </w:r>
      <w:r>
        <w:t xml:space="preserve">한다. Curran과 Leker(2011), Kwon 등(2020)의 융합 측정은 주로 산업·기술 간 경계를 다루었으나, 본 연구는 그 경계를</w:t>
      </w:r>
      <w:r>
        <w:t xml:space="preserve"> </w:t>
      </w:r>
      <w:r>
        <w:rPr>
          <w:b/>
          <w:bCs/>
        </w:rPr>
        <w:t xml:space="preserve">단일 기술 내부의 전·후공정 축</w:t>
      </w:r>
      <w:r>
        <w:t xml:space="preserve">으로 좁혀 측정 가능한 형태(has_process·tech_cat)로 조작화하였다. 또한 Hall과 Trajtenberg(2004)의 GPT 식별이 generality 등 인용 기반 지표에 의존한 데 비해, 본 연구는 응용 다변화와 기술범위 확대라는 보완적 징후를 제시하되 그 한계(generality 미산출)를 명시함으로써 과잉 일반화를 경계하였다. 요컨대 본 연구는 기존 거시·방법 문헌의 통찰을 하이브리드 본딩이라는 구체적 사례에서</w:t>
      </w:r>
      <w:r>
        <w:t xml:space="preserve"> </w:t>
      </w:r>
      <w:r>
        <w:rPr>
          <w:b/>
          <w:bCs/>
        </w:rPr>
        <w:t xml:space="preserve">거시-미시 양 층위로 교차 확인</w:t>
      </w:r>
      <w:r>
        <w:t xml:space="preserve">했다는 점에서 차별적 기여를 갖는다.</w:t>
      </w:r>
    </w:p>
    <w:p>
      <w:r>
        <w:pict>
          <v:rect style="width:0;height:1.5pt" o:hralign="center" o:hrstd="t" o:hr="t"/>
        </w:pict>
      </w:r>
    </w:p>
    <w:bookmarkEnd w:id="69"/>
    <w:bookmarkEnd w:id="70"/>
    <w:bookmarkStart w:id="75" w:name="제7장-결론"/>
    <w:p>
      <w:pPr>
        <w:pStyle w:val="Heading1"/>
      </w:pPr>
      <w:r>
        <w:t xml:space="preserve">제7장 결론</w:t>
      </w:r>
    </w:p>
    <w:bookmarkStart w:id="71"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연구질문별 결과는 다음과 같다.</w:t>
      </w:r>
      <w:r>
        <w:t xml:space="preserve"> </w:t>
      </w:r>
      <w:r>
        <w:rPr>
          <w:b/>
          <w:bCs/>
        </w:rPr>
        <w:t xml:space="preserve">(RQ1, 거시)</w:t>
      </w:r>
      <w:r>
        <w:t xml:space="preserve"> </w:t>
      </w:r>
      <w:r>
        <w:t xml:space="preserve">하이브리드 본딩 출원은 2021년 약 66% 급증하며 제품(HBM)을 선행하였고, 상위 10개 기업이 58.5%를 점유하는 가운데 Adeia 계열이 원천 특허 장벽(최고 CII·SLI·PFS)을 구축하였으며 TSMC(전공정 내재화)·YMTC(독자 X-Stacking)·Samsung·Intel(질적 열위) 등 전략이 분화되었다.</w:t>
      </w:r>
      <w:r>
        <w:t xml:space="preserve"> </w:t>
      </w:r>
      <w:r>
        <w:rPr>
          <w:b/>
          <w:bCs/>
        </w:rPr>
        <w:t xml:space="preserve">(RQ2, 미시)</w:t>
      </w:r>
      <w:r>
        <w:t xml:space="preserve"> </w:t>
      </w:r>
      <w:r>
        <w:t xml:space="preserve">기술범위는 시간에 따라 확대되고(연간 IRR≈1.014) 중국 출원청이 약 21% 좁은 반면 일본이 가장 넓었다(음이항).</w:t>
      </w:r>
      <w:r>
        <w:t xml:space="preserve"> </w:t>
      </w:r>
      <w:r>
        <w:rPr>
          <w:b/>
          <w:bCs/>
        </w:rPr>
        <w:t xml:space="preserve">(RQ3, 미시)</w:t>
      </w:r>
      <w:r>
        <w:t xml:space="preserve"> </w:t>
      </w:r>
      <w:r>
        <w:t xml:space="preserve">전공정 청구는 기술범위와 강하게 연동되며(OR 1.267) 시간에 따라 감소하고, process-only는 중국에서 높고(RRR 2.687) 일본에서 거의 없었다(RRR 0.086).</w:t>
      </w:r>
      <w:r>
        <w:t xml:space="preserve"> </w:t>
      </w:r>
      <w:r>
        <w:rPr>
          <w:b/>
          <w:bCs/>
        </w:rPr>
        <w:t xml:space="preserve">(RQ4, 통합)</w:t>
      </w:r>
      <w:r>
        <w:t xml:space="preserve"> </w:t>
      </w:r>
      <w:r>
        <w:t xml:space="preserve">거시 명제(전→후공정 가치 이동)와 미시 증거(후공정 특허의 전공정 침투)는 전/후공정 경계의 흐려짐이라는 하나의 융합 현상으로 수렴하며, 그 공통 동인은 전공정 역량(CMP·표면처리·정렬)의 본딩 공정 침투였다.</w:t>
      </w:r>
    </w:p>
    <w:bookmarkEnd w:id="71"/>
    <w:bookmarkStart w:id="72" w:name="이론적실무적-기여"/>
    <w:p>
      <w:pPr>
        <w:pStyle w:val="Heading2"/>
      </w:pPr>
      <w:r>
        <w:t xml:space="preserve">7.2 이론적·실무적 기여</w:t>
      </w:r>
    </w:p>
    <w:p>
      <w:pPr>
        <w:pStyle w:val="Compact"/>
        <w:numPr>
          <w:ilvl w:val="0"/>
          <w:numId w:val="1005"/>
        </w:numPr>
      </w:pPr>
      <w:r>
        <w:rPr>
          <w:b/>
          <w:bCs/>
        </w:rPr>
        <w:t xml:space="preserve">이론적 기여</w:t>
      </w:r>
      <w:r>
        <w:t xml:space="preserve"> </w:t>
      </w:r>
      <w:r>
        <w:t xml:space="preserve">— P–S–P 프레임에 기술융합 렌즈를 결합한 다층 분석틀을 제시하여, 단위공정의 진화가 구조·제품으로 확장되는 Bottom-up 메커니즘을 규명하였다. 특히 산업 간 융합이라는 거시 현상이 개별 특허의 청구범위·기술범위라는 미시 행위로 발현됨을 보여, 융합의 ’미시 기초’를 실증하였다. (2)</w:t>
      </w:r>
      <w:r>
        <w:t xml:space="preserve"> </w:t>
      </w:r>
      <w:r>
        <w:rPr>
          <w:b/>
          <w:bCs/>
        </w:rPr>
        <w:t xml:space="preserve">방법론적 기여</w:t>
      </w:r>
      <w:r>
        <w:t xml:space="preserve"> </w:t>
      </w:r>
      <w:r>
        <w:t xml:space="preserve">— 동일 데이터에 기술 스캐닝(서술·네트워크·지표)과 가설 검정(계량)을 결합한 혼합방법을 구현하고, 결과변수의 통계적 성격에 맞춘 모형 선택(카운트→음이항, 범주→다항 로짓)의 중요성을 진단을 통해 입증하였다. (3)</w:t>
      </w:r>
      <w:r>
        <w:t xml:space="preserve"> </w:t>
      </w:r>
      <w:r>
        <w:rPr>
          <w:b/>
          <w:bCs/>
        </w:rPr>
        <w:t xml:space="preserve">실증적 기여</w:t>
      </w:r>
      <w:r>
        <w:t xml:space="preserve"> </w:t>
      </w:r>
      <w:r>
        <w:t xml:space="preserve">— 신흥 핵심 공정인 하이브리드 본딩을 특허 계량의 대상으로 삼아, GPT적 징후를 생태계·특허 수준에서 동시에 규명하였다. (4)</w:t>
      </w:r>
      <w:r>
        <w:t xml:space="preserve"> </w:t>
      </w:r>
      <w:r>
        <w:rPr>
          <w:b/>
          <w:bCs/>
        </w:rPr>
        <w:t xml:space="preserve">정책·실무적 기여</w:t>
      </w:r>
      <w:r>
        <w:t xml:space="preserve"> </w:t>
      </w:r>
      <w:r>
        <w:t xml:space="preserve">— IP 원천형·제조 선도형·추격형·근접 경쟁형이라는 전략 유형화를 통해, 한국 반도체 산업이 메모리–파운드리–패키징을 아우르는 턴키 전략과 기초연구·소부장 연계로 질적 고도화를 추구해야 한다는 함의를 도출하였다.</w:t>
      </w:r>
    </w:p>
    <w:bookmarkEnd w:id="72"/>
    <w:bookmarkStart w:id="73" w:name="한계-및-향후-연구"/>
    <w:p>
      <w:pPr>
        <w:pStyle w:val="Heading2"/>
      </w:pPr>
      <w:r>
        <w:t xml:space="preserve">7.3 한계 및 향후 연구</w:t>
      </w:r>
    </w:p>
    <w:p>
      <w:pPr>
        <w:pStyle w:val="FirstParagraph"/>
      </w:pPr>
      <w:r>
        <w:t xml:space="preserve">본 연구는 다음의 한계를 가진다. 첫째,</w:t>
      </w:r>
      <w:r>
        <w:t xml:space="preserve"> </w:t>
      </w:r>
      <w:r>
        <w:rPr>
          <w:b/>
          <w:bCs/>
        </w:rPr>
        <w:t xml:space="preserve">측정의 한계</w:t>
      </w:r>
      <w:r>
        <w:t xml:space="preserve"> </w:t>
      </w:r>
      <w:r>
        <w:t xml:space="preserve">— 관할권 변수는 출원인 국적이 아니라 출원청이므로 출원청 간 차이에는 발명 기원과 보호 전략이 혼재하며, WO·EP는 국가가 아닌 출원 경로다. 둘째,</w:t>
      </w:r>
      <w:r>
        <w:t xml:space="preserve"> </w:t>
      </w:r>
      <w:r>
        <w:rPr>
          <w:b/>
          <w:bCs/>
        </w:rPr>
        <w:t xml:space="preserve">인과 식별의 한계</w:t>
      </w:r>
      <w:r>
        <w:t xml:space="preserve"> </w:t>
      </w:r>
      <w:r>
        <w:t xml:space="preserve">— 추정치는 연관(association)이며, 기술범위와 전략은 동시 결정될 수 있으나 자료 내 적절한 도구변수가 없어 인과 식별은 후속 과제로 남긴다. 셋째,</w:t>
      </w:r>
      <w:r>
        <w:t xml:space="preserve"> </w:t>
      </w:r>
      <w:r>
        <w:rPr>
          <w:b/>
          <w:bCs/>
        </w:rPr>
        <w:t xml:space="preserve">통제의 한계</w:t>
      </w:r>
      <w:r>
        <w:t xml:space="preserve"> </w:t>
      </w:r>
      <w:r>
        <w:t xml:space="preserve">— 출원인 식별자 부재로 기업 고정효과를 통제하지 못해, 관할권 효과에 기업 구성 효과가 일부 섞일 수 있다. 넷째,</w:t>
      </w:r>
      <w:r>
        <w:t xml:space="preserve"> </w:t>
      </w:r>
      <w:r>
        <w:rPr>
          <w:b/>
          <w:bCs/>
        </w:rPr>
        <w:t xml:space="preserve">재현성의 한계</w:t>
      </w:r>
      <w:r>
        <w:t xml:space="preserve"> </w:t>
      </w:r>
      <w:r>
        <w:t xml:space="preserve">— 본 논문은 저자의 선행 분석 결과를 통합·재해석한 것으로 수치의 독립적 재계산(데이터 재추출·모형 재추정)은 수행하지 않았으므로, 동일 PATSTAT 스냅숏과 분석 코드를 공개하여 재현성을 확보하는 작업이 필요하다. 다섯째,</w:t>
      </w:r>
      <w:r>
        <w:t xml:space="preserve"> </w:t>
      </w:r>
      <w:r>
        <w:rPr>
          <w:b/>
          <w:bCs/>
        </w:rPr>
        <w:t xml:space="preserve">프레임의 한계</w:t>
      </w:r>
      <w:r>
        <w:t xml:space="preserve"> </w:t>
      </w:r>
      <w:r>
        <w:t xml:space="preserve">— P–S–P에서 공정–구조 연결의 규명이 미흡하였다(자료②).</w:t>
      </w:r>
    </w:p>
    <w:p>
      <w:pPr>
        <w:pStyle w:val="BodyText"/>
      </w:pPr>
      <w:r>
        <w:t xml:space="preserve">향후 연구 방향은 다음과 같다. (a) 플라즈마 다이싱·초정밀 CMP 슬러리·본딩 장비 등</w:t>
      </w:r>
      <w:r>
        <w:t xml:space="preserve"> </w:t>
      </w:r>
      <w:r>
        <w:rPr>
          <w:b/>
          <w:bCs/>
        </w:rPr>
        <w:t xml:space="preserve">세부 장비·소재 기술</w:t>
      </w:r>
      <w:r>
        <w:t xml:space="preserve">의 특허 분석으로 공정–구조 연결을 보강하고, (b) 실리콘 포토닉스(CPO)·MicroLED·전력반도체(SiC/GaN) 등</w:t>
      </w:r>
      <w:r>
        <w:t xml:space="preserve"> </w:t>
      </w:r>
      <w:r>
        <w:rPr>
          <w:b/>
          <w:bCs/>
        </w:rPr>
        <w:t xml:space="preserve">파생 응용</w:t>
      </w:r>
      <w:r>
        <w:t xml:space="preserve">별 기술 요구와 특허 동향을 비교하여 GPT적 파급을 정량화하며, (c) 인용 대신</w:t>
      </w:r>
      <w:r>
        <w:t xml:space="preserve"> </w:t>
      </w:r>
      <w:r>
        <w:rPr>
          <w:b/>
          <w:bCs/>
        </w:rPr>
        <w:t xml:space="preserve">텍스트마이닝 기반 특허 네트워크</w:t>
      </w:r>
      <w:r>
        <w:t xml:space="preserve">(Yoon &amp; Park, 2004)로 공정–구조–제품 연결을 정교화하고, (d) generality 지수의 직접 산출로 GPT 가설을</w:t>
      </w:r>
      <w:r>
        <w:t xml:space="preserve"> </w:t>
      </w:r>
      <w:r>
        <w:rPr>
          <w:b/>
          <w:bCs/>
        </w:rPr>
        <w:t xml:space="preserve">엄밀히 검정</w:t>
      </w:r>
      <w:r>
        <w:t xml:space="preserve">하며, (e) 출원인 패널을 구축해</w:t>
      </w:r>
      <w:r>
        <w:t xml:space="preserve"> </w:t>
      </w:r>
      <w:r>
        <w:rPr>
          <w:b/>
          <w:bCs/>
        </w:rPr>
        <w:t xml:space="preserve">기업 고정효과·인과 식별</w:t>
      </w:r>
      <w:r>
        <w:t xml:space="preserve">을 시도할 수 있다.</w:t>
      </w:r>
    </w:p>
    <w:bookmarkEnd w:id="73"/>
    <w:bookmarkStart w:id="74" w:name="맺음말"/>
    <w:p>
      <w:pPr>
        <w:pStyle w:val="Heading2"/>
      </w:pPr>
      <w:r>
        <w:t xml:space="preserve">7.4 맺음말</w:t>
      </w:r>
    </w:p>
    <w:p>
      <w:pPr>
        <w:pStyle w:val="FirstParagraph"/>
      </w:pPr>
      <w:r>
        <w:t xml:space="preserve">하이브리드 본딩은 단순한 후공정 패키징 기술이 아니라, 전공정 역량과의 융합을 통해 완성되는 복합 기술이자 차세대 반도체의 공통 기반이다. 본 연구는 특허라는 정량적 증거를 거시·미시 두 층위에서 교차 확인함으로써, 산업계의 통념이던 ’전·후공정 경계의 흐려짐’을 데이터로 뒷받침하였다. 기술 패권 경쟁이 심화되는 국면에서, 원천성과 과학연계성을 갖춘 특허 포트폴리오의 구축과 메모리–파운드리–패키징의 통합 역량 확보는 한국 반도체 산업의 지속 가능한 경쟁 우위를 위한 핵심 과제가 될 것이다.</w:t>
      </w:r>
    </w:p>
    <w:p>
      <w:r>
        <w:pict>
          <v:rect style="width:0;height:1.5pt" o:hralign="center" o:hrstd="t" o:hr="t"/>
        </w:pict>
      </w:r>
    </w:p>
    <w:bookmarkEnd w:id="74"/>
    <w:bookmarkEnd w:id="75"/>
    <w:bookmarkStart w:id="78"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76" w:name="국문"/>
    <w:p>
      <w:pPr>
        <w:pStyle w:val="Heading2"/>
      </w:pPr>
      <w:r>
        <w:t xml:space="preserve">국문</w:t>
      </w:r>
    </w:p>
    <w:p>
      <w:pPr>
        <w:pStyle w:val="Compact"/>
        <w:numPr>
          <w:ilvl w:val="0"/>
          <w:numId w:val="1006"/>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6"/>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6"/>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6"/>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6"/>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6"/>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6"/>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6"/>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6"/>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6"/>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6"/>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6"/>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6"/>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76"/>
    <w:bookmarkStart w:id="77" w:name="영문"/>
    <w:p>
      <w:pPr>
        <w:pStyle w:val="Heading2"/>
      </w:pPr>
      <w:r>
        <w:t xml:space="preserve">영문</w:t>
      </w:r>
    </w:p>
    <w:p>
      <w:pPr>
        <w:pStyle w:val="Compact"/>
        <w:numPr>
          <w:ilvl w:val="0"/>
          <w:numId w:val="1007"/>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7"/>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7"/>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7"/>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7"/>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7"/>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7"/>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7"/>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7"/>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7"/>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7"/>
    <w:bookmarkEnd w:id="78"/>
    <w:bookmarkStart w:id="79" w:name="부록-a.-변수-기술통계-및-cpc-정의"/>
    <w:p>
      <w:pPr>
        <w:pStyle w:val="Heading1"/>
      </w:pPr>
      <w:r>
        <w:t xml:space="preserve">부록 A. 변수 기술통계 및 CPC 정의</w:t>
      </w:r>
    </w:p>
    <w:p>
      <w:pPr>
        <w:pStyle w:val="FirstParagraph"/>
      </w:pPr>
      <w:r>
        <w:rPr>
          <w:b/>
          <w:bCs/>
        </w:rPr>
        <w:t xml:space="preserve">[표 A-1] 미시 분석 변수 기술통계</w:t>
      </w:r>
      <w:r>
        <w:t xml:space="preserve"> </w:t>
      </w:r>
      <w:r>
        <w:t xml:space="preserve">(N=928, 자료①)</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통계</w:t>
            </w:r>
          </w:p>
        </w:tc>
      </w:tr>
      <w:tr>
        <w:tc>
          <w:tcPr/>
          <w:p>
            <w:pPr>
              <w:pStyle w:val="Compact"/>
            </w:pPr>
            <w:r>
              <w:t xml:space="preserve">breadth(기술범위)</w:t>
            </w:r>
          </w:p>
        </w:tc>
        <w:tc>
          <w:tcPr/>
          <w:p>
            <w:pPr>
              <w:pStyle w:val="Compact"/>
            </w:pPr>
            <w:r>
              <w:t xml:space="preserve">평균 5.69, 표준편차 4.07, 범위 1–21</w:t>
            </w:r>
          </w:p>
        </w:tc>
      </w:tr>
      <w:tr>
        <w:tc>
          <w:tcPr/>
          <w:p>
            <w:pPr>
              <w:pStyle w:val="Compact"/>
            </w:pPr>
            <w:r>
              <w:t xml:space="preserve">has_process(전공정 청구)</w:t>
            </w:r>
          </w:p>
        </w:tc>
        <w:tc>
          <w:tcPr/>
          <w:p>
            <w:pPr>
              <w:pStyle w:val="Compact"/>
            </w:pPr>
            <w:r>
              <w:t xml:space="preserve">1(있음) 590건(63.6%), 0(없음) 338건(36.4%)</w:t>
            </w:r>
          </w:p>
        </w:tc>
      </w:tr>
      <w:tr>
        <w:tc>
          <w:tcPr/>
          <w:p>
            <w:pPr>
              <w:pStyle w:val="Compact"/>
            </w:pPr>
            <w:r>
              <w:t xml:space="preserve">tech_cat(전략유형)</w:t>
            </w:r>
          </w:p>
        </w:tc>
        <w:tc>
          <w:tcPr/>
          <w:p>
            <w:pPr>
              <w:pStyle w:val="Compact"/>
            </w:pPr>
            <w:r>
              <w:t xml:space="preserve">assembly-only 338, integrated 425, process-only 165</w:t>
            </w:r>
          </w:p>
        </w:tc>
      </w:tr>
      <w:tr>
        <w:tc>
          <w:tcPr/>
          <w:p>
            <w:pPr>
              <w:pStyle w:val="Compact"/>
            </w:pPr>
            <w:r>
              <w:t xml:space="preserve">출원연도</w:t>
            </w:r>
          </w:p>
        </w:tc>
        <w:tc>
          <w:tcPr/>
          <w:p>
            <w:pPr>
              <w:pStyle w:val="Compact"/>
            </w:pPr>
            <w:r>
              <w:t xml:space="preserve">1968–2024(표본 출원 기준)</w:t>
            </w:r>
          </w:p>
        </w:tc>
      </w:tr>
      <w:tr>
        <w:tc>
          <w:tcPr/>
          <w:p>
            <w:pPr>
              <w:pStyle w:val="Compact"/>
            </w:pPr>
            <w:r>
              <w:t xml:space="preserve">출원청(ccode)</w:t>
            </w:r>
          </w:p>
        </w:tc>
        <w:tc>
          <w:tcPr/>
          <w:p>
            <w:pPr>
              <w:pStyle w:val="Compact"/>
            </w:pPr>
            <w:r>
              <w:t xml:space="preserve">US 382 · CN 175 · WO 113 · EP 83 · TW 75 · KR 58 · JP 26 · 기타 16</w:t>
            </w:r>
          </w:p>
        </w:tc>
      </w:tr>
    </w:tbl>
    <w:p>
      <w:pPr>
        <w:pStyle w:val="BodyText"/>
      </w:pPr>
      <w:r>
        <w:rPr>
          <w:b/>
          <w:bCs/>
        </w:rPr>
        <w:t xml:space="preserve">[표 A-2] 주요 CPC 코드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정의</w:t>
            </w:r>
          </w:p>
        </w:tc>
        <w:tc>
          <w:tcPr/>
          <w:p>
            <w:pPr>
              <w:pStyle w:val="Compact"/>
            </w:pPr>
            <w:r>
              <w:t xml:space="preserve">본 연구에서의 위치</w:t>
            </w:r>
          </w:p>
        </w:tc>
      </w:tr>
      <w:tr>
        <w:tc>
          <w:tcPr/>
          <w:p>
            <w:pPr>
              <w:pStyle w:val="Compact"/>
            </w:pPr>
            <w:r>
              <w:t xml:space="preserve">H01L21</w:t>
            </w:r>
          </w:p>
        </w:tc>
        <w:tc>
          <w:tcPr/>
          <w:p>
            <w:pPr>
              <w:pStyle w:val="Compact"/>
            </w:pPr>
            <w:r>
              <w:t xml:space="preserve">반도체 장치의 제조 또는 처리</w:t>
            </w:r>
          </w:p>
        </w:tc>
        <w:tc>
          <w:tcPr/>
          <w:p>
            <w:pPr>
              <w:pStyle w:val="Compact"/>
            </w:pPr>
            <w:r>
              <w:t xml:space="preserve">전공정(미시 축)</w:t>
            </w:r>
          </w:p>
        </w:tc>
      </w:tr>
      <w:tr>
        <w:tc>
          <w:tcPr/>
          <w:p>
            <w:pPr>
              <w:pStyle w:val="Compact"/>
            </w:pPr>
            <w:r>
              <w:t xml:space="preserve">H01L24</w:t>
            </w:r>
          </w:p>
        </w:tc>
        <w:tc>
          <w:tcPr/>
          <w:p>
            <w:pPr>
              <w:pStyle w:val="Compact"/>
            </w:pPr>
            <w:r>
              <w:t xml:space="preserve">(부품의) 본딩·인터커넥트</w:t>
            </w:r>
          </w:p>
        </w:tc>
        <w:tc>
          <w:tcPr/>
          <w:p>
            <w:pPr>
              <w:pStyle w:val="Compact"/>
            </w:pPr>
            <w:r>
              <w:t xml:space="preserve">후공정·접합(미시 축)</w:t>
            </w:r>
          </w:p>
        </w:tc>
      </w:tr>
      <w:tr>
        <w:tc>
          <w:tcPr/>
          <w:p>
            <w:pPr>
              <w:pStyle w:val="Compact"/>
            </w:pPr>
            <w:r>
              <w:t xml:space="preserve">H01L23</w:t>
            </w:r>
          </w:p>
        </w:tc>
        <w:tc>
          <w:tcPr/>
          <w:p>
            <w:pPr>
              <w:pStyle w:val="Compact"/>
            </w:pPr>
            <w:r>
              <w:t xml:space="preserve">반도체 장치의 세부 구조</w:t>
            </w:r>
          </w:p>
        </w:tc>
        <w:tc>
          <w:tcPr/>
          <w:p>
            <w:pPr>
              <w:pStyle w:val="Compact"/>
            </w:pPr>
            <w:r>
              <w:t xml:space="preserve">구조(거시)</w:t>
            </w:r>
          </w:p>
        </w:tc>
      </w:tr>
      <w:tr>
        <w:tc>
          <w:tcPr/>
          <w:p>
            <w:pPr>
              <w:pStyle w:val="Compact"/>
            </w:pPr>
            <w:r>
              <w:t xml:space="preserve">H01L25</w:t>
            </w:r>
          </w:p>
        </w:tc>
        <w:tc>
          <w:tcPr/>
          <w:p>
            <w:pPr>
              <w:pStyle w:val="Compact"/>
            </w:pPr>
            <w:r>
              <w:t xml:space="preserve">칩/소자의 집적·어셈블리</w:t>
            </w:r>
          </w:p>
        </w:tc>
        <w:tc>
          <w:tcPr/>
          <w:p>
            <w:pPr>
              <w:pStyle w:val="Compact"/>
            </w:pPr>
            <w:r>
              <w:t xml:space="preserve">구조(거시); 예 H01L25/50 적층</w:t>
            </w:r>
          </w:p>
        </w:tc>
      </w:tr>
      <w:tr>
        <w:tc>
          <w:tcPr/>
          <w:p>
            <w:pPr>
              <w:pStyle w:val="Compact"/>
            </w:pPr>
            <w:r>
              <w:t xml:space="preserve">H01L2224/08145</w:t>
            </w:r>
          </w:p>
        </w:tc>
        <w:tc>
          <w:tcPr/>
          <w:p>
            <w:pPr>
              <w:pStyle w:val="Compact"/>
            </w:pPr>
            <w:r>
              <w:t xml:space="preserve">금속–금속 및 유전체–유전체 접합의 조합을 포괄하는 직접 접합</w:t>
            </w:r>
          </w:p>
        </w:tc>
        <w:tc>
          <w:tcPr/>
          <w:p>
            <w:pPr>
              <w:pStyle w:val="Compact"/>
            </w:pPr>
            <w:r>
              <w:t xml:space="preserve">하이브리드 본딩 정체성 코드</w:t>
            </w:r>
          </w:p>
        </w:tc>
      </w:tr>
      <w:tr>
        <w:tc>
          <w:tcPr/>
          <w:p>
            <w:pPr>
              <w:pStyle w:val="Compact"/>
            </w:pPr>
            <w:r>
              <w:t xml:space="preserve">H01L27·G11C·G06F</w:t>
            </w:r>
          </w:p>
        </w:tc>
        <w:tc>
          <w:tcPr/>
          <w:p>
            <w:pPr>
              <w:pStyle w:val="Compact"/>
            </w:pPr>
            <w:r>
              <w:t xml:space="preserve">복합 소자·메모리·디지털 데이터 처리</w:t>
            </w:r>
          </w:p>
        </w:tc>
        <w:tc>
          <w:tcPr/>
          <w:p>
            <w:pPr>
              <w:pStyle w:val="Compact"/>
            </w:pPr>
            <w:r>
              <w:t xml:space="preserve">제품(거시)</w:t>
            </w:r>
          </w:p>
        </w:tc>
      </w:tr>
    </w:tbl>
    <w:p>
      <w:r>
        <w:pict>
          <v:rect style="width:0;height:1.5pt" o:hralign="center" o:hrstd="t" o:hr="t"/>
        </w:pict>
      </w:r>
    </w:p>
    <w:bookmarkEnd w:id="79"/>
    <w:bookmarkStart w:id="80" w:name="부록-b.-표그림-목록"/>
    <w:p>
      <w:pPr>
        <w:pStyle w:val="Heading1"/>
      </w:pPr>
      <w:r>
        <w:t xml:space="preserve">부록 B.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8"/>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8"/>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8"/>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8"/>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hyperlink" Id="rId37"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7"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2026-06-24T02:04:21Z</dcterms:created>
  <dcterms:modified xsi:type="dcterms:W3CDTF">2026-06-24T02:04:21Z</dcterms:modified>
</cp:coreProperties>
</file>

<file path=docProps/custom.xml><?xml version="1.0" encoding="utf-8"?>
<Properties xmlns="http://schemas.openxmlformats.org/officeDocument/2006/custom-properties" xmlns:vt="http://schemas.openxmlformats.org/officeDocument/2006/docPropsVTypes"/>
</file>