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32.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접합·인터커넥트(H01L24)로 분류된 출원이 제조공정 기술(H01L21)도 함께 청구하는가를 본다. 출원의 거의 3분의 2가 그러하다. 이항·다항 로짓 추정 결과, 기술범위가 경계 넘기의 가장 강한 상관요인이며(CPC 서브클래스 1개당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whether an application classified under bonding and interconnect (H01L24) also claims fabrication-process technology (H01L21). Nearly two-thirds of applications do so. Binary and multinomial logit estimates show that technological scope is the strongest correlate of boundary spanning (odds ratio 1.27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주목되는 이유는 그 성패가 나노미터급 화학적 기계연마, 표면 활성화, 서브미크론 정렬 등 전통적으로 전공정에 속해 온 역량에 달려 있다는 점에 있다.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흐려짐이 개별 발명 수준에서 관찰·측정·설명될 수 있는지를 묻는다. 이를 위해 기술융합, 즉 이전에는 구분되던 기술적·산업적 영역이 중첩되고 재결합하는 과정에 관한 문헌(Rosenberg, 1963; Kodama, 1992; Curran and Leker, 2011; Sick and Bröring, 2022)을 토대로 하되, 그동안 거의 주목받지 못한 방향으로 논의를 확장한다. 융합에 관한 실증 연구의 대부분은 정보통신기술과 가전(Gambardella and Torrisi, 1998; Hacklin et al., 2009), 식품과 제약(Bröring et al., 2006; Curran et al., 2010), 나노기술과 바이오기술(No and Park, 2010)처럼</w:t>
      </w:r>
      <w:r>
        <w:t xml:space="preserve"> </w:t>
      </w:r>
      <w:r>
        <w:rPr>
          <w:i/>
          <w:iCs/>
        </w:rPr>
        <w:t xml:space="preserve">서로 다른 산업</w:t>
      </w:r>
      <w:r>
        <w:t xml:space="preserve"> </w:t>
      </w:r>
      <w:r>
        <w:t xml:space="preserve">이 만나는 경우를 다루어 왔다. 반면 한 산업</w:t>
      </w:r>
      <w:r>
        <w:t xml:space="preserve"> </w:t>
      </w:r>
      <w:r>
        <w:rPr>
          <w:i/>
          <w:iCs/>
        </w:rPr>
        <w:t xml:space="preserve">내부</w:t>
      </w:r>
      <w:r>
        <w:t xml:space="preserve"> </w:t>
      </w:r>
      <w:r>
        <w:t xml:space="preserve">에서 그 산업의 가치사슬 단계를 가로지르는 융합은 같은 분석 도구로 검토된 바 없다. 그러나 누가 무엇을 하고 누가 가치를 획득하는가라는 산업 아키텍처를 재편하는 것은 바로 이러한 종류의 융합이다(Jacobides et al., 2006).</w:t>
      </w:r>
    </w:p>
    <w:p>
      <w:pPr>
        <w:pStyle w:val="BodyText"/>
      </w:pPr>
      <w:r>
        <w:t xml:space="preserve">본 연구는 하이브리드 본딩을 이러한 검토에 적합한 사례로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H01L24)로 분류되면서 동시에 제조공정 기술(CPC H01L21)을 청구하는 특허로 정의한다.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출원의 63.6%가 적어도 하나의 전공정 기호를 보유하며, 최빈 전략은 두 단계를 결합한</w:t>
      </w:r>
      <w:r>
        <w:t xml:space="preserve"> </w:t>
      </w:r>
      <w:r>
        <w:rPr>
          <w:i/>
          <w:iCs/>
        </w:rPr>
        <w:t xml:space="preserve">통합형(integrated)</w:t>
      </w:r>
      <w:r>
        <w:t xml:space="preserve"> </w:t>
      </w:r>
      <w:r>
        <w:t xml:space="preserve">청구다. 둘째, 기술범위가 가장 강력한 상관요인이다. 특허가 걸치는 CPC 서브클래스가 하나 늘 때마다 제조공정 기술을 청구할 승산이 약 27% 높아지고, 다항 명세는 넓은 특허가 통합형으로, 좁은 특허가 특화형으로 이동함을 보인다. 시간이 갈수록</w:t>
      </w:r>
      <w:r>
        <w:t xml:space="preserve"> </w:t>
      </w:r>
      <w:r>
        <w:rPr>
          <w:i/>
          <w:iCs/>
        </w:rPr>
        <w:t xml:space="preserve">순수</w:t>
      </w:r>
      <w:r>
        <w:t xml:space="preserve"> </w:t>
      </w:r>
      <w:r>
        <w:t xml:space="preserve">전공정 청구의 비중은 줄었으나 통합형 청구는 조립 수준 청구 대비 비중을 유지하였다. 즉 융합은 경계를 넘는 청구의 단순 증가가 아니라 재구성(recomposition)의 형태로 진행되었다. 셋째, 출원청 효과가 산업 아키텍처 및 추격 양상과 부합하는 방식으로 나타난다.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w:t>
      </w:r>
      <w:r>
        <w:t xml:space="preserve"> </w:t>
      </w:r>
      <w:r>
        <w:rPr>
          <w:i/>
          <w:iCs/>
        </w:rPr>
        <w:t xml:space="preserve">기술융합(technology fusion)</w:t>
      </w:r>
      <w:r>
        <w:t xml:space="preserve"> </w:t>
      </w:r>
      <w:r>
        <w:t xml:space="preserve">으로 개념화하고, 이것이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w:t>
      </w:r>
      <w:r>
        <w:t xml:space="preserve"> </w:t>
      </w:r>
      <w:r>
        <w:rPr>
          <w:i/>
          <w:iCs/>
        </w:rPr>
        <w:t xml:space="preserve">서로 다른</w:t>
      </w:r>
      <w:r>
        <w:t xml:space="preserve"> </w:t>
      </w:r>
      <w:r>
        <w:t xml:space="preserve">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공동인용 또는 의미적 유사성을 집계한 지표로 측정된다(Curran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단계 간 기술적 상호의존이 높을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w:t>
      </w:r>
      <w:r>
        <w:t xml:space="preserve"> </w:t>
      </w:r>
      <w:r>
        <w:rPr>
          <w:i/>
          <w:iCs/>
        </w:rPr>
        <w:t xml:space="preserve">안정적 인터페이스</w:t>
      </w:r>
      <w:r>
        <w:t xml:space="preserve"> </w:t>
      </w:r>
      <w:r>
        <w:t xml:space="preserve">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제시되지 않았다.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후공정 접합 클래스(H01L24)로 분류된 발명이 전공정 제조 기호(H01L21)도 보유하는지를 각 특허의 이항 속성으로 정의하고, 이러한 특허를</w:t>
      </w:r>
      <w:r>
        <w:t xml:space="preserve"> </w:t>
      </w:r>
      <w:r>
        <w:rPr>
          <w:i/>
          <w:iCs/>
        </w:rPr>
        <w:t xml:space="preserve">경계를 넘는 특허</w:t>
      </w:r>
      <w:r>
        <w:t xml:space="preserve"> </w:t>
      </w:r>
      <w:r>
        <w:t xml:space="preserve">라 부른다. 이 속성은 발명 수준의 융합으로 직접 해석되고, 표준 이산선택 추정량으로 모형화할 수 있으며, 분야 수준 지수가 평균해 버리는 특허 간 이질성을 보존한다.</w:t>
      </w:r>
    </w:p>
    <w:p>
      <w:pPr>
        <w:pStyle w:val="BodyText"/>
      </w:pPr>
      <w:r>
        <w:t xml:space="preserve">설명변수의 선정에는 두 갈래의 특허 연구가 근거를 제공한다. 첫째는</w:t>
      </w:r>
      <w:r>
        <w:t xml:space="preserve"> </w:t>
      </w:r>
      <w:r>
        <w:rPr>
          <w:i/>
          <w:iCs/>
        </w:rPr>
        <w:t xml:space="preserve">특허 범위(patent scope)</w:t>
      </w:r>
      <w:r>
        <w:t xml:space="preserve"> </w:t>
      </w:r>
      <w:r>
        <w:t xml:space="preserve">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특허 행태의</w:t>
      </w:r>
      <w:r>
        <w:t xml:space="preserve"> </w:t>
      </w:r>
      <w:r>
        <w:rPr>
          <w:i/>
          <w:iCs/>
        </w:rPr>
        <w:t xml:space="preserve">관할권 차이</w:t>
      </w:r>
      <w:r>
        <w:t xml:space="preserve"> </w:t>
      </w:r>
      <w:r>
        <w:t xml:space="preserve">에 관한 연구다. 서로 다른 특허청에 대한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이론은 후발자가 시스템 전체를 청구하기에 앞서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그중에 전공정 클래스를 포함할 가능성이 더 높아야 한다. 이 메커니즘은 클래스가 많을수록 그중 하나가 H01L21일 가능성이 커진다는 점에서 부분적으로 기계적이지만, 동시에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기술에 더하여 제조공정(H01L21) 기술을 청구할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집중하여 범위가 더 좁고 공정 단독형이 더 많을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 즉 서브나노미터 거칠기로의 화학적 기계연마, 플라즈마 또는 화학적 표면 활성화, 파티클 제어, 서브미크론 정렬은 CPC 분류상 전공정 역량이다. 이들은 접합·인터커넥트 클래스인 H01L24가 아니라 반도체 장치 제조를 위한 공정·장치 클래스인 H01L21에 속한다(제4.1절, 표 1).</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체계적인 흔적을 남기는가가 이하에서 다루는 질문이다.</w:t>
      </w:r>
    </w:p>
    <w:bookmarkEnd w:id="17"/>
    <w:bookmarkStart w:id="27" w:name="데이터와-방법"/>
    <w:p>
      <w:pPr>
        <w:pStyle w:val="Heading2"/>
      </w:pPr>
      <w:r>
        <w:t xml:space="preserve">4. 데이터와 방법</w:t>
      </w:r>
    </w:p>
    <w:bookmarkStart w:id="21"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그림 1). 추출 결과는 출원–CPC 레코드 5,277건이며 각 레코드는 하나의 출원과 하나의 CPC 기호의 쌍이다.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전/후공정 경계를 정의하는 CPC 클래스.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명칭(요약)</w:t>
            </w:r>
          </w:p>
        </w:tc>
        <w:tc>
          <w:tcPr/>
          <w:p>
            <w:pPr>
              <w:pStyle w:val="Compact"/>
            </w:pPr>
            <w:r>
              <w:t xml:space="preserve">대표 기술</w:t>
            </w:r>
          </w:p>
        </w:tc>
      </w:tr>
      <w:tr>
        <w:tc>
          <w:tcPr/>
          <w:p>
            <w:pPr>
              <w:pStyle w:val="Compact"/>
            </w:pPr>
            <w:r>
              <w:t xml:space="preserve">H01L21</w:t>
            </w:r>
          </w:p>
        </w:tc>
        <w:tc>
          <w:tcPr/>
          <w:p>
            <w:pPr>
              <w:pStyle w:val="Compact"/>
            </w:pPr>
            <w:r>
              <w:t xml:space="preserve">반도체 장치의 제조 또는 처리에 특별히 적합한 공정 또는 장치</w:t>
            </w:r>
          </w:p>
        </w:tc>
        <w:tc>
          <w:tcPr/>
          <w:p>
            <w:pPr>
              <w:pStyle w:val="Compact"/>
            </w:pPr>
            <w:r>
              <w:t xml:space="preserve">리소그래피, 식각, 증착, 이온주입, 화학적 기계연마, 웨이퍼 세정·가공(전공정 및 후공정 제조공정)</w:t>
            </w:r>
          </w:p>
        </w:tc>
      </w:tr>
      <w:tr>
        <w:tc>
          <w:tcPr/>
          <w:p>
            <w:pPr>
              <w:pStyle w:val="Compact"/>
            </w:pPr>
            <w:r>
              <w:t xml:space="preserve">H01L24</w:t>
            </w:r>
          </w:p>
        </w:tc>
        <w:tc>
          <w:tcPr/>
          <w:p>
            <w:pPr>
              <w:pStyle w:val="Compact"/>
            </w:pPr>
            <w:r>
              <w:t xml:space="preserve">반도체 바디의 연결 또는 분리를 위한 배치; 관련 방법 또는 장치</w:t>
            </w:r>
          </w:p>
        </w:tc>
        <w:tc>
          <w:tcPr/>
          <w:p>
            <w:pPr>
              <w:pStyle w:val="Compact"/>
            </w:pPr>
            <w:r>
              <w:t xml:space="preserve">와이어 본딩, 플립칩 본딩, 실리콘 관통 전극, 하이브리드 본딩, 솔더 범프/볼 형성, 재배선(패키징 인터커넥션)</w:t>
            </w:r>
          </w:p>
        </w:tc>
      </w:tr>
      <w:tr>
        <w:tc>
          <w:tcPr/>
          <w:p>
            <w:pPr>
              <w:pStyle w:val="Compact"/>
            </w:pPr>
            <w:r>
              <w:t xml:space="preserve">H01L2224</w:t>
            </w:r>
          </w:p>
        </w:tc>
        <w:tc>
          <w:tcPr/>
          <w:p>
            <w:pPr>
              <w:pStyle w:val="Compact"/>
            </w:pPr>
            <w:r>
              <w:t xml:space="preserve">반도체 바디의 연결·분리 배치에 대한 인덱싱 스킴</w:t>
            </w:r>
          </w:p>
        </w:tc>
        <w:tc>
          <w:tcPr/>
          <w:p>
            <w:pPr>
              <w:pStyle w:val="Compact"/>
            </w:pPr>
            <w:r>
              <w:t xml:space="preserve">접합 금속, 접합 형태, 장비(예: H01L2224/08145: 금속–금속 및 유전체–유전체 접합을 결합한 직접 접합)</w:t>
            </w:r>
          </w:p>
        </w:tc>
      </w:tr>
    </w:tbl>
    <w:p>
      <w:pPr>
        <w:pStyle w:val="BodyText"/>
      </w:pPr>
      <w:r>
        <w:t xml:space="preserve">검색은 두 단계로 이루어졌다. (1) H01L21과 H01L24 및 그 인덱싱 코드에 대한 CPC 1차 필터; (2)</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를 결합한 키워드 2차 필터(그림 1).</w:t>
      </w:r>
    </w:p>
    <w:p>
      <w:pPr>
        <w:pStyle w:val="BodyText"/>
      </w:pPr>
      <w:r>
        <w:drawing>
          <wp:inline>
            <wp:extent cx="5334000" cy="1453042"/>
            <wp:effectExtent b="0" l="0" r="0" t="0"/>
            <wp:docPr descr="" title="" id="19" name="Picture"/>
            <a:graphic>
              <a:graphicData uri="http://schemas.openxmlformats.org/drawingml/2006/picture">
                <pic:pic>
                  <pic:nvPicPr>
                    <pic:cNvPr descr="figures/figA1_search_strategy.png" id="20" name="Picture"/>
                    <pic:cNvPicPr>
                      <a:picLocks noChangeArrowheads="1" noChangeAspect="1"/>
                    </pic:cNvPicPr>
                  </pic:nvPicPr>
                  <pic:blipFill>
                    <a:blip r:embed="rId18"/>
                    <a:stretch>
                      <a:fillRect/>
                    </a:stretch>
                  </pic:blipFill>
                  <pic:spPr bwMode="auto">
                    <a:xfrm>
                      <a:off x="0" y="0"/>
                      <a:ext cx="5334000" cy="1453042"/>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 모집단의 검색 전략(CPC 1차 필터와 키워드 2차 필터).</w:t>
      </w:r>
    </w:p>
    <w:bookmarkEnd w:id="21"/>
    <w:bookmarkStart w:id="25"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Has_process</w:t>
      </w:r>
      <w:r>
        <w:t xml:space="preserve"> </w:t>
      </w:r>
      <w:r>
        <w:t xml:space="preserve">는 출원이 H01L21 기호를 하나라도 보유하면 1인 이항 지표로, 경계 넘기의 측정치다.</w:t>
      </w:r>
      <w:r>
        <w:t xml:space="preserve"> </w:t>
      </w:r>
      <w:r>
        <w:rPr>
          <w:i/>
          <w:iCs/>
        </w:rPr>
        <w:t xml:space="preserve">Tech_cat</w:t>
      </w:r>
      <w:r>
        <w:t xml:space="preserve"> </w:t>
      </w:r>
      <w:r>
        <w:t xml:space="preserve">은 각 출원을 상호배타적인 세 전략 유형, 즉</w:t>
      </w:r>
      <w:r>
        <w:t xml:space="preserve"> </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has_process</w:t>
            </w:r>
          </w:p>
        </w:tc>
        <w:tc>
          <w:tcPr/>
          <w:p>
            <w:pPr>
              <w:pStyle w:val="Compact"/>
            </w:pPr>
            <w:r>
              <w:t xml:space="preserve">H01L21(제조공정) 기호를 하나라도 보유하면 1, 아니면 0</w:t>
            </w:r>
          </w:p>
        </w:tc>
        <w:tc>
          <w:tcPr/>
          <w:p>
            <w:pPr>
              <w:pStyle w:val="Compact"/>
            </w:pPr>
            <w:r>
              <w:t xml:space="preserve">이항</w:t>
            </w:r>
          </w:p>
        </w:tc>
      </w:tr>
      <w:tr>
        <w:tc>
          <w:tcPr/>
          <w:p>
            <w:pPr>
              <w:pStyle w:val="Compact"/>
            </w:pPr>
            <w:r>
              <w:t xml:space="preserve">tech_cat</w:t>
            </w:r>
          </w:p>
        </w:tc>
        <w:tc>
          <w:tcPr/>
          <w:p>
            <w:pPr>
              <w:pStyle w:val="Compact"/>
            </w:pPr>
            <w:r>
              <w:t xml:space="preserve">조립 단독형(H01L24만) / 통합형(둘 다) / 공정 단독형(H01L21만)</w:t>
            </w:r>
          </w:p>
        </w:tc>
        <w:tc>
          <w:tcPr/>
          <w:p>
            <w:pPr>
              <w:pStyle w:val="Compact"/>
            </w:pPr>
            <w:r>
              <w:t xml:space="preserve">범주, 3</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단독형이며, 합계 590건, 즉 63.6%가 적어도 하나의 제조공정 기호를 보유한다.</w:t>
      </w:r>
    </w:p>
    <w:p>
      <w:pPr>
        <w:pStyle w:val="BodyText"/>
      </w:pPr>
      <w:r>
        <w:drawing>
          <wp:inline>
            <wp:extent cx="5334000" cy="3878580"/>
            <wp:effectExtent b="0" l="0" r="0" t="0"/>
            <wp:docPr descr="" title="" id="23" name="Picture"/>
            <a:graphic>
              <a:graphicData uri="http://schemas.openxmlformats.org/drawingml/2006/picture">
                <pic:pic>
                  <pic:nvPicPr>
                    <pic:cNvPr descr="figures/fig4_applications_by_year.png" id="24" name="Picture"/>
                    <pic:cNvPicPr>
                      <a:picLocks noChangeArrowheads="1" noChangeAspect="1"/>
                    </pic:cNvPicPr>
                  </pic:nvPicPr>
                  <pic:blipFill>
                    <a:blip r:embed="rId22"/>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BodyText"/>
      </w:pPr>
      <w:r>
        <w:t xml:space="preserve">관할권 관련 결과의 해석에는 한 가지 단서가 필요하다.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기원뿐 아니라 출원·보호 전략을 반영하며, 본 연구는 이를 일관되게 그러한 관점에서 해석한다.</w:t>
      </w:r>
    </w:p>
    <w:bookmarkEnd w:id="25"/>
    <w:bookmarkStart w:id="26" w:name="실증-전략"/>
    <w:p>
      <w:pPr>
        <w:pStyle w:val="Heading3"/>
      </w:pPr>
      <w:r>
        <w:t xml:space="preserve">4.3 실증 전략</w:t>
      </w:r>
    </w:p>
    <w:p>
      <w:pPr>
        <w:pStyle w:val="FirstParagraph"/>
      </w:pPr>
      <w:r>
        <w:t xml:space="preserve">종속변수의 통계적 성격이 서로 다르므로 모형은 이에 맞추어 선택한다.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경계 넘기 모형의 설명변수인 범위의 특성을 파악하고 H3b의 범위 성분을 검정하는 두 가지 목적을 갖는다.</w:t>
      </w:r>
    </w:p>
    <w:p>
      <w:pPr>
        <w:pStyle w:val="BodyText"/>
      </w:pPr>
      <w:r>
        <w:t xml:space="preserve">경계 넘기는 이산선택으로 모형화한다. 이항 로짓은 기술범위, 연도 추세, 출원청으로</w:t>
      </w:r>
      <w:r>
        <w:t xml:space="preserve"> </w:t>
      </w:r>
      <w:r>
        <w:rPr>
          <w:i/>
          <w:iCs/>
        </w:rPr>
        <w:t xml:space="preserve">has_process</w:t>
      </w:r>
      <w:r>
        <w:t xml:space="preserve"> </w:t>
      </w:r>
      <w:r>
        <w:t xml:space="preserve">를 예측하며, 승산비(OR)로 보고하고 ROC 곡선 하면적(AUC)으로 평가한다(Hosmer et al., 2013). 이어서 다항 로짓(McFadden, 1974)은 조립 단독형을 기준 범주로</w:t>
      </w:r>
      <w:r>
        <w:t xml:space="preserve"> </w:t>
      </w:r>
      <w:r>
        <w:rPr>
          <w:i/>
          <w:iCs/>
        </w:rPr>
        <w:t xml:space="preserve">tech_cat</w:t>
      </w:r>
      <w:r>
        <w:t xml:space="preserve"> </w:t>
      </w:r>
      <w:r>
        <w:t xml:space="preserve">을 모형화하고 상대위험비(RRR)로 보고하여, 통합형과 공정 단독형을 동일한 기준 범주 대비로 해석할 수 있게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6"/>
    <w:bookmarkEnd w:id="27"/>
    <w:bookmarkStart w:id="41" w:name="결과"/>
    <w:p>
      <w:pPr>
        <w:pStyle w:val="Heading2"/>
      </w:pPr>
      <w:r>
        <w:t xml:space="preserve">5. 결과</w:t>
      </w:r>
    </w:p>
    <w:bookmarkStart w:id="31"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자료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주된 모형으로 삼는다.</w:t>
      </w:r>
    </w:p>
    <w:p>
      <w:pPr>
        <w:pStyle w:val="BodyText"/>
      </w:pPr>
      <w:r>
        <w:rPr>
          <w:b/>
          <w:bCs/>
        </w:rPr>
        <w:t xml:space="preserve">표 3.</w:t>
      </w:r>
      <w:r>
        <w:t xml:space="preserve"> </w:t>
      </w:r>
      <w:r>
        <w:t xml:space="preserve">명세별 기술범위 결정요인(N = 928; 미국 출원청이 기준; 괄호 안은 표준오차; Poisson·음이항 계수의 지수가 발생률비(IRR);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확인된다. 첫째, 분야가 성숙하면서 범위가 넓어졌다. 연도 추세의 발생률비(IRR)는 1.014로, 서브클래스 수가 연간 약 1.4%씩 증가한다. 둘째, 미국 기준 대비 중국 출원청 출원은 약 21% 좁고(IRR 0.785, p &lt; 0.01) PCT 출원은 약 17% 좁은(IRR 0.826, p &lt; 0.01) 반면, 일본 출원청 출원은 표본에서 가장 넓다(IRR 1.270, p &lt; 0.10). 셋째, 한국(IRR 1.017), 대만(1.021), EPO(0.993)는 미국 기준과 구분되지 않는다. 그림 3은 모형이 함의하는 출원청별 예측 기술범위를 도시한다. 일본 출원청 출원이 더 넓다는 H3b의 범위 성분은 10% 수준에서 지지되며, 중국 출원청 출원의 좁음은 H3a에 대해 제시한 추격 해석과 부합한다.</w:t>
      </w:r>
    </w:p>
    <w:p>
      <w:pPr>
        <w:pStyle w:val="BodyText"/>
      </w:pPr>
      <w:r>
        <w:drawing>
          <wp:inline>
            <wp:extent cx="5334000" cy="3878580"/>
            <wp:effectExtent b="0" l="0" r="0" t="0"/>
            <wp:docPr descr="" title="" id="29" name="Picture"/>
            <a:graphic>
              <a:graphicData uri="http://schemas.openxmlformats.org/drawingml/2006/picture">
                <pic:pic>
                  <pic:nvPicPr>
                    <pic:cNvPr descr="figures/fig5_predicted_breadth.png" id="30" name="Picture"/>
                    <pic:cNvPicPr>
                      <a:picLocks noChangeArrowheads="1" noChangeAspect="1"/>
                    </pic:cNvPicPr>
                  </pic:nvPicPr>
                  <pic:blipFill>
                    <a:blip r:embed="rId28"/>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출원청별 예측 기술범위(음이항, 다른 공변량은 평균; 95% 신뢰구간).</w:t>
      </w:r>
    </w:p>
    <w:bookmarkEnd w:id="31"/>
    <w:bookmarkStart w:id="35" w:name="경계-넘기-이항-로짓"/>
    <w:p>
      <w:pPr>
        <w:pStyle w:val="Heading3"/>
      </w:pPr>
      <w:r>
        <w:t xml:space="preserve">5.2 경계 넘기: 이항 로짓</w:t>
      </w:r>
    </w:p>
    <w:p>
      <w:pPr>
        <w:pStyle w:val="FirstParagraph"/>
      </w:pPr>
      <w:r>
        <w:t xml:space="preserve">표 4는</w:t>
      </w:r>
      <w:r>
        <w:t xml:space="preserve"> </w:t>
      </w:r>
      <w:r>
        <w:rPr>
          <w:i/>
          <w:iCs/>
        </w:rPr>
        <w:t xml:space="preserve">has_process</w:t>
      </w:r>
      <w:r>
        <w:t xml:space="preserve"> </w:t>
      </w:r>
      <w:r>
        <w:t xml:space="preserve">에 대한 이항 로짓을 보고한다. 기술범위가 가장 강력한 예측변수다. CPC 서브클래스가 하나 늘 때마다 특허가 제조공정 기술을 청구할 승산이 약 27% 높아지며(OR 1.267, p &lt; 0.01), 이는 H1을 지지한다. 연도 추세는 반대 방향이다(연간 OR 0.946, p &lt; 0.01). 접합·조립 수준의 발명이 분야의 주류가 되면서 공정 지향 출원의</w:t>
      </w:r>
      <w:r>
        <w:t xml:space="preserve"> </w:t>
      </w:r>
      <w:r>
        <w:rPr>
          <w:i/>
          <w:iCs/>
        </w:rPr>
        <w:t xml:space="preserve">비중</w:t>
      </w:r>
      <w:r>
        <w:t xml:space="preserve"> </w:t>
      </w:r>
      <w:r>
        <w:t xml:space="preserve">이 감소한 것이다. 출원청 중에서는 중국 출원청만 미국 기준과 유의하게 다르며, 공정 청구의 승산이 65% 높다(OR 1.650, p &lt; 0.05). 이는 H3a를 지지한다. 일본 출원청의 승산비는 1 미만(0.483)이지만 26건에 기반하므로 추정이 부정확하다. 모형의 판별력은 수용 가능한 수준으로, ROC 곡선 하면적은 0.707이다(그림 4).</w:t>
      </w:r>
    </w:p>
    <w:p>
      <w:pPr>
        <w:pStyle w:val="BodyText"/>
      </w:pPr>
      <w:r>
        <w:rPr>
          <w:b/>
          <w:bCs/>
        </w:rPr>
        <w:t xml:space="preserve">표 4.</w:t>
      </w:r>
      <w:r>
        <w:t xml:space="preserve"> </w:t>
      </w:r>
      <w:r>
        <w:t xml:space="preserve">경계 넘기의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3" name="Picture"/>
            <a:graphic>
              <a:graphicData uri="http://schemas.openxmlformats.org/drawingml/2006/picture">
                <pic:pic>
                  <pic:nvPicPr>
                    <pic:cNvPr descr="figures/fig6_roc.png" id="34" name="Picture"/>
                    <pic:cNvPicPr>
                      <a:picLocks noChangeArrowheads="1" noChangeAspect="1"/>
                    </pic:cNvPicPr>
                  </pic:nvPicPr>
                  <pic:blipFill>
                    <a:blip r:embed="rId32"/>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경계 넘기 로짓의 ROC 곡선(AUC = 0.707).</w:t>
      </w:r>
    </w:p>
    <w:bookmarkEnd w:id="35"/>
    <w:bookmarkStart w:id="39"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5의 다항 로짓은 이를 분리한다. 조립 단독형 대비로 읽으면, 기술범위는 특허를 통합형으로 밀고(RRR 1.403, p &lt; 0.01) 공정 단독형에서 멀어지게 한다(RRR 0.905, p &lt; 0.05). 넓은 특허는 두 단계에 걸치고, 좁은 특허는 한 단계에 특화한다. 이는 H1을 보다 정밀하게 확인한 결과다.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로짓의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특허의 상대위험이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5는 다른 공변량을 평균에 둔 채 출원청별 공정 단독형 전략의 예측 확률을 도시한다. 중국 출원청 출원은 약 4건 중 1건이 공정 단독형으로 예측되는 반면, 미국 출원청은 약 7건 중 1건, 일본 출원청은 약 50건 중 1건이다. H3a와 H3b의 전략 성분이 지지된다.</w:t>
      </w:r>
    </w:p>
    <w:p>
      <w:pPr>
        <w:pStyle w:val="BodyText"/>
      </w:pPr>
      <w:r>
        <w:drawing>
          <wp:inline>
            <wp:extent cx="5334000" cy="3455670"/>
            <wp:effectExtent b="0" l="0" r="0" t="0"/>
            <wp:docPr descr="" title="" id="37" name="Picture"/>
            <a:graphic>
              <a:graphicData uri="http://schemas.openxmlformats.org/drawingml/2006/picture">
                <pic:pic>
                  <pic:nvPicPr>
                    <pic:cNvPr descr="figures/fig7_predicted_process_only.png" id="38" name="Picture"/>
                    <pic:cNvPicPr>
                      <a:picLocks noChangeArrowheads="1" noChangeAspect="1"/>
                    </pic:cNvPicPr>
                  </pic:nvPicPr>
                  <pic:blipFill>
                    <a:blip r:embed="rId36"/>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출원청별 공정 단독형 전략의 예측 확률(다항 로짓, 다른 공변량은 평균; 95% 신뢰구간).</w:t>
      </w:r>
    </w:p>
    <w:bookmarkEnd w:id="39"/>
    <w:bookmarkStart w:id="40" w:name="가설-검정-요약과-강건성"/>
    <w:p>
      <w:pPr>
        <w:pStyle w:val="Heading3"/>
      </w:pPr>
      <w:r>
        <w:t xml:space="preserve">5.4 가설 검정 요약과 강건성</w:t>
      </w:r>
    </w:p>
    <w:p>
      <w:pPr>
        <w:pStyle w:val="FirstParagraph"/>
      </w:pPr>
      <w:r>
        <w:t xml:space="preserve">표 6은 가설 검정 결과를 요약한다. H1은 이항·다항 명세 모두에서 지지된다. H2도 지지되어,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w:t>
            </w:r>
          </w:p>
        </w:tc>
        <w:tc>
          <w:tcPr/>
          <w:p>
            <w:pPr>
              <w:pStyle w:val="Compact"/>
            </w:pPr>
            <w:r>
              <w:t xml:space="preserve">OR 1.267***(표 4); RRR 통합형 1.403***, 공정 단독형 0.905**(표 5)</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OR 1.650**(표 4); RRR 공정 단독형 2.687***(표 5);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결과의 강건성과 관련하여 세 가지를 점검하였다.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연도까지 외삽하지는 않는다. 셋째, 다항 결과는 무관 대안의 독립성 가정에 따라 조립 단독형 기준 대비 상대적 경향으로 읽으며, 그 가정을 요구하지 않는 이항 로짓이 범위·시간·중국 출원청에 대해 같은 질적 결론을 준다.</w:t>
      </w:r>
    </w:p>
    <w:bookmarkEnd w:id="40"/>
    <w:bookmarkEnd w:id="41"/>
    <w:bookmarkStart w:id="45" w:name="논의"/>
    <w:p>
      <w:pPr>
        <w:pStyle w:val="Heading2"/>
      </w:pPr>
      <w:r>
        <w:t xml:space="preserve">6. 논의</w:t>
      </w:r>
    </w:p>
    <w:bookmarkStart w:id="42"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w:t>
      </w:r>
      <w:r>
        <w:t xml:space="preserve"> </w:t>
      </w:r>
      <w:r>
        <w:rPr>
          <w:i/>
          <w:iCs/>
        </w:rPr>
        <w:t xml:space="preserve">관통하는</w:t>
      </w:r>
      <w:r>
        <w:t xml:space="preserve"> </w:t>
      </w:r>
      <w:r>
        <w:t xml:space="preserve">경계에도 적용되며, 그 경계가 개별 발명 수준에서 관찰될 수 있음을 보인다. 하이브리드 본딩 특허의 거의 3분의 2가 전공정 기술을 청구하고, 최빈 특허는 통합형이다.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융합을 단순하게 이해하면 경계를 넘는 특허의 비중이 시간에 따라 상승할 것으로 예측하게 된다. 그러나 결과는 그렇지 않았다. 통합형 청구는 비중을 유지하였고 순수 전공정 청구가 감소하였다. 이 패턴은</w:t>
      </w:r>
      <w:r>
        <w:t xml:space="preserve"> </w:t>
      </w:r>
      <w:r>
        <w:rPr>
          <w:i/>
          <w:iCs/>
        </w:rPr>
        <w:t xml:space="preserve">재구성(recomposition)</w:t>
      </w:r>
      <w:r>
        <w:t xml:space="preserve"> </w:t>
      </w:r>
      <w:r>
        <w:t xml:space="preserve">으로 더 잘 기술된다. 기술 생애의 초기에 중요했던 발명은 평탄화, 표면 활성화, 어닐링 등 제조 단계에 관한 것이었고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이항 모형의 음(−)의 연도 계수를 전공정으로부터의 후퇴로 읽어서는 안 되는 이유이기도 하다.</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갈래에 집중되어 있으며 제2.4절에서 제시한 해석과 부합한다. 중국 출원청 출원은 범위가 좁고 공정 단독형에 편중되어 있다. 이는 통합된 적층 전체를 청구하기 전에 특정 제조 단계를 내재화하는 추격 자세의 프로필이며(Lee and Lim, 2001), 중국 특허의 양적 팽창이 보조금과 추격 동학에 의해 형성되어 왔다는 증거(Hu and Jefferson, 2009; Dang and Motohashi, 2015)와도 부합한다.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기준과 유사한데, 이는 미국 출원인과 정면으로 경쟁하는 메모리 제조사와 파운드리의 위치에 부합한다. 이들의 높은 공정 단독형 경향(대만은 10% 수준에서 유의)은 선도 파운드리가 첨단 패키징 플랫폼을 내재화하며 전공정 역량을 접합 공정에 투입해 온 산업계의 움직임(Lau, 2022; Yole Group, 2024)과 부합한다. 종합하면 이러한 패턴은 누가 어느 단계를 어디에서 점유하는가라는 산업</w:t>
      </w:r>
      <w:r>
        <w:t xml:space="preserve"> </w:t>
      </w:r>
      <w:r>
        <w:rPr>
          <w:i/>
          <w:iCs/>
        </w:rPr>
        <w:t xml:space="preserve">아키텍처</w:t>
      </w:r>
      <w:r>
        <w:t xml:space="preserve"> </w:t>
      </w:r>
      <w:r>
        <w:t xml:space="preserve">가</w:t>
      </w:r>
      <w:r>
        <w:t xml:space="preserve"> </w:t>
      </w:r>
      <w:r>
        <w:rPr>
          <w:i/>
          <w:iCs/>
        </w:rPr>
        <w:t xml:space="preserve">어떤</w:t>
      </w:r>
      <w:r>
        <w:t xml:space="preserve"> </w:t>
      </w:r>
      <w:r>
        <w:t xml:space="preserve">발명이 경계를 넘는지를 형성함을 보여주며, 이는 기업의 통합 선택이 산업 아키텍처를 형성한다는 Kapoor(2013)의 주장을 기업이 작성하는 청구항 수준으로 확장한 것이다.</w:t>
      </w:r>
    </w:p>
    <w:bookmarkEnd w:id="42"/>
    <w:bookmarkStart w:id="43"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 경계가 공정 단계를 넘어 확장된 기업만이 기술이 보상하는 통합형 청구를 작성할 수 있다. 장비·소재 공급사에게는 넓고 통합 지향적이며 공정 단독형이 없는 일본 출원청의 프로필이 전·후공정 인터페이스에서의 차별적이고 방어 가능한 위치를 시사한다.</w:t>
      </w:r>
    </w:p>
    <w:p>
      <w:pPr>
        <w:pStyle w:val="BodyText"/>
      </w:pPr>
      <w:r>
        <w:t xml:space="preserve">정책에 대해서는 관할권 대비가 시사적이다. 중국 출원청 프로필은 단계별로 진행되는 추격 전략을 보여준다. 이는 제조 역량의 내재화에는 효과적이지만 통합형 청구를 타국 출원인에게 남겨 둔다. 특허 건수를 보상하는 산업정책(Dang and Motohashi, 2015)은 이 패턴을 강화할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3"/>
    <w:bookmarkStart w:id="44" w:name="한계와-향후-연구"/>
    <w:p>
      <w:pPr>
        <w:pStyle w:val="Heading3"/>
      </w:pPr>
      <w:r>
        <w:t xml:space="preserve">6.3 한계와 향후 연구</w:t>
      </w:r>
    </w:p>
    <w:p>
      <w:pPr>
        <w:pStyle w:val="FirstParagraph"/>
      </w:pPr>
      <w:r>
        <w:t xml:space="preserve">본 연구는 네 가지 한계를 갖는다.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본 연구의 모든 비교를 보다 정밀하게 할 것이다. 둘째, 추정치는 연관적이다. 범위와 전략은 공동 결정될 개연성이 있고, 데이터에 신뢰할 만한 도구변수가 없어 인과 식별을 시도하지 않는다.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44"/>
    <w:bookmarkEnd w:id="45"/>
    <w:bookmarkStart w:id="46"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특허출원의 거의 3분의 2가 제조공정 기술을 청구하며 최빈 발명은 두 단계를 통합한다. 경계 넘기는 기술범위와 강하게 연관되고, 시간이 갈수록 경계를 넘는 청구의 단조 증가가 아니라 순수 전공정 청구가 통합형 청구로 대체되는 재구성을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수렴의 구조는 산업 내 사례로 확장되고 산업 아키텍처 문헌과 결합된 융합 이론으로 설명할 수 있다.</w:t>
      </w:r>
    </w:p>
    <w:p>
      <w:r>
        <w:pict>
          <v:rect style="width:0;height:1.5pt" o:hralign="center" o:hrstd="t" o:hr="t"/>
        </w:pict>
      </w:r>
    </w:p>
    <w:bookmarkEnd w:id="46"/>
    <w:bookmarkStart w:id="47"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Yole Group (KnowMade), 2024. Hybrid Bonding Patent Landscape Analysis 2024 [Industry report]. KnowMade, Nantes.</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2026-09-23T23:49:43Z</dcterms:created>
  <dcterms:modified xsi:type="dcterms:W3CDTF">2026-09-23T23:49:43Z</dcterms:modified>
</cp:coreProperties>
</file>

<file path=docProps/custom.xml><?xml version="1.0" encoding="utf-8"?>
<Properties xmlns="http://schemas.openxmlformats.org/officeDocument/2006/custom-properties" xmlns:vt="http://schemas.openxmlformats.org/officeDocument/2006/docPropsVTypes"/>
</file>