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반도체-하이브리드-본딩-특허를-통한-공정-단계-간-기술융합의-동태적-분석"/>
    <w:p>
      <w:pPr>
        <w:pStyle w:val="Heading1"/>
      </w:pPr>
      <w:r>
        <w:t xml:space="preserve">반도체 하이브리드 본딩 특허를 통한 공정 단계 간 기술융합의 동태적 분석</w:t>
      </w:r>
    </w:p>
    <w:p>
      <w:pPr>
        <w:pStyle w:val="FirstParagraph"/>
      </w:pPr>
      <w:r>
        <w:rPr>
          <w:b/>
          <w:bCs/>
        </w:rPr>
        <w:t xml:space="preserve">A dynamic analysis of cross-stage technological convergence through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w:t>
      </w:r>
    </w:p>
    <w:p>
      <w:pPr>
        <w:pStyle w:val="BodyText"/>
      </w:pPr>
      <w:r>
        <w:t xml:space="preserve">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w:t>
      </w:r>
    </w:p>
    <w:p>
      <w:pPr>
        <w:pStyle w:val="BodyText"/>
      </w:pPr>
      <w:r>
        <w:t xml:space="preserve">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기술에서 제조공정과 접합 기술 간의 융합은 어느 정도로 나타나고 있으며, 어떠한 형태로 구성되는가? 둘째, 하이브리드 본딩 기술에서 공정 간 기술융합의 수준과 형태는 시간에 따라 어떻게 변화하는가? 셋째, 하이브리드 본딩 기술의 발전과정에서 공정 간 기술융합의 중심은 핵심 기술과 주변 기술 사이에서 어떻게 변화하는가? 이하에서는 세 질문을 차례로 RQ1, RQ2, RQ3이라 부른다.</w:t>
      </w:r>
    </w:p>
    <w:p>
      <w:pPr>
        <w:pStyle w:val="BodyText"/>
      </w:pPr>
      <w:r>
        <w:t xml:space="preserve">본 논문에서는 이상의 연구 질문에 답함으로써, 다음과 같은 학술적 기여를 제공하고자 한다. 첫째, 기존 기술융합 연구의 분석 범위를 산업 간 또는 기술 분야 간 융합에서 동일 산업 내 서로 다른 제조공정 단계 간 기술융합으로 확장한다. 이를 통해 기술융합이 산업 경계뿐 아니라 생산공정의 기술적 경계에서도 나타나는 현상임을 실증적으로 보여준다.</w:t>
      </w:r>
    </w:p>
    <w:p>
      <w:pPr>
        <w:pStyle w:val="BodyText"/>
      </w:pPr>
      <w:r>
        <w:t xml:space="preserve">둘째, 기술융합을 정태적인 결합 현상이 아닌 시간에 따라 변화하는 동태적 과정으로 분석한다. 하이브리드 본딩 특허에서 관찰되는 형성, 확산, 재편의 양상을 통해 기술융합이 반드시 지속적으로 확대되는 것은 아니며, 기술발전 과정에서 융합의 유형별 구성이 변화할 수 있음을 보여준다.</w:t>
      </w:r>
    </w:p>
    <w:p>
      <w:pPr>
        <w:pStyle w:val="BodyText"/>
      </w:pPr>
      <w:r>
        <w:t xml:space="preserve">셋째, 기술융합의 양적 변화뿐 아니라 융합의 구조적 중심 변화에 주목한다. 핵심 접합 기술과 제조공정 기술 간의 결합 관계가 시기에 따라 달라지는 양상을 분석함으로써, 기술융합의 동태적 전개를 기술 아키텍처의 핵심–주변 관계 및 기술 순환 관점에서 이해할 수 있는 실증적 근거를 제공한다.</w:t>
      </w:r>
    </w:p>
    <w:p>
      <w:pPr>
        <w:pStyle w:val="BodyText"/>
      </w:pPr>
      <w:r>
        <w:t xml:space="preserve">논문의 구성은 다음과 같다. 제2절은 이론적 배경을 검토한다. 제3절은 하이브리드 본딩 기술과 산업을 소개한다. 제4절은 자료와 측정, 방법을, 제5절은 세 연구질문에 따른 결과를 제시한다. 제6절은 함의와 한계를 논의하고, 제7절은 결론을 맺는다.</w:t>
      </w:r>
    </w:p>
    <w:bookmarkEnd w:id="14"/>
    <w:bookmarkStart w:id="19" w:name="이론적-배경"/>
    <w:p>
      <w:pPr>
        <w:pStyle w:val="Heading2"/>
      </w:pPr>
      <w:r>
        <w:t xml:space="preserve">2. 이론적 배경</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내-공정-단계-간-기술융합"/>
    <w:p>
      <w:pPr>
        <w:pStyle w:val="Heading3"/>
      </w:pPr>
      <w:r>
        <w:t xml:space="preserve">2.2 가치사슬 내 공정 단계 간 기술융합</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기술융합의-동태적-전개"/>
    <w:p>
      <w:pPr>
        <w:pStyle w:val="Heading3"/>
      </w:pPr>
      <w:r>
        <w:t xml:space="preserve">2.3 기술융합의 동태적 전개</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기술의 결합은 응용에 필요한 주변 공정으로 옮겨 갈 것이다.</w:t>
      </w:r>
    </w:p>
    <w:p>
      <w:pPr>
        <w:pStyle w:val="BodyText"/>
      </w:pP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 따라서 최근 출원일수록 제조공정 발명보다 접합 발명의 비중이 커질 것으로 예상할 수 있다.</w:t>
      </w:r>
    </w:p>
    <w:p>
      <w:pPr>
        <w:pStyle w:val="BodyText"/>
      </w:pP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따라서 핵심 기술을 담은 출원은 기술이 형성되는 시기에는 제조공정 지식을 함께 담는 경우가 많지만, 시간이 지날수록 그 차이는 줄어들 것으로 예상할 수 있다. 핵심 기술이 무엇인지는 제4.4절의 기술 클러스터와 기술 네트워크 분석으로 식별한다.</w:t>
      </w:r>
    </w:p>
    <w:p>
      <w:pPr>
        <w:pStyle w:val="BodyText"/>
      </w:pPr>
      <w:r>
        <w:t xml:space="preserve">이러한 논의에 근거하여 본 연구는 공정 간 융합의 수준과 형태가 시간에 따라 어떻게 변화하는지(RQ2), 그리고 그 중심이 핵심 기술과 주변 기술 사이에서 어떻게 옮겨 가는지(RQ3)를 살펴본다.</w:t>
      </w:r>
    </w:p>
    <w:bookmarkEnd w:id="17"/>
    <w:bookmarkStart w:id="18" w:name="특허-기반-기술융합-측정"/>
    <w:p>
      <w:pPr>
        <w:pStyle w:val="Heading3"/>
      </w:pPr>
      <w:r>
        <w:t xml:space="preserve">2.4 특허 기반 기술융합 측정</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분석한다.</w:t>
      </w:r>
    </w:p>
    <w:p>
      <w:pPr>
        <w:pStyle w:val="BodyText"/>
      </w:pP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 RQ1에서는 공정 간 융합의 수준과 함께 이러한 기술적 다양성과 통합형의 관계를 분석한다.</w:t>
      </w:r>
    </w:p>
    <w:bookmarkEnd w:id="18"/>
    <w:bookmarkEnd w:id="19"/>
    <w:bookmarkStart w:id="28" w:name="연구-맥락-하이브리드-본딩-기술과-산업"/>
    <w:p>
      <w:pPr>
        <w:pStyle w:val="Heading2"/>
      </w:pPr>
      <w:r>
        <w:t xml:space="preserve">3. 연구 맥락: 하이브리드 본딩 기술과 산업</w:t>
      </w:r>
    </w:p>
    <w:bookmarkStart w:id="23" w:name="하이브리드-본딩의-기술적-특성"/>
    <w:p>
      <w:pPr>
        <w:pStyle w:val="Heading3"/>
      </w:pPr>
      <w:r>
        <w:t xml:space="preserve">3.1 하이브리드 본딩의 기술적 특성</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기술은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그림 2는 하이브리드 본딩을 기반 공정, 접합 형태, 소자 구조, 적용 제품의 네 층으로 정리한 것이다.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bookmarkEnd w:id="23"/>
    <w:bookmarkStart w:id="27" w:name="제조공정과-접합-기술의-상호의존성"/>
    <w:p>
      <w:pPr>
        <w:pStyle w:val="Heading3"/>
      </w:pPr>
      <w:r>
        <w:t xml:space="preserve">3.2 제조공정과 접합 기술의 상호의존성</w:t>
      </w:r>
    </w:p>
    <w:p>
      <w:pPr>
        <w:pStyle w:val="FirstParagraph"/>
      </w:pPr>
      <w:r>
        <w:t xml:space="preserve">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2의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3412748"/>
            <wp:effectExtent b="0" l="0" r="0" t="0"/>
            <wp:docPr descr="" title="" id="25" name="Picture"/>
            <a:graphic>
              <a:graphicData uri="http://schemas.openxmlformats.org/drawingml/2006/picture">
                <pic:pic>
                  <pic:nvPicPr>
                    <pic:cNvPr descr="figures/fig_d2w_flow_amat_ko.png" id="26" name="Picture"/>
                    <pic:cNvPicPr>
                      <a:picLocks noChangeArrowheads="1" noChangeAspect="1"/>
                    </pic:cNvPicPr>
                  </pic:nvPicPr>
                  <pic:blipFill>
                    <a:blip r:embed="rId24"/>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7"/>
    <w:bookmarkEnd w:id="28"/>
    <w:bookmarkStart w:id="40" w:name="자료와-방법"/>
    <w:p>
      <w:pPr>
        <w:pStyle w:val="Heading2"/>
      </w:pPr>
      <w:r>
        <w:t xml:space="preserve">4. 자료와 방법</w:t>
      </w:r>
    </w:p>
    <w:bookmarkStart w:id="29" w:name="자료-수집"/>
    <w:p>
      <w:pPr>
        <w:pStyle w:val="Heading3"/>
      </w:pPr>
      <w:r>
        <w:t xml:space="preserve">4.1 자료 수집</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9"/>
    <w:bookmarkStart w:id="30" w:name="조작적-정의와-측정"/>
    <w:p>
      <w:pPr>
        <w:pStyle w:val="Heading3"/>
      </w:pPr>
      <w:r>
        <w:t xml:space="preserve">4.2 조작적 정의와 측정</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30"/>
    <w:bookmarkStart w:id="34" w:name="분석변수의-정의"/>
    <w:p>
      <w:pPr>
        <w:pStyle w:val="Heading3"/>
      </w:pPr>
      <w:r>
        <w:t xml:space="preserve">4.3 분석변수의 정의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2" name="Picture"/>
            <a:graphic>
              <a:graphicData uri="http://schemas.openxmlformats.org/drawingml/2006/picture">
                <pic:pic>
                  <pic:nvPicPr>
                    <pic:cNvPr descr="figures/fig2_applications_by_year_ko.png" id="33" name="Picture"/>
                    <pic:cNvPicPr>
                      <a:picLocks noChangeArrowheads="1" noChangeAspect="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4"/>
    <w:bookmarkStart w:id="38" w:name="핵심-기술의-식별-기술-클러스터와-기술-네트워크"/>
    <w:p>
      <w:pPr>
        <w:pStyle w:val="Heading3"/>
      </w:pPr>
      <w:r>
        <w:t xml:space="preserve">4.4 핵심 기술의 식별: 기술 클러스터와 기술 네트워크</w:t>
      </w:r>
    </w:p>
    <w:p>
      <w:pPr>
        <w:pStyle w:val="FirstParagraph"/>
      </w:pPr>
      <w:r>
        <w:t xml:space="preserve">RQ3에 답하려면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분석에 쓰는 핵심 기술은 회귀 자료의 H01L24(접합·인터커넥트 분류)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6" name="Picture"/>
            <a:graphic>
              <a:graphicData uri="http://schemas.openxmlformats.org/drawingml/2006/picture">
                <pic:pic>
                  <pic:nvPicPr>
                    <pic:cNvPr descr="figures/fig_core_network_ko.png" id="37" name="Picture"/>
                    <pic:cNvPicPr>
                      <a:picLocks noChangeArrowheads="1" noChangeAspect="1"/>
                    </pic:cNvPicPr>
                  </pic:nvPicPr>
                  <pic:blipFill>
                    <a:blip r:embed="rId35"/>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8"/>
    <w:bookmarkStart w:id="39" w:name="분석-방법"/>
    <w:p>
      <w:pPr>
        <w:pStyle w:val="Heading3"/>
      </w:pPr>
      <w:r>
        <w:t xml:space="preserve">4.5 분석 방법</w:t>
      </w:r>
    </w:p>
    <w:p>
      <w:pPr>
        <w:pStyle w:val="FirstParagraph"/>
      </w:pPr>
      <w:r>
        <w:t xml:space="preserve">종속변수의 측정 척도와 각 연구질문이 묻는 내용이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32"/>
        <w:gridCol w:w="1677"/>
        <w:gridCol w:w="1360"/>
        <w:gridCol w:w="1496"/>
        <w:gridCol w:w="1451"/>
        <w:gridCol w:w="1451"/>
      </w:tblGrid>
      <w:tr>
        <w:trPr>
          <w:tblHeader w:val="on"/>
          <w:cantSplit/>
        </w:trPr>
        <w:tc>
          <w:tcPr>
            <w:tcW w:type="dxa" w:w="1632"/>
            <w:tcBorders>
              <w:bottom w:val="single" w:sz="4" w:space="0" w:color="000000"/>
            </w:tcBorders>
          </w:tcPr>
          <w:p>
            <w:pPr>
              <w:pStyle w:val="Compact"/>
              <w:spacing w:before="20" w:after="20" w:line="240" w:lineRule="auto"/>
              <w:keepNext/>
            </w:pPr>
            <w:r>
              <w:rPr>
                <w:sz w:val="14"/>
                <w:szCs w:val="14"/>
              </w:rPr>
              <w:t xml:space="preserve">분석 질문</w:t>
            </w:r>
          </w:p>
        </w:tc>
        <w:tc>
          <w:tcPr>
            <w:tcW w:type="dxa" w:w="1677"/>
            <w:tcBorders>
              <w:bottom w:val="single" w:sz="4" w:space="0" w:color="000000"/>
            </w:tcBorders>
          </w:tcPr>
          <w:p>
            <w:pPr>
              <w:pStyle w:val="Compact"/>
              <w:spacing w:before="20" w:after="20" w:line="240" w:lineRule="auto"/>
              <w:keepNext/>
            </w:pPr>
            <w:r>
              <w:rPr>
                <w:sz w:val="14"/>
                <w:szCs w:val="14"/>
              </w:rPr>
              <w:t xml:space="preserve">종속변수</w:t>
            </w:r>
          </w:p>
        </w:tc>
        <w:tc>
          <w:tcPr>
            <w:tcW w:type="dxa" w:w="1360"/>
            <w:tcBorders>
              <w:bottom w:val="single" w:sz="4" w:space="0" w:color="000000"/>
            </w:tcBorders>
          </w:tcPr>
          <w:p>
            <w:pPr>
              <w:pStyle w:val="Compact"/>
              <w:spacing w:before="20" w:after="20" w:line="240" w:lineRule="auto"/>
              <w:keepNext/>
            </w:pPr>
            <w:r>
              <w:rPr>
                <w:sz w:val="14"/>
                <w:szCs w:val="14"/>
              </w:rPr>
              <w:t xml:space="preserve">척도</w:t>
            </w:r>
          </w:p>
        </w:tc>
        <w:tc>
          <w:tcPr>
            <w:tcW w:type="dxa" w:w="1496"/>
            <w:tcBorders>
              <w:bottom w:val="single" w:sz="4" w:space="0" w:color="000000"/>
            </w:tcBorders>
          </w:tcPr>
          <w:p>
            <w:pPr>
              <w:pStyle w:val="Compact"/>
              <w:spacing w:before="20" w:after="20" w:line="240" w:lineRule="auto"/>
              <w:keepNext/>
            </w:pPr>
            <w:r>
              <w:rPr>
                <w:sz w:val="14"/>
                <w:szCs w:val="14"/>
              </w:rPr>
              <w:t xml:space="preserve">주모형</w:t>
            </w:r>
          </w:p>
        </w:tc>
        <w:tc>
          <w:tcPr>
            <w:tcW w:type="dxa" w:w="1451"/>
            <w:tcBorders>
              <w:bottom w:val="single" w:sz="4" w:space="0" w:color="000000"/>
            </w:tcBorders>
          </w:tcPr>
          <w:p>
            <w:pPr>
              <w:pStyle w:val="Compact"/>
              <w:spacing w:before="20" w:after="20" w:line="240" w:lineRule="auto"/>
              <w:keepNext/>
            </w:pPr>
            <w:r>
              <w:rPr>
                <w:sz w:val="14"/>
                <w:szCs w:val="14"/>
              </w:rPr>
              <w:t xml:space="preserve">보고 지표</w:t>
            </w:r>
          </w:p>
        </w:tc>
        <w:tc>
          <w:tcPr>
            <w:tcW w:type="dxa" w:w="1451"/>
            <w:tcBorders>
              <w:bottom w:val="single" w:sz="4" w:space="0" w:color="000000"/>
            </w:tcBorders>
          </w:tcPr>
          <w:p>
            <w:pPr>
              <w:pStyle w:val="Compact"/>
              <w:spacing w:before="20" w:after="20" w:line="240" w:lineRule="auto"/>
              <w:keepNext/>
            </w:pPr>
            <w:r>
              <w:rPr>
                <w:sz w:val="14"/>
                <w:szCs w:val="14"/>
              </w:rPr>
              <w:t xml:space="preserve">연구질문</w:t>
            </w:r>
          </w:p>
        </w:tc>
      </w:tr>
      <w:tr>
        <w:trPr>
          <w:cantSplit/>
        </w:trPr>
        <w:tc>
          <w:tcPr>
            <w:tcW w:type="dxa" w:w="1632"/>
          </w:tcPr>
          <w:p>
            <w:pPr>
              <w:pStyle w:val="Compact"/>
              <w:spacing w:before="20" w:after="20" w:line="240" w:lineRule="auto"/>
              <w:keepNext/>
            </w:pPr>
            <w:r>
              <w:rPr>
                <w:sz w:val="14"/>
                <w:szCs w:val="14"/>
              </w:rPr>
              <w:t xml:space="preserve">출원이 제조공정 분류를 하나 이상 포함하는가</w:t>
            </w:r>
          </w:p>
        </w:tc>
        <w:tc>
          <w:tcPr>
            <w:tcW w:type="dxa" w:w="1677"/>
          </w:tcPr>
          <w:p>
            <w:pPr>
              <w:pStyle w:val="Compact"/>
              <w:spacing w:before="20" w:after="20" w:line="240" w:lineRule="auto"/>
              <w:keepNext/>
            </w:pPr>
            <w:r>
              <w:rPr>
                <w:sz w:val="14"/>
                <w:szCs w:val="14"/>
              </w:rPr>
              <w:t xml:space="preserve">has_process</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w:t>
            </w:r>
          </w:p>
        </w:tc>
        <w:tc>
          <w:tcPr>
            <w:tcW w:type="dxa" w:w="1451"/>
          </w:tcPr>
          <w:p>
            <w:pPr>
              <w:pStyle w:val="Compact"/>
              <w:spacing w:before="20" w:after="20" w:line="240" w:lineRule="auto"/>
              <w:keepNext/>
            </w:pPr>
            <w:r>
              <w:rPr>
                <w:sz w:val="14"/>
                <w:szCs w:val="14"/>
              </w:rPr>
              <w:t xml:space="preserve">승산비(OR)</w:t>
            </w:r>
          </w:p>
        </w:tc>
        <w:tc>
          <w:tcPr>
            <w:tcW w:type="dxa" w:w="1451"/>
          </w:tcPr>
          <w:p>
            <w:pPr>
              <w:pStyle w:val="Compact"/>
              <w:spacing w:before="20" w:after="20" w:line="240" w:lineRule="auto"/>
              <w:keepNext/>
            </w:pPr>
            <w:r>
              <w:rPr>
                <w:sz w:val="14"/>
                <w:szCs w:val="14"/>
              </w:rPr>
              <w:t xml:space="preserve">RQ1·RQ2 보완분석</w:t>
            </w:r>
          </w:p>
        </w:tc>
      </w:tr>
      <w:tr>
        <w:trPr>
          <w:cantSplit/>
        </w:trPr>
        <w:tc>
          <w:tcPr>
            <w:tcW w:type="dxa" w:w="1632"/>
          </w:tcPr>
          <w:p>
            <w:pPr>
              <w:pStyle w:val="Compact"/>
              <w:spacing w:before="20" w:after="20" w:line="240" w:lineRule="auto"/>
              <w:keepNext/>
            </w:pPr>
            <w:r>
              <w:rPr>
                <w:sz w:val="14"/>
                <w:szCs w:val="14"/>
              </w:rPr>
              <w:t xml:space="preserve">출원이 세 공동분류 유형 가운데 어디에 속하는가</w:t>
            </w:r>
          </w:p>
        </w:tc>
        <w:tc>
          <w:tcPr>
            <w:tcW w:type="dxa" w:w="1677"/>
          </w:tcPr>
          <w:p>
            <w:pPr>
              <w:pStyle w:val="Compact"/>
              <w:spacing w:before="20" w:after="20" w:line="240" w:lineRule="auto"/>
              <w:keepNext/>
            </w:pPr>
            <w:r>
              <w:rPr>
                <w:sz w:val="14"/>
                <w:szCs w:val="14"/>
              </w:rPr>
              <w:t xml:space="preserve">tech_cat</w:t>
            </w:r>
          </w:p>
        </w:tc>
        <w:tc>
          <w:tcPr>
            <w:tcW w:type="dxa" w:w="1360"/>
          </w:tcPr>
          <w:p>
            <w:pPr>
              <w:pStyle w:val="Compact"/>
              <w:spacing w:before="20" w:after="20" w:line="240" w:lineRule="auto"/>
              <w:keepNext/>
            </w:pPr>
            <w:r>
              <w:rPr>
                <w:sz w:val="14"/>
                <w:szCs w:val="14"/>
              </w:rPr>
              <w:t xml:space="preserve">순서 없는 3범주</w:t>
            </w:r>
          </w:p>
        </w:tc>
        <w:tc>
          <w:tcPr>
            <w:tcW w:type="dxa" w:w="1496"/>
          </w:tcPr>
          <w:p>
            <w:pPr>
              <w:pStyle w:val="Compact"/>
              <w:spacing w:before="20" w:after="20" w:line="240" w:lineRule="auto"/>
              <w:keepNext/>
            </w:pPr>
            <w:r>
              <w:rPr>
                <w:sz w:val="14"/>
                <w:szCs w:val="14"/>
              </w:rPr>
              <w:t xml:space="preserve">다항 로짓(기준 = 접합 단독형)</w:t>
            </w:r>
          </w:p>
        </w:tc>
        <w:tc>
          <w:tcPr>
            <w:tcW w:type="dxa" w:w="1451"/>
          </w:tcPr>
          <w:p>
            <w:pPr>
              <w:pStyle w:val="Compact"/>
              <w:spacing w:before="20" w:after="20" w:line="240" w:lineRule="auto"/>
              <w:keepNext/>
            </w:pPr>
            <w:r>
              <w:rPr>
                <w:sz w:val="14"/>
                <w:szCs w:val="14"/>
              </w:rPr>
              <w:t xml:space="preserve">상대위험비(RRR)</w:t>
            </w:r>
          </w:p>
        </w:tc>
        <w:tc>
          <w:tcPr>
            <w:tcW w:type="dxa" w:w="1451"/>
          </w:tcPr>
          <w:p>
            <w:pPr>
              <w:pStyle w:val="Compact"/>
              <w:spacing w:before="20" w:after="20" w:line="240" w:lineRule="auto"/>
              <w:keepNext/>
            </w:pPr>
            <w:r>
              <w:rPr>
                <w:sz w:val="14"/>
                <w:szCs w:val="14"/>
              </w:rPr>
              <w:t xml:space="preserve">RQ1, RQ2</w:t>
            </w:r>
          </w:p>
        </w:tc>
      </w:tr>
      <w:tr>
        <w:trPr>
          <w:cantSplit/>
        </w:trPr>
        <w:tc>
          <w:tcPr>
            <w:tcW w:type="dxa" w:w="1632"/>
          </w:tcPr>
          <w:p>
            <w:pPr>
              <w:pStyle w:val="Compact"/>
              <w:spacing w:before="20" w:after="20" w:line="240" w:lineRule="auto"/>
              <w:keepNext/>
            </w:pPr>
            <w:r>
              <w:rPr>
                <w:sz w:val="14"/>
                <w:szCs w:val="14"/>
              </w:rPr>
              <w:t xml:space="preserve">접합 기호를 가진 출원이 제조공정 기호도 함께 가지는가</w:t>
            </w:r>
          </w:p>
        </w:tc>
        <w:tc>
          <w:tcPr>
            <w:tcW w:type="dxa" w:w="1677"/>
          </w:tcPr>
          <w:p>
            <w:pPr>
              <w:pStyle w:val="Compact"/>
              <w:spacing w:before="20" w:after="20" w:line="240" w:lineRule="auto"/>
              <w:keepNext/>
            </w:pPr>
            <w:r>
              <w:rPr>
                <w:sz w:val="14"/>
                <w:szCs w:val="14"/>
              </w:rPr>
              <w:t xml:space="preserve">통합형 여부(H01L24 보유 출원)</w:t>
            </w:r>
          </w:p>
        </w:tc>
        <w:tc>
          <w:tcPr>
            <w:tcW w:type="dxa" w:w="1360"/>
          </w:tcPr>
          <w:p>
            <w:pPr>
              <w:pStyle w:val="Compact"/>
              <w:spacing w:before="20" w:after="20" w:line="240" w:lineRule="auto"/>
              <w:keepNext/>
            </w:pPr>
            <w:r>
              <w:rPr>
                <w:sz w:val="14"/>
                <w:szCs w:val="14"/>
              </w:rPr>
              <w:t xml:space="preserve">이항, 0/1</w:t>
            </w:r>
          </w:p>
        </w:tc>
        <w:tc>
          <w:tcPr>
            <w:tcW w:type="dxa" w:w="1496"/>
          </w:tcPr>
          <w:p>
            <w:pPr>
              <w:pStyle w:val="Compact"/>
              <w:spacing w:before="20" w:after="20" w:line="240" w:lineRule="auto"/>
              <w:keepNext/>
            </w:pPr>
            <w:r>
              <w:rPr>
                <w:sz w:val="14"/>
                <w:szCs w:val="14"/>
              </w:rPr>
              <w:t xml:space="preserve">이항 로짓(핵심 기술 × 출원 시기)</w:t>
            </w:r>
          </w:p>
        </w:tc>
        <w:tc>
          <w:tcPr>
            <w:tcW w:type="dxa" w:w="1451"/>
          </w:tcPr>
          <w:p>
            <w:pPr>
              <w:pStyle w:val="Compact"/>
              <w:spacing w:before="20" w:after="20" w:line="240" w:lineRule="auto"/>
              <w:keepNext/>
            </w:pPr>
            <w:r>
              <w:rPr>
                <w:sz w:val="14"/>
                <w:szCs w:val="14"/>
              </w:rPr>
              <w:t xml:space="preserve">시기별 승산비(OR)</w:t>
            </w:r>
          </w:p>
        </w:tc>
        <w:tc>
          <w:tcPr>
            <w:tcW w:type="dxa" w:w="1451"/>
          </w:tcPr>
          <w:p>
            <w:pPr>
              <w:pStyle w:val="Compact"/>
              <w:spacing w:before="20" w:after="20" w:line="240" w:lineRule="auto"/>
              <w:keepNext/>
            </w:pPr>
            <w:r>
              <w:rPr>
                <w:sz w:val="14"/>
                <w:szCs w:val="14"/>
              </w:rPr>
              <w:t xml:space="preserve">RQ3</w:t>
            </w:r>
          </w:p>
        </w:tc>
      </w:tr>
    </w:tbl>
    <w:p>
      <w:pPr>
        <w:pStyle w:val="BodyText"/>
      </w:pPr>
      <w:r>
        <w:rPr>
          <w:b/>
          <w:bCs/>
        </w:rPr>
        <w:t xml:space="preserve">제조공정 분류 보유 모형: 이항 로짓.</w:t>
      </w:r>
      <w:r>
        <w:t xml:space="preserve"> </w:t>
      </w:r>
      <w:r>
        <w:t xml:space="preserve">has_process는 H01L21(제조공정 분류)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주분석은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RQ1(기술범위와 통합형)과 RQ2(출원연도와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로짓(RQ3).</w:t>
      </w:r>
      <w:r>
        <w:t xml:space="preserve"> </w:t>
      </w:r>
      <w:r>
        <w:t xml:space="preserve">핵심 기술은 접합 기호이므로 공정 단독형 출원은 정의상 핵심 기술을 가질 수 없다. 따라서 RQ3은 H01L24 기호를 가진 출원 763건(통합형 425건, 접합 단독형 338건)에서 통합형 여부를 종속변수로 하는 이항 로짓으로 분석한다.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핵심 기술을 담은 출원의 통합형 우위가 최근으로 올수록 줄어들었다면 2014년 이전의 승산비는 1보다 크고 θ_t는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융합의 보조 지표.</w:t>
      </w:r>
      <w:r>
        <w:t xml:space="preserve"> </w:t>
      </w:r>
      <w:r>
        <w:t xml:space="preserve">RQ3이 묻는 융합의 이동을 개별 기호보다 넓은 수준에서 확인하기 위해 두 가지 지표를 시기별로 계산한다. 첫째, 제4.2절의 세 제조공정 영역(웨이퍼 제조공정, 공정 장치, 패키징 단계 공정)이 각각 접합 기호(H01L24)와 한 출원에 함께 부여되는 정도, 곧 결합 강도를 Jaccard 계수로 잰다(Jaccard, 1912). Jaccard 계수는 두 영역의 기호를 함께 가진 출원 수를 둘 가운데 하나라도 가진 출원 수로 나눈 값으로, 단순한 공출현 빈도와 달리 영역별 출원 규모의 차이를 보정한다. 둘째, 제4.4절의 회귀 자료 네트워크와 같은 방식으로 시기별 기술 네트워크를 만들어, 연결 강도가 큰 기호를 다른 기호와 가장 자주 함께 부여되는 허브로, 매개 중심성(betweenness centrality)이 큰 기호를 서로 다른 기호들을 잇는 연결로 본다. 매개 중심성은 다른 기호 쌍을 잇는 최단 경로 위에 그 기호가 놓이는 정도이며(Freeman, 1977), 연결의 가중치는 쓰지 않고 계산한다.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제시한다(제5.1절, 제5.2절). 핵심 기술 모형은 시기별·핵심 기술 보유별 통합형 비중을 함께 제시한다(제5.3절).</w:t>
      </w:r>
    </w:p>
    <w:p>
      <w:pPr>
        <w:pStyle w:val="BodyText"/>
      </w:pPr>
      <w:r>
        <w:rPr>
          <w:b/>
          <w:bCs/>
        </w:rPr>
        <w:t xml:space="preserve">강건성과 해석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핵심 기술 모형에는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핵심 기술 모형에는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결과 해석에는 5% 유의수준을 쓰되 단일 p값만으로 판단하지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9"/>
    <w:bookmarkEnd w:id="40"/>
    <w:bookmarkStart w:id="51" w:name="결과"/>
    <w:p>
      <w:pPr>
        <w:pStyle w:val="Heading2"/>
      </w:pPr>
      <w:r>
        <w:t xml:space="preserve">5. 결과</w:t>
      </w:r>
    </w:p>
    <w:bookmarkStart w:id="44" w:name="기술융합의-수준과-유형-rq1"/>
    <w:p>
      <w:pPr>
        <w:pStyle w:val="Heading3"/>
      </w:pPr>
      <w:r>
        <w:t xml:space="preserve">5.1 기술융합의 수준과 유형 (RQ1)</w:t>
      </w:r>
    </w:p>
    <w:p>
      <w:pPr>
        <w:pStyle w:val="FirstParagraph"/>
      </w:pPr>
      <w:r>
        <w:t xml:space="preserve">먼저 공정 단계 사이의 융합이 어느 정도로 나타나며 어떤 형태로 구성되는지를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표 7은 출원이 제조공정 기호(H01L21)를 가지는지에 대한 이항 로짓이다. 기술범위는 제조공정 기호의 보유와 강하게 관련되어, 세부 분류가 하나 늘 때마다 제조공정 기호를 가질 승산이 약 27% 높아진다(OR 1.267, p &lt; 0.01). 모형의 판별력을 나타내는 ROC 곡선 아래 면적(AUC)은 0.707로, Hosmer et al.(2013)의 기준에서 받아들일 만한 수준의 하단에 해당한다. 출원연도의 계수는 제5.2절에서 다룬다.</w:t>
      </w:r>
    </w:p>
    <w:p>
      <w:pPr>
        <w:pStyle w:val="BodyText"/>
        <w:keepNext/>
      </w:pPr>
      <w:r>
        <w:rPr>
          <w:b/>
          <w:bCs/>
        </w:rPr>
        <w:t xml:space="preserve">표 7.</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p>
      <w:pPr>
        <w:pStyle w:val="BodyText"/>
      </w:pPr>
      <w:r>
        <w:t xml:space="preserve">표 8은 접합 단독형을 기준으로 통합형과 공정 단독형의 상대위험비를 보고하는 다항 로짓으로, 어떤 특허가 경계를 넘는지를 보는 주분석이다. 그림 6은 이 모형에서 기술범위와 출원연도를 바꾸었을 때 세 유형의 예측확률을 보여 준다(다른 변수는 각 출원의 관측값에 둔 채 평균).</w:t>
      </w:r>
    </w:p>
    <w:p>
      <w:pPr>
        <w:pStyle w:val="BodyText"/>
      </w:pPr>
      <w:r>
        <w:rPr>
          <w:b/>
          <w:bCs/>
        </w:rPr>
        <w:t xml:space="preserve">제조공정 및 접합 영역에서 더 다양한 세부 기술 요소를 포함하는 출원일수록 통합형일 가능성이 높았다.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6 왼쪽). 넓은 출원은 두 영역에 걸치고, 좁은 출원은 한 영역에 머문다. 이는 통합형 특허가 선택된 CPC 영역 안에서 더 다양한 세부 기술을 포함한다는 구성적 특징이다.</w:t>
      </w:r>
    </w:p>
    <w:p>
      <w:pPr>
        <w:pStyle w:val="BodyText"/>
        <w:keepNext/>
      </w:pPr>
      <w:r>
        <w:drawing>
          <wp:inline>
            <wp:extent cx="5334000" cy="2794000"/>
            <wp:effectExtent b="0" l="0" r="0" t="0"/>
            <wp:docPr descr="" title="" id="42" name="Picture"/>
            <a:graphic>
              <a:graphicData uri="http://schemas.openxmlformats.org/drawingml/2006/picture">
                <pic:pic>
                  <pic:nvPicPr>
                    <pic:cNvPr descr="figures/fig_pred_types_v37_ko.png" id="43" name="Picture"/>
                    <pic:cNvPicPr>
                      <a:picLocks noChangeArrowheads="1" noChangeAspect="1"/>
                    </pic:cNvPicPr>
                  </pic:nvPicPr>
                  <pic:blipFill>
                    <a:blip r:embed="rId41"/>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8.</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4"/>
    <w:bookmarkStart w:id="48" w:name="기술융합의-시간적-변화-rq2"/>
    <w:p>
      <w:pPr>
        <w:pStyle w:val="Heading3"/>
      </w:pPr>
      <w:r>
        <w:t xml:space="preserve">5.2 기술융합의 시간적 변화 (RQ2)</w:t>
      </w:r>
    </w:p>
    <w:p>
      <w:pPr>
        <w:pStyle w:val="FirstParagraph"/>
      </w:pPr>
      <w:r>
        <w:t xml:space="preserve">공정 간 융합의 비중은 시기에 따라 크게 달랐다. 표 9와 그림 7은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9.</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6" name="Picture"/>
            <a:graphic>
              <a:graphicData uri="http://schemas.openxmlformats.org/drawingml/2006/picture">
                <pic:pic>
                  <pic:nvPicPr>
                    <pic:cNvPr descr="figures/fig7_period_shares_v37_ko.png" id="47" name="Picture"/>
                    <pic:cNvPicPr>
                      <a:picLocks noChangeArrowheads="1" noChangeAspect="1"/>
                    </pic:cNvPicPr>
                  </pic:nvPicPr>
                  <pic:blipFill>
                    <a:blip r:embed="rId45"/>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세 출원 시기별 공동분류 유형의 구성비(N = 928; 첫 시기는 1968–2014년으로 이후 두 시기보다 길다).</w:t>
      </w:r>
    </w:p>
    <w:p>
      <w:pPr>
        <w:pStyle w:val="BodyText"/>
      </w:pPr>
      <w:r>
        <w:rPr>
          <w:b/>
          <w:bCs/>
        </w:rPr>
        <w:t xml:space="preserve">출원연도가 최근일수록 특허는 공정 단독형보다 접합 단독형으로 분류될 가능성이 높아졌다.</w:t>
      </w:r>
      <w:r>
        <w:t xml:space="preserve"> </w:t>
      </w:r>
      <w:r>
        <w:t xml:space="preserve">표 8의 다항 로짓에서 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6 오른쪽). 표 7의 이항 로짓에서도 출원연도의 승산비는 1보다 작아(연간 OR 0.946, p &lt; 0.01) 최근 출원일수록 제조공정 기호를 가질 승산이 낮은데, 이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w:t>
      </w:r>
    </w:p>
    <w:p>
      <w:pPr>
        <w:pStyle w:val="BodyText"/>
      </w:pPr>
      <w:r>
        <w:t xml:space="preserve">기술범위와 통합형의 연관은 세 국면 모두에서 유지되었다. 시기별로 따로 추정하면 통합형의 상대위험비는 형성기 1.179, 확산기 1.513, 재편기 1.414로 모두 1% 수준에서 유의하다(첫 시기에는 비어 있는 출원청 칸이 많아 출원청 더미를 빼고 추정). 융합의 비중과 출원의 무게중심은 국면마다 바뀌었지만, 경계를 넘는 특허가 더 다양한 세부 기술을 담는다는 특징은 세 국면 모두에서 유지되었다.</w:t>
      </w:r>
    </w:p>
    <w:bookmarkEnd w:id="48"/>
    <w:bookmarkStart w:id="49" w:name="기술융합의-구조적-중심-변화-rq3"/>
    <w:p>
      <w:pPr>
        <w:pStyle w:val="Heading3"/>
      </w:pPr>
      <w:r>
        <w:t xml:space="preserve">5.3 기술융합의 구조적 중심 변화 (RQ3)</w:t>
      </w:r>
    </w:p>
    <w:p>
      <w:pPr>
        <w:pStyle w:val="FirstParagraph"/>
      </w:pPr>
      <w:r>
        <w:rPr>
          <w:b/>
          <w:bCs/>
        </w:rPr>
        <w:t xml:space="preserve">핵심 기술을 담은 출원은 초기에는 통합형일 가능성이 훨씬 높았지만, 그 차이는 최근 출원일수록 줄어들었다.</w:t>
      </w:r>
      <w:r>
        <w:t xml:space="preserve"> </w:t>
      </w:r>
      <w:r>
        <w:t xml:space="preserve">표 10은 그 분석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p>
      <w:pPr>
        <w:pStyle w:val="BodyText"/>
      </w:pPr>
      <w:r>
        <w:t xml:space="preserve">이 이동은 개별 기호를 넘어 제조공정 영역 전체와 기술 네트워크의 구조에서도 나타난다(표 11). 접합 기호와의 Jaccard 계수는 웨이퍼 제조공정이 형성기 0.306, 확산기 0.598, 재편기 0.159로 확산기에 가장 높았다가 크게 낮아진 반면, 공정 장치는 0.046, 0.059, 0.176으로, 패키징 단계 공정은 0.194, 0.234, 0.268로 계속 높아졌다. 각 영역의 기호가 접합 기호와 함께 부여된 출원 수도 확산기에서 재편기로 가면서 웨이퍼 제조공정은 119건에서 82건으로 줄었지만, 공정 장치는 11건에서 89건으로, 패키징 단계 공정은 43건에서 139건으로 늘었다. 접합과 가장 강하게 결합한 제조공정 영역은 형성기와 확산기의 웨이퍼 제조공정에서 재편기의 패키징 단계 공정으로 바뀌었다. 기술 네트워크에서는 허브와 그 연결이 다르게 움직였다. 연결 강도가 가장 큰 세 기호는 세 시기 모두 핵심 기호(24/80, 24/08, 24/05)여서, 핵심 기술은 허브의 자리를 지켰다. 반면 형성기와 확산기에 네트워크 전체에서 매개 중심성이 가장 컸던 기호는 반도체 몸체끼리의 접합(21/187)이었고, 웨이퍼 제조공정 기호가 전체 매개 중심성의 53.6%와 42.5%를 차지했다. 재편기에는 이 비중이 9.0%로 줄고 공정 장치 기호가 26.1%를 차지했으며, 매개 중심성이 가장 큰 제조공정 기호 다섯 개도 패키지 구조 등 조립체의 제조 장치(21/67121), 이송 장치의 기계 부품(21/67766), 기계적 처리 장치(21/67092), 임시 기판을 이용한 지지(21/6835)의 공정 장치 기호 네 개와 패키징 단계 공정 기호 하나(21/50)였다. 연결 가중치의 역수를 거리로 삼아 계산해도 이 방향은 같다. 핵심 기술은 네트워크의 중심에 그대로 남고, 접합과 제조공정을 잇는 연결이 웨이퍼 제조공정에서 공정 장치와 패키징 단계 공정으로 옮겨 간 것이다.</w:t>
      </w:r>
    </w:p>
    <w:p>
      <w:pPr>
        <w:pStyle w:val="BodyText"/>
        <w:keepNext/>
      </w:pPr>
      <w:r>
        <w:rPr>
          <w:b/>
          <w:bCs/>
        </w:rPr>
        <w:t xml:space="preserve">표 11.</w:t>
      </w:r>
      <w:r>
        <w:t xml:space="preserve"> </w:t>
      </w:r>
      <w:r>
        <w:t xml:space="preserve">시기별 제조공정 영역과 접합 기호의 결합 강도, 기술 네트워크의 허브와 연결(N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sz w:val="18"/>
                <w:szCs w:val="18"/>
              </w:rPr>
              <w:t xml:space="preserve">재편기(2020–2024)</w:t>
            </w:r>
          </w:p>
        </w:tc>
      </w:tr>
      <w:tr>
        <w:trPr>
          <w:cantSplit/>
        </w:trPr>
        <w:tc>
          <w:tcPr>
            <w:tcW w:type="dxa" w:w="2360"/>
          </w:tcPr>
          <w:p>
            <w:pPr>
              <w:pStyle w:val="Compact"/>
              <w:spacing w:before="20" w:after="20" w:line="240" w:lineRule="auto"/>
              <w:keepNext/>
            </w:pPr>
            <w:r>
              <w:rPr>
                <w:sz w:val="18"/>
                <w:szCs w:val="18"/>
              </w:rPr>
              <w:t xml:space="preserve">접합 기호와의 Jaccard: 웨이퍼 제조공정</w:t>
            </w:r>
          </w:p>
        </w:tc>
        <w:tc>
          <w:tcPr>
            <w:tcW w:type="dxa" w:w="2236"/>
          </w:tcPr>
          <w:p>
            <w:pPr>
              <w:pStyle w:val="Compact"/>
              <w:spacing w:before="20" w:after="20" w:line="240" w:lineRule="auto"/>
              <w:jc w:val="center"/>
              <w:keepNext/>
            </w:pPr>
            <w:r>
              <w:rPr>
                <w:sz w:val="18"/>
                <w:szCs w:val="18"/>
              </w:rPr>
              <w:t xml:space="preserve">0.306 (52)</w:t>
            </w:r>
          </w:p>
        </w:tc>
        <w:tc>
          <w:tcPr>
            <w:tcW w:type="dxa" w:w="2236"/>
          </w:tcPr>
          <w:p>
            <w:pPr>
              <w:pStyle w:val="Compact"/>
              <w:spacing w:before="20" w:after="20" w:line="240" w:lineRule="auto"/>
              <w:jc w:val="center"/>
              <w:keepNext/>
            </w:pPr>
            <w:r>
              <w:rPr>
                <w:sz w:val="18"/>
                <w:szCs w:val="18"/>
              </w:rPr>
              <w:t xml:space="preserve">0.598 (119)</w:t>
            </w:r>
          </w:p>
        </w:tc>
        <w:tc>
          <w:tcPr>
            <w:tcW w:type="dxa" w:w="2236"/>
          </w:tcPr>
          <w:p>
            <w:pPr>
              <w:pStyle w:val="Compact"/>
              <w:spacing w:before="20" w:after="20" w:line="240" w:lineRule="auto"/>
              <w:jc w:val="center"/>
              <w:keepNext/>
            </w:pPr>
            <w:r>
              <w:rPr>
                <w:sz w:val="18"/>
                <w:szCs w:val="18"/>
              </w:rPr>
              <w:t xml:space="preserve">0.159 (82)</w:t>
            </w:r>
          </w:p>
        </w:tc>
      </w:tr>
      <w:tr>
        <w:trPr>
          <w:cantSplit/>
        </w:trPr>
        <w:tc>
          <w:tcPr>
            <w:tcW w:type="dxa" w:w="2360"/>
          </w:tcPr>
          <w:p>
            <w:pPr>
              <w:pStyle w:val="Compact"/>
              <w:spacing w:before="20" w:after="20" w:line="240" w:lineRule="auto"/>
              <w:keepNext/>
            </w:pPr>
            <w:r>
              <w:rPr>
                <w:sz w:val="18"/>
                <w:szCs w:val="18"/>
              </w:rPr>
              <w:t xml:space="preserve">접합 기호와의 Jaccard: 공정 장치</w:t>
            </w:r>
          </w:p>
        </w:tc>
        <w:tc>
          <w:tcPr>
            <w:tcW w:type="dxa" w:w="2236"/>
          </w:tcPr>
          <w:p>
            <w:pPr>
              <w:pStyle w:val="Compact"/>
              <w:spacing w:before="20" w:after="20" w:line="240" w:lineRule="auto"/>
              <w:jc w:val="center"/>
              <w:keepNext/>
            </w:pPr>
            <w:r>
              <w:rPr>
                <w:sz w:val="18"/>
                <w:szCs w:val="18"/>
              </w:rPr>
              <w:t xml:space="preserve">0.046 (5)</w:t>
            </w:r>
          </w:p>
        </w:tc>
        <w:tc>
          <w:tcPr>
            <w:tcW w:type="dxa" w:w="2236"/>
          </w:tcPr>
          <w:p>
            <w:pPr>
              <w:pStyle w:val="Compact"/>
              <w:spacing w:before="20" w:after="20" w:line="240" w:lineRule="auto"/>
              <w:jc w:val="center"/>
              <w:keepNext/>
            </w:pPr>
            <w:r>
              <w:rPr>
                <w:sz w:val="18"/>
                <w:szCs w:val="18"/>
              </w:rPr>
              <w:t xml:space="preserve">0.059 (11)</w:t>
            </w:r>
          </w:p>
        </w:tc>
        <w:tc>
          <w:tcPr>
            <w:tcW w:type="dxa" w:w="2236"/>
          </w:tcPr>
          <w:p>
            <w:pPr>
              <w:pStyle w:val="Compact"/>
              <w:spacing w:before="20" w:after="20" w:line="240" w:lineRule="auto"/>
              <w:jc w:val="center"/>
              <w:keepNext/>
            </w:pPr>
            <w:r>
              <w:rPr>
                <w:sz w:val="18"/>
                <w:szCs w:val="18"/>
              </w:rPr>
              <w:t xml:space="preserve">0.176 (89)</w:t>
            </w:r>
          </w:p>
        </w:tc>
      </w:tr>
      <w:tr>
        <w:trPr>
          <w:cantSplit/>
        </w:trPr>
        <w:tc>
          <w:tcPr>
            <w:tcW w:type="dxa" w:w="2360"/>
          </w:tcPr>
          <w:p>
            <w:pPr>
              <w:pStyle w:val="Compact"/>
              <w:spacing w:before="20" w:after="20" w:line="240" w:lineRule="auto"/>
              <w:keepNext/>
            </w:pPr>
            <w:r>
              <w:rPr>
                <w:sz w:val="18"/>
                <w:szCs w:val="18"/>
              </w:rPr>
              <w:t xml:space="preserve">접합 기호와의 Jaccard: 패키징 단계 공정</w:t>
            </w:r>
          </w:p>
        </w:tc>
        <w:tc>
          <w:tcPr>
            <w:tcW w:type="dxa" w:w="2236"/>
          </w:tcPr>
          <w:p>
            <w:pPr>
              <w:pStyle w:val="Compact"/>
              <w:spacing w:before="20" w:after="20" w:line="240" w:lineRule="auto"/>
              <w:jc w:val="center"/>
              <w:keepNext/>
            </w:pPr>
            <w:r>
              <w:rPr>
                <w:sz w:val="18"/>
                <w:szCs w:val="18"/>
              </w:rPr>
              <w:t xml:space="preserve">0.194 (21)</w:t>
            </w:r>
          </w:p>
        </w:tc>
        <w:tc>
          <w:tcPr>
            <w:tcW w:type="dxa" w:w="2236"/>
          </w:tcPr>
          <w:p>
            <w:pPr>
              <w:pStyle w:val="Compact"/>
              <w:spacing w:before="20" w:after="20" w:line="240" w:lineRule="auto"/>
              <w:jc w:val="center"/>
              <w:keepNext/>
            </w:pPr>
            <w:r>
              <w:rPr>
                <w:sz w:val="18"/>
                <w:szCs w:val="18"/>
              </w:rPr>
              <w:t xml:space="preserve">0.234 (43)</w:t>
            </w:r>
          </w:p>
        </w:tc>
        <w:tc>
          <w:tcPr>
            <w:tcW w:type="dxa" w:w="2236"/>
          </w:tcPr>
          <w:p>
            <w:pPr>
              <w:pStyle w:val="Compact"/>
              <w:spacing w:before="20" w:after="20" w:line="240" w:lineRule="auto"/>
              <w:jc w:val="center"/>
              <w:keepNext/>
            </w:pPr>
            <w:r>
              <w:rPr>
                <w:sz w:val="18"/>
                <w:szCs w:val="18"/>
              </w:rPr>
              <w:t xml:space="preserve">0.268 (139)</w:t>
            </w:r>
          </w:p>
        </w:tc>
      </w:tr>
      <w:tr>
        <w:trPr>
          <w:cantSplit/>
        </w:trPr>
        <w:tc>
          <w:tcPr>
            <w:tcW w:type="dxa" w:w="2360"/>
          </w:tcPr>
          <w:p>
            <w:pPr>
              <w:pStyle w:val="Compact"/>
              <w:spacing w:before="20" w:after="20" w:line="240" w:lineRule="auto"/>
              <w:keepNext/>
            </w:pPr>
            <w:r>
              <w:rPr>
                <w:sz w:val="18"/>
                <w:szCs w:val="18"/>
              </w:rPr>
              <w:t xml:space="preserve">매개 중심성 비중(%): 웨이퍼 제조공정</w:t>
            </w:r>
          </w:p>
        </w:tc>
        <w:tc>
          <w:tcPr>
            <w:tcW w:type="dxa" w:w="2236"/>
          </w:tcPr>
          <w:p>
            <w:pPr>
              <w:pStyle w:val="Compact"/>
              <w:spacing w:before="20" w:after="20" w:line="240" w:lineRule="auto"/>
              <w:jc w:val="center"/>
              <w:keepNext/>
            </w:pPr>
            <w:r>
              <w:rPr>
                <w:sz w:val="18"/>
                <w:szCs w:val="18"/>
              </w:rPr>
              <w:t xml:space="preserve">53.6</w:t>
            </w:r>
          </w:p>
        </w:tc>
        <w:tc>
          <w:tcPr>
            <w:tcW w:type="dxa" w:w="2236"/>
          </w:tcPr>
          <w:p>
            <w:pPr>
              <w:pStyle w:val="Compact"/>
              <w:spacing w:before="20" w:after="20" w:line="240" w:lineRule="auto"/>
              <w:jc w:val="center"/>
              <w:keepNext/>
            </w:pPr>
            <w:r>
              <w:rPr>
                <w:sz w:val="18"/>
                <w:szCs w:val="18"/>
              </w:rPr>
              <w:t xml:space="preserve">42.5</w:t>
            </w:r>
          </w:p>
        </w:tc>
        <w:tc>
          <w:tcPr>
            <w:tcW w:type="dxa" w:w="2236"/>
          </w:tcPr>
          <w:p>
            <w:pPr>
              <w:pStyle w:val="Compact"/>
              <w:spacing w:before="20" w:after="20" w:line="240" w:lineRule="auto"/>
              <w:jc w:val="center"/>
              <w:keepNext/>
            </w:pPr>
            <w:r>
              <w:rPr>
                <w:sz w:val="18"/>
                <w:szCs w:val="18"/>
              </w:rPr>
              <w:t xml:space="preserve">9.0</w:t>
            </w:r>
          </w:p>
        </w:tc>
      </w:tr>
      <w:tr>
        <w:trPr>
          <w:cantSplit/>
        </w:trPr>
        <w:tc>
          <w:tcPr>
            <w:tcW w:type="dxa" w:w="2360"/>
          </w:tcPr>
          <w:p>
            <w:pPr>
              <w:pStyle w:val="Compact"/>
              <w:spacing w:before="20" w:after="20" w:line="240" w:lineRule="auto"/>
              <w:keepNext/>
            </w:pPr>
            <w:r>
              <w:rPr>
                <w:sz w:val="18"/>
                <w:szCs w:val="18"/>
              </w:rPr>
              <w:t xml:space="preserve">매개 중심성 비중(%): 공정 장치</w:t>
            </w:r>
          </w:p>
        </w:tc>
        <w:tc>
          <w:tcPr>
            <w:tcW w:type="dxa" w:w="2236"/>
          </w:tcPr>
          <w:p>
            <w:pPr>
              <w:pStyle w:val="Compact"/>
              <w:spacing w:before="20" w:after="20" w:line="240" w:lineRule="auto"/>
              <w:jc w:val="center"/>
              <w:keepNext/>
            </w:pPr>
            <w:r>
              <w:rPr>
                <w:sz w:val="18"/>
                <w:szCs w:val="18"/>
              </w:rPr>
              <w:t xml:space="preserve">0.0</w:t>
            </w:r>
          </w:p>
        </w:tc>
        <w:tc>
          <w:tcPr>
            <w:tcW w:type="dxa" w:w="2236"/>
          </w:tcPr>
          <w:p>
            <w:pPr>
              <w:pStyle w:val="Compact"/>
              <w:spacing w:before="20" w:after="20" w:line="240" w:lineRule="auto"/>
              <w:jc w:val="center"/>
              <w:keepNext/>
            </w:pPr>
            <w:r>
              <w:rPr>
                <w:sz w:val="18"/>
                <w:szCs w:val="18"/>
              </w:rPr>
              <w:t xml:space="preserve">1.8</w:t>
            </w:r>
          </w:p>
        </w:tc>
        <w:tc>
          <w:tcPr>
            <w:tcW w:type="dxa" w:w="2236"/>
          </w:tcPr>
          <w:p>
            <w:pPr>
              <w:pStyle w:val="Compact"/>
              <w:spacing w:before="20" w:after="20" w:line="240" w:lineRule="auto"/>
              <w:jc w:val="center"/>
              <w:keepNext/>
            </w:pPr>
            <w:r>
              <w:rPr>
                <w:sz w:val="18"/>
                <w:szCs w:val="18"/>
              </w:rPr>
              <w:t xml:space="preserve">26.1</w:t>
            </w:r>
          </w:p>
        </w:tc>
      </w:tr>
      <w:tr>
        <w:trPr>
          <w:cantSplit/>
        </w:trPr>
        <w:tc>
          <w:tcPr>
            <w:tcW w:type="dxa" w:w="2360"/>
          </w:tcPr>
          <w:p>
            <w:pPr>
              <w:pStyle w:val="Compact"/>
              <w:spacing w:before="20" w:after="20" w:line="240" w:lineRule="auto"/>
              <w:keepNext/>
            </w:pPr>
            <w:r>
              <w:rPr>
                <w:sz w:val="18"/>
                <w:szCs w:val="18"/>
              </w:rPr>
              <w:t xml:space="preserve">매개 중심성 비중(%): 패키징 단계 공정</w:t>
            </w:r>
          </w:p>
        </w:tc>
        <w:tc>
          <w:tcPr>
            <w:tcW w:type="dxa" w:w="2236"/>
          </w:tcPr>
          <w:p>
            <w:pPr>
              <w:pStyle w:val="Compact"/>
              <w:spacing w:before="20" w:after="20" w:line="240" w:lineRule="auto"/>
              <w:jc w:val="center"/>
              <w:keepNext/>
            </w:pPr>
            <w:r>
              <w:rPr>
                <w:sz w:val="18"/>
                <w:szCs w:val="18"/>
              </w:rPr>
              <w:t xml:space="preserve">0.3</w:t>
            </w:r>
          </w:p>
        </w:tc>
        <w:tc>
          <w:tcPr>
            <w:tcW w:type="dxa" w:w="2236"/>
          </w:tcPr>
          <w:p>
            <w:pPr>
              <w:pStyle w:val="Compact"/>
              <w:spacing w:before="20" w:after="20" w:line="240" w:lineRule="auto"/>
              <w:jc w:val="center"/>
              <w:keepNext/>
            </w:pPr>
            <w:r>
              <w:rPr>
                <w:sz w:val="18"/>
                <w:szCs w:val="18"/>
              </w:rPr>
              <w:t xml:space="preserve">0.6</w:t>
            </w:r>
          </w:p>
        </w:tc>
        <w:tc>
          <w:tcPr>
            <w:tcW w:type="dxa" w:w="2236"/>
          </w:tcPr>
          <w:p>
            <w:pPr>
              <w:pStyle w:val="Compact"/>
              <w:spacing w:before="20" w:after="20" w:line="240" w:lineRule="auto"/>
              <w:jc w:val="center"/>
              <w:keepNext/>
            </w:pPr>
            <w:r>
              <w:rPr>
                <w:sz w:val="18"/>
                <w:szCs w:val="18"/>
              </w:rPr>
              <w:t xml:space="preserve">7.3</w:t>
            </w:r>
          </w:p>
        </w:tc>
      </w:tr>
      <w:tr>
        <w:trPr>
          <w:cantSplit/>
        </w:trPr>
        <w:tc>
          <w:tcPr>
            <w:tcW w:type="dxa" w:w="2360"/>
          </w:tcPr>
          <w:p>
            <w:pPr>
              <w:pStyle w:val="Compact"/>
              <w:spacing w:before="20" w:after="20" w:line="240" w:lineRule="auto"/>
              <w:keepNext/>
            </w:pPr>
            <w:r>
              <w:rPr>
                <w:sz w:val="18"/>
                <w:szCs w:val="18"/>
              </w:rPr>
              <w:t xml:space="preserve">매개 중심성 비중(%): 접합 기호(H01L24)</w:t>
            </w:r>
          </w:p>
        </w:tc>
        <w:tc>
          <w:tcPr>
            <w:tcW w:type="dxa" w:w="2236"/>
          </w:tcPr>
          <w:p>
            <w:pPr>
              <w:pStyle w:val="Compact"/>
              <w:spacing w:before="20" w:after="20" w:line="240" w:lineRule="auto"/>
              <w:jc w:val="center"/>
              <w:keepNext/>
            </w:pPr>
            <w:r>
              <w:rPr>
                <w:sz w:val="18"/>
                <w:szCs w:val="18"/>
              </w:rPr>
              <w:t xml:space="preserve">46.1</w:t>
            </w:r>
          </w:p>
        </w:tc>
        <w:tc>
          <w:tcPr>
            <w:tcW w:type="dxa" w:w="2236"/>
          </w:tcPr>
          <w:p>
            <w:pPr>
              <w:pStyle w:val="Compact"/>
              <w:spacing w:before="20" w:after="20" w:line="240" w:lineRule="auto"/>
              <w:jc w:val="center"/>
              <w:keepNext/>
            </w:pPr>
            <w:r>
              <w:rPr>
                <w:sz w:val="18"/>
                <w:szCs w:val="18"/>
              </w:rPr>
              <w:t xml:space="preserve">55.1</w:t>
            </w:r>
          </w:p>
        </w:tc>
        <w:tc>
          <w:tcPr>
            <w:tcW w:type="dxa" w:w="2236"/>
          </w:tcPr>
          <w:p>
            <w:pPr>
              <w:pStyle w:val="Compact"/>
              <w:spacing w:before="20" w:after="20" w:line="240" w:lineRule="auto"/>
              <w:jc w:val="center"/>
              <w:keepNext/>
            </w:pPr>
            <w:r>
              <w:rPr>
                <w:sz w:val="18"/>
                <w:szCs w:val="18"/>
              </w:rPr>
              <w:t xml:space="preserve">57.6</w:t>
            </w:r>
          </w:p>
        </w:tc>
      </w:tr>
      <w:tr>
        <w:trPr>
          <w:cantSplit/>
        </w:trPr>
        <w:tc>
          <w:tcPr>
            <w:tcW w:type="dxa" w:w="2360"/>
          </w:tcPr>
          <w:p>
            <w:pPr>
              <w:pStyle w:val="Compact"/>
              <w:spacing w:before="20" w:after="20" w:line="240" w:lineRule="auto"/>
              <w:keepNext/>
            </w:pPr>
            <w:r>
              <w:rPr>
                <w:sz w:val="18"/>
                <w:szCs w:val="18"/>
              </w:rPr>
              <w:t xml:space="preserve">허브: 연결 강도 상위 세 기호</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24/80, 24/05, 24/08</w:t>
            </w:r>
          </w:p>
        </w:tc>
        <w:tc>
          <w:tcPr>
            <w:tcW w:type="dxa" w:w="2236"/>
          </w:tcPr>
          <w:p>
            <w:pPr>
              <w:pStyle w:val="Compact"/>
              <w:spacing w:before="20" w:after="20" w:line="240" w:lineRule="auto"/>
              <w:jc w:val="center"/>
              <w:keepNext/>
            </w:pPr>
            <w:r>
              <w:rPr>
                <w:sz w:val="18"/>
                <w:szCs w:val="18"/>
              </w:rPr>
              <w:t xml:space="preserve">24/08, 24/80, 24/05</w:t>
            </w:r>
          </w:p>
        </w:tc>
      </w:tr>
      <w:tr>
        <w:trPr>
          <w:cantSplit/>
        </w:trPr>
        <w:tc>
          <w:tcPr>
            <w:tcW w:type="dxa" w:w="2360"/>
          </w:tcPr>
          <w:p>
            <w:pPr>
              <w:pStyle w:val="Compact"/>
              <w:spacing w:before="20" w:after="20" w:line="240" w:lineRule="auto"/>
              <w:keepNext/>
            </w:pPr>
            <w:r>
              <w:rPr>
                <w:sz w:val="18"/>
                <w:szCs w:val="18"/>
              </w:rPr>
              <w:t xml:space="preserve">연결 기호: 매개 중심성 상위 제조공정 기호</w:t>
            </w:r>
          </w:p>
        </w:tc>
        <w:tc>
          <w:tcPr>
            <w:tcW w:type="dxa" w:w="2236"/>
          </w:tcPr>
          <w:p>
            <w:pPr>
              <w:pStyle w:val="Compact"/>
              <w:spacing w:before="20" w:after="20" w:line="240" w:lineRule="auto"/>
              <w:jc w:val="center"/>
              <w:keepNext/>
            </w:pPr>
            <w:r>
              <w:rPr>
                <w:sz w:val="18"/>
                <w:szCs w:val="18"/>
              </w:rPr>
              <w:t xml:space="preserve">21/187, 21/76251</w:t>
            </w:r>
          </w:p>
        </w:tc>
        <w:tc>
          <w:tcPr>
            <w:tcW w:type="dxa" w:w="2236"/>
          </w:tcPr>
          <w:p>
            <w:pPr>
              <w:pStyle w:val="Compact"/>
              <w:spacing w:before="20" w:after="20" w:line="240" w:lineRule="auto"/>
              <w:jc w:val="center"/>
              <w:keepNext/>
            </w:pPr>
            <w:r>
              <w:rPr>
                <w:sz w:val="18"/>
                <w:szCs w:val="18"/>
              </w:rPr>
              <w:t xml:space="preserve">21/187, 21/2007</w:t>
            </w:r>
          </w:p>
        </w:tc>
        <w:tc>
          <w:tcPr>
            <w:tcW w:type="dxa" w:w="2236"/>
          </w:tcPr>
          <w:p>
            <w:pPr>
              <w:pStyle w:val="Compact"/>
              <w:spacing w:before="20" w:after="20" w:line="240" w:lineRule="auto"/>
              <w:jc w:val="center"/>
              <w:keepNext/>
            </w:pPr>
            <w:r>
              <w:rPr>
                <w:sz w:val="18"/>
                <w:szCs w:val="18"/>
              </w:rPr>
              <w:t xml:space="preserve">21/67121, 21/67766</w:t>
            </w:r>
          </w:p>
        </w:tc>
      </w:tr>
    </w:tbl>
    <w:p>
      <w:pPr>
        <w:pStyle w:val="BodyText"/>
      </w:pPr>
      <w:r>
        <w:rPr>
          <w:i/>
          <w:iCs/>
        </w:rPr>
        <w:t xml:space="preserve">주:</w:t>
      </w:r>
      <w:r>
        <w:t xml:space="preserve"> </w:t>
      </w:r>
      <w: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쓰지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bookmarkEnd w:id="49"/>
    <w:bookmarkStart w:id="50" w:name="강건성-검증"/>
    <w:p>
      <w:pPr>
        <w:pStyle w:val="Heading3"/>
      </w:pPr>
      <w:r>
        <w:t xml:space="preserve">5.4 강건성 검증</w:t>
      </w:r>
    </w:p>
    <w:p>
      <w:pPr>
        <w:pStyle w:val="FirstParagraph"/>
      </w:pPr>
      <w:r>
        <w:t xml:space="preserve">결과가 표본과 변수 정의에 따라 달라지는지 확인하기 위해 원자료에서 표본과 변수를 바꾸어 다시 추정하였다. 표 12는 다항 로짓(RQ1·RQ2)의 핵심 계수를, 표 13은 핵심 기술 모형(RQ3)의 시기별 승산비를 비교하고, 다항 로짓의 전체 계수는 부록 A에 실었다.</w:t>
      </w:r>
    </w:p>
    <w:p>
      <w:pPr>
        <w:pStyle w:val="BodyText"/>
        <w:keepNext/>
      </w:pPr>
      <w:r>
        <w:rPr>
          <w:b/>
          <w:bCs/>
        </w:rPr>
        <w:t xml:space="preserve">표 12.</w:t>
      </w:r>
      <w:r>
        <w:t xml:space="preserve"> </w:t>
      </w:r>
      <w:r>
        <w:t xml:space="preserve">다항 로짓(RQ1·RQ2)의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8)</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12의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기술범위와 출원연도의 핵심 계수는 모두 1% 수준에서 유지된다.</w:t>
      </w:r>
    </w:p>
    <w:p>
      <w:pPr>
        <w:pStyle w:val="BodyText"/>
      </w:pPr>
      <w:r>
        <w:rPr>
          <w:b/>
          <w:bCs/>
        </w:rPr>
        <w:t xml:space="preserve">제조공정의 정의.</w:t>
      </w:r>
      <w:r>
        <w:t xml:space="preserve"> </w:t>
      </w:r>
      <w:r>
        <w:t xml:space="preserve">제4.2절에서 밝혔듯이 H01L21(제조공정 분류)에는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두 핵심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핵심 기술 분석(RQ3)의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 표 12의 다항 로짓에 적용한 것과 같은 방식으로 관측치의 독립성, 동일 제목 중복, 제조공정의 정의, 검색어의 무관한 용법을 확인한다. 표 13에서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rPr>
        <w:t xml:space="preserve">표 13.</w:t>
      </w:r>
      <w:r>
        <w:t xml:space="preserve"> </w:t>
      </w:r>
      <w:r>
        <w:t xml:space="preserve">핵심 기술 모형(RQ3)의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p>
      <w:pPr>
        <w:pStyle w:val="BodyText"/>
      </w:pPr>
      <w:r>
        <w:t xml:space="preserve">표 14는 세 연구질문에 대한 기준 결과와 제5.4절의 재추정 결과를 함께 정리한 것이다.</w:t>
      </w:r>
    </w:p>
    <w:p>
      <w:pPr>
        <w:pStyle w:val="BodyText"/>
        <w:keepNext/>
      </w:pPr>
      <w:r>
        <w:rPr>
          <w:b/>
          <w:bCs/>
        </w:rPr>
        <w:t xml:space="preserve">표 14.</w:t>
      </w:r>
      <w:r>
        <w:t xml:space="preserve"> </w:t>
      </w:r>
      <w:r>
        <w:t xml:space="preserve">연구질문별 주요 결과 요약(* p &lt; 0.10, ** p &lt; 0.05, *** p &lt; 0.01; 95% CI는 로그 계수 ± 1.96 × 표준오차를 지수 변환한 값).</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78"/>
        <w:gridCol w:w="2157"/>
        <w:gridCol w:w="2504"/>
        <w:gridCol w:w="2830"/>
      </w:tblGrid>
      <w:tr>
        <w:trPr>
          <w:tblHeader w:val="on"/>
          <w:cantSplit/>
        </w:trPr>
        <w:tc>
          <w:tcPr>
            <w:tcW w:type="dxa" w:w="1578"/>
            <w:tcBorders>
              <w:bottom w:val="single" w:sz="4" w:space="0" w:color="000000"/>
            </w:tcBorders>
          </w:tcPr>
          <w:p>
            <w:pPr>
              <w:pStyle w:val="Compact"/>
              <w:spacing w:before="20" w:after="20" w:line="240" w:lineRule="auto"/>
              <w:keepNext/>
            </w:pPr>
            <w:r>
              <w:rPr>
                <w:sz w:val="18"/>
                <w:szCs w:val="18"/>
              </w:rPr>
              <w:t xml:space="preserve">연구질문</w:t>
            </w:r>
          </w:p>
        </w:tc>
        <w:tc>
          <w:tcPr>
            <w:tcW w:type="dxa" w:w="2157"/>
            <w:tcBorders>
              <w:bottom w:val="single" w:sz="4" w:space="0" w:color="000000"/>
            </w:tcBorders>
          </w:tcPr>
          <w:p>
            <w:pPr>
              <w:pStyle w:val="Compact"/>
              <w:spacing w:before="20" w:after="20" w:line="240" w:lineRule="auto"/>
              <w:keepNext/>
            </w:pPr>
            <w:r>
              <w:rPr>
                <w:sz w:val="18"/>
                <w:szCs w:val="18"/>
              </w:rPr>
              <w:t xml:space="preserve">분석</w:t>
            </w:r>
          </w:p>
        </w:tc>
        <w:tc>
          <w:tcPr>
            <w:tcW w:type="dxa" w:w="2504"/>
            <w:tcBorders>
              <w:bottom w:val="single" w:sz="4" w:space="0" w:color="000000"/>
            </w:tcBorders>
          </w:tcPr>
          <w:p>
            <w:pPr>
              <w:pStyle w:val="Compact"/>
              <w:spacing w:before="20" w:after="20" w:line="240" w:lineRule="auto"/>
              <w:keepNext/>
            </w:pPr>
            <w:r>
              <w:rPr>
                <w:sz w:val="18"/>
                <w:szCs w:val="18"/>
              </w:rPr>
              <w:t xml:space="preserve">주요 결과</w:t>
            </w:r>
          </w:p>
        </w:tc>
        <w:tc>
          <w:tcPr>
            <w:tcW w:type="dxa" w:w="2830"/>
            <w:tcBorders>
              <w:bottom w:val="single" w:sz="4" w:space="0" w:color="000000"/>
            </w:tcBorders>
          </w:tcPr>
          <w:p>
            <w:pPr>
              <w:pStyle w:val="Compact"/>
              <w:spacing w:before="20" w:after="20" w:line="240" w:lineRule="auto"/>
              <w:keepNext/>
            </w:pPr>
            <w:r>
              <w:rPr>
                <w:sz w:val="18"/>
                <w:szCs w:val="18"/>
              </w:rPr>
              <w:t xml:space="preserve">재추정</w:t>
            </w:r>
          </w:p>
        </w:tc>
      </w:tr>
      <w:tr>
        <w:trPr>
          <w:cantSplit/>
        </w:trPr>
        <w:tc>
          <w:tcPr>
            <w:tcW w:type="dxa" w:w="1578"/>
          </w:tcPr>
          <w:p>
            <w:pPr>
              <w:pStyle w:val="Compact"/>
              <w:spacing w:before="20" w:after="20" w:line="240" w:lineRule="auto"/>
              <w:keepNext/>
            </w:pPr>
            <w:r>
              <w:rPr>
                <w:sz w:val="18"/>
                <w:szCs w:val="18"/>
              </w:rPr>
              <w:t xml:space="preserve">RQ1 수준과 유형</w:t>
            </w:r>
          </w:p>
        </w:tc>
        <w:tc>
          <w:tcPr>
            <w:tcW w:type="dxa" w:w="2157"/>
          </w:tcPr>
          <w:p>
            <w:pPr>
              <w:pStyle w:val="Compact"/>
              <w:spacing w:before="20" w:after="20" w:line="240" w:lineRule="auto"/>
              <w:keepNext/>
            </w:pPr>
            <w:r>
              <w:rPr>
                <w:sz w:val="18"/>
                <w:szCs w:val="18"/>
              </w:rPr>
              <w:t xml:space="preserve">유형 분포, 다항 로짓(기술범위 → 통합형)</w:t>
            </w:r>
          </w:p>
        </w:tc>
        <w:tc>
          <w:tcPr>
            <w:tcW w:type="dxa" w:w="2504"/>
          </w:tcPr>
          <w:p>
            <w:pPr>
              <w:pStyle w:val="Compact"/>
              <w:spacing w:before="20" w:after="20" w:line="240" w:lineRule="auto"/>
              <w:keepNext/>
            </w:pPr>
            <w:r>
              <w:rPr>
                <w:sz w:val="18"/>
                <w:szCs w:val="18"/>
              </w:rPr>
              <w:t xml:space="preserve">통합형 45.8%(좁은 정의 37.2%); RRR 1.403***(95% CI 1.321–1.489; 표 8)</w:t>
            </w:r>
          </w:p>
        </w:tc>
        <w:tc>
          <w:tcPr>
            <w:tcW w:type="dxa" w:w="2830"/>
          </w:tcPr>
          <w:p>
            <w:pPr>
              <w:pStyle w:val="Compact"/>
              <w:spacing w:before="20" w:after="20" w:line="240" w:lineRule="auto"/>
              <w:keepNext/>
            </w:pPr>
            <w:r>
              <w:rPr>
                <w:sz w:val="18"/>
                <w:szCs w:val="18"/>
              </w:rPr>
              <w:t xml:space="preserve">표 12의 모든 재추정에서 1.295–1.485***(구성적 연관)</w:t>
            </w:r>
          </w:p>
        </w:tc>
      </w:tr>
      <w:tr>
        <w:trPr>
          <w:cantSplit/>
        </w:trPr>
        <w:tc>
          <w:tcPr>
            <w:tcW w:type="dxa" w:w="1578"/>
          </w:tcPr>
          <w:p>
            <w:pPr>
              <w:pStyle w:val="Compact"/>
              <w:spacing w:before="20" w:after="20" w:line="240" w:lineRule="auto"/>
              <w:keepNext/>
            </w:pPr>
            <w:r>
              <w:rPr>
                <w:sz w:val="18"/>
                <w:szCs w:val="18"/>
              </w:rPr>
              <w:t xml:space="preserve">RQ2 시간적 변화</w:t>
            </w:r>
          </w:p>
        </w:tc>
        <w:tc>
          <w:tcPr>
            <w:tcW w:type="dxa" w:w="2157"/>
          </w:tcPr>
          <w:p>
            <w:pPr>
              <w:pStyle w:val="Compact"/>
              <w:spacing w:before="20" w:after="20" w:line="240" w:lineRule="auto"/>
              <w:keepNext/>
            </w:pPr>
            <w:r>
              <w:rPr>
                <w:sz w:val="18"/>
                <w:szCs w:val="18"/>
              </w:rPr>
              <w:t xml:space="preserve">시기별 유형 분포, 다항 로짓(출원연도 → 공정 단독형)</w:t>
            </w:r>
          </w:p>
        </w:tc>
        <w:tc>
          <w:tcPr>
            <w:tcW w:type="dxa" w:w="2504"/>
          </w:tcPr>
          <w:p>
            <w:pPr>
              <w:pStyle w:val="Compact"/>
              <w:spacing w:before="20" w:after="20" w:line="240" w:lineRule="auto"/>
              <w:keepNext/>
            </w:pPr>
            <w:r>
              <w:rPr>
                <w:sz w:val="18"/>
                <w:szCs w:val="18"/>
              </w:rPr>
              <w:t xml:space="preserve">통합형 31.3% → 62.2% → 44.3%(표 9); RRR 0.913***(95% CI 0.887–0.940; 표 8); 기간 더미 0.273***/0.101***; 기술범위의 연관은 세 시기 모두 1.179–1.513***</w:t>
            </w:r>
          </w:p>
        </w:tc>
        <w:tc>
          <w:tcPr>
            <w:tcW w:type="dxa" w:w="2830"/>
          </w:tcPr>
          <w:p>
            <w:pPr>
              <w:pStyle w:val="Compact"/>
              <w:spacing w:before="20" w:after="20" w:line="240" w:lineRule="auto"/>
              <w:keepNext/>
            </w:pPr>
            <w:r>
              <w:rPr>
                <w:sz w:val="18"/>
                <w:szCs w:val="18"/>
              </w:rPr>
              <w:t xml:space="preserve">0.820–0.935***(표 12); 다만 2014년 이전 출원이 30건뿐인</w:t>
            </w:r>
            <w:r>
              <w:rPr>
                <w:sz w:val="18"/>
                <w:szCs w:val="18"/>
              </w:rPr>
              <w:t xml:space="preserve"> </w:t>
            </w:r>
            <w:r>
              <w:rPr>
                <w:i/>
                <w:iCs/>
                <w:sz w:val="18"/>
                <w:szCs w:val="18"/>
              </w:rPr>
              <w:t xml:space="preserve">hybrid bonding</w:t>
            </w:r>
            <w:r>
              <w:rPr>
                <w:sz w:val="18"/>
                <w:szCs w:val="18"/>
              </w:rPr>
              <w:t xml:space="preserve"> </w:t>
            </w:r>
            <w:r>
              <w:rPr>
                <w:sz w:val="18"/>
                <w:szCs w:val="18"/>
              </w:rPr>
              <w:t xml:space="preserve">표본에서는 시간 추세가 식별되지 않음</w:t>
            </w:r>
          </w:p>
        </w:tc>
      </w:tr>
      <w:tr>
        <w:trPr>
          <w:cantSplit/>
        </w:trPr>
        <w:tc>
          <w:tcPr>
            <w:tcW w:type="dxa" w:w="1578"/>
          </w:tcPr>
          <w:p>
            <w:pPr>
              <w:pStyle w:val="Compact"/>
              <w:spacing w:before="20" w:after="20" w:line="240" w:lineRule="auto"/>
              <w:keepNext/>
            </w:pPr>
            <w:r>
              <w:rPr>
                <w:sz w:val="18"/>
                <w:szCs w:val="18"/>
              </w:rPr>
              <w:t xml:space="preserve">RQ3 구조적 중심 변화</w:t>
            </w:r>
          </w:p>
        </w:tc>
        <w:tc>
          <w:tcPr>
            <w:tcW w:type="dxa" w:w="2157"/>
          </w:tcPr>
          <w:p>
            <w:pPr>
              <w:pStyle w:val="Compact"/>
              <w:spacing w:before="20" w:after="20" w:line="240" w:lineRule="auto"/>
              <w:keepNext/>
            </w:pPr>
            <w:r>
              <w:rPr>
                <w:sz w:val="18"/>
                <w:szCs w:val="18"/>
              </w:rPr>
              <w:t xml:space="preserve">이항 로짓(핵심 기술 × 출원 시기), 영역별 결합 강도와 매개 중심성</w:t>
            </w:r>
          </w:p>
        </w:tc>
        <w:tc>
          <w:tcPr>
            <w:tcW w:type="dxa" w:w="2504"/>
          </w:tcPr>
          <w:p>
            <w:pPr>
              <w:pStyle w:val="Compact"/>
              <w:spacing w:before="20" w:after="20" w:line="240" w:lineRule="auto"/>
              <w:keepNext/>
            </w:pPr>
            <w:r>
              <w:rPr>
                <w:sz w:val="18"/>
                <w:szCs w:val="18"/>
              </w:rPr>
              <w:t xml:space="preserve">핵심 기술의 승산비 11.071***(95% CI 4.211–29.107) → 2.452** → 0.658(비유의; 표 10); 2020–2024년 상호작용 0.059***; 접합과 가장 강하게 결합한 제조공정 영역은 웨이퍼 제조공정에서 패키징 단계 공정으로(표 11)</w:t>
            </w:r>
          </w:p>
        </w:tc>
        <w:tc>
          <w:tcPr>
            <w:tcW w:type="dxa" w:w="2830"/>
          </w:tcPr>
          <w:p>
            <w:pPr>
              <w:pStyle w:val="Compact"/>
              <w:spacing w:before="20" w:after="20" w:line="240" w:lineRule="auto"/>
              <w:keepNext/>
            </w:pPr>
            <w:r>
              <w:rPr>
                <w:sz w:val="18"/>
                <w:szCs w:val="18"/>
              </w:rPr>
              <w:t xml:space="preserve">모든 재추정에서 상호작용 0.050–0.185, 모두 5% 수준에서 유의(표 13)</w:t>
            </w:r>
          </w:p>
        </w:tc>
      </w:tr>
    </w:tbl>
    <w:bookmarkEnd w:id="50"/>
    <w:bookmarkEnd w:id="51"/>
    <w:bookmarkStart w:id="55" w:name="논의"/>
    <w:p>
      <w:pPr>
        <w:pStyle w:val="Heading2"/>
      </w:pPr>
      <w:r>
        <w:t xml:space="preserve">6. 논의</w:t>
      </w:r>
    </w:p>
    <w:bookmarkStart w:id="52"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 표 15와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15.</w:t>
      </w:r>
      <w:r>
        <w:t xml:space="preserve"> </w:t>
      </w:r>
      <w:r>
        <w:t xml:space="preserve">하이브리드 본딩에서 공정 단계 간 융합의 세 국면(유형 비중은 표 9,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제조공정 영역별 결합 강도와 기술 네트워크의 매개 중심성도 같은 변화를 보여 준다. 핵심 기호가 세 시기 내내 허브로 남은 가운데, 접합과 결합하는 제조공정의 중심과 둘을 잇는 연결은 웨이퍼 제조공정에서 공정 장치와 패키징 단계 공정으로 옮겨 갔다(제5.3절, 표 11). 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2"/>
    <w:bookmarkStart w:id="53"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3"/>
    <w:bookmarkStart w:id="54"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핵심 기술 분석의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4"/>
    <w:bookmarkEnd w:id="55"/>
    <w:bookmarkStart w:id="56"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아니다. 통합형은 45.8%로 가장 많은 유형이었고 좁은 정의로도 37.2%였으며, 세부 기술을 더 다양하게 담은 특허일수록 경계를 넘을 가능성이 높았다. 둘째, 융합의 수준과 형태는 세 국면을 거쳐 바뀌었다. 형성기에는 제조공정 발명이 홀로 나오는 경우가 가장 많았고, 확산기에는 두 공정을 함께 담은 통합형이 62.2%로 정점에 이르렀으며, 재편기에는 통합형이 줄고 접합 단독형이 늘었다.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기술적 다양성과 통합형의 연관은 세 국면 모두에서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6"/>
    <w:bookmarkStart w:id="57"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7"/>
    <w:bookmarkStart w:id="60" w:name="부록"/>
    <w:p>
      <w:pPr>
        <w:pStyle w:val="Heading2"/>
      </w:pPr>
      <w:r>
        <w:t xml:space="preserve">부록</w:t>
      </w:r>
    </w:p>
    <w:bookmarkStart w:id="58" w:name="부록-a.-재추정-결과-전체"/>
    <w:p>
      <w:pPr>
        <w:pStyle w:val="Heading3"/>
      </w:pPr>
      <w:r>
        <w:t xml:space="preserve">부록 A. 재추정 결과 전체</w:t>
      </w:r>
    </w:p>
    <w:p>
      <w:pPr>
        <w:pStyle w:val="FirstParagraph"/>
      </w:pPr>
      <w:r>
        <w:t xml:space="preserve">표 A1과 A2는 본문 표 12에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모형(RQ3)도 같은 표본을 쓴다.</w:t>
      </w:r>
    </w:p>
    <w:bookmarkEnd w:id="58"/>
    <w:bookmarkStart w:id="59"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9"/>
    <w:bookmarkEnd w:id="60"/>
    <w:bookmarkEnd w:id="61"/>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1" Type="http://schemas.openxmlformats.org/officeDocument/2006/relationships/image" Target="media/rId31.png"/><Relationship Id="rId45" Type="http://schemas.openxmlformats.org/officeDocument/2006/relationships/image" Target="media/rId45.png"/><Relationship Id="rId35" Type="http://schemas.openxmlformats.org/officeDocument/2006/relationships/image" Target="media/rId35.png"/><Relationship Id="rId24" Type="http://schemas.openxmlformats.org/officeDocument/2006/relationships/image" Target="media/rId24.png"/><Relationship Id="rId20" Type="http://schemas.openxmlformats.org/officeDocument/2006/relationships/image" Target="media/rId20.png"/><Relationship Id="rId41" Type="http://schemas.openxmlformats.org/officeDocument/2006/relationships/image" Target="media/rId41.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2026-10-09T15:31:35Z</dcterms:created>
  <dcterms:modified xsi:type="dcterms:W3CDTF">2026-10-09T15:31:35Z</dcterms:modified>
</cp:coreProperties>
</file>

<file path=docProps/custom.xml><?xml version="1.0" encoding="utf-8"?>
<Properties xmlns="http://schemas.openxmlformats.org/officeDocument/2006/custom-properties" xmlns:vt="http://schemas.openxmlformats.org/officeDocument/2006/docPropsVTypes"/>
</file>