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3.png" ContentType="image/png"/>
  <Override PartName="/word/media/rId3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15130fac4c15da50dea453d2c1e71679906a40f"/>
    <w:p>
      <w:pPr>
        <w:pStyle w:val="Heading1"/>
      </w:pPr>
      <w:r>
        <w:t xml:space="preserve">후공정이 전공정으로 들어갈 때: 반도체 하이브리드 본딩에서의 기술융합과 경계를 넘는 특허</w:t>
      </w:r>
    </w:p>
    <w:p>
      <w:pPr>
        <w:pStyle w:val="FirstParagraph"/>
      </w:pPr>
      <w:r>
        <w:rPr>
          <w:b/>
          <w:bCs/>
        </w:rPr>
        <w:t xml:space="preserve">When the back end reaches into the front end: Technological convergence and boundary-spanning patents in semiconductor hybrid bonding</w:t>
      </w:r>
    </w:p>
    <w:p>
      <w:pPr>
        <w:pStyle w:val="BodyText"/>
      </w:pPr>
      <w:r>
        <w:rPr>
          <w:b/>
          <w:bCs/>
        </w:rPr>
        <w:t xml:space="preserve">이형규 (HyungKyu Lee)</w:t>
      </w:r>
      <w:r>
        <w:t xml:space="preserve"> </w:t>
      </w:r>
      <w:r>
        <w:t xml:space="preserve">^a,*</w:t>
      </w:r>
    </w:p>
    <w:p>
      <w:pPr>
        <w:pStyle w:val="BodyText"/>
      </w:pPr>
      <w:r>
        <w:t xml:space="preserve">^a [대학명] 기술경영학과, 서울, 대한민국</w:t>
      </w:r>
    </w:p>
    <w:p>
      <w:pPr>
        <w:pStyle w:val="BodyText"/>
      </w:pPr>
      <w:r>
        <w:t xml:space="preserve">* 교신저자. E-mail: [기관 이메일]</w:t>
      </w:r>
    </w:p>
    <w:p>
      <w:pPr>
        <w:pStyle w:val="BodyText"/>
      </w:pPr>
      <w:r>
        <w:rPr>
          <w:i/>
          <w:iCs/>
        </w:rPr>
        <w:t xml:space="preserve">저널 투고용 원고 v2(국문). v1_ko에서 §3.2 생태계 절과 표 1을 삭제하고 부록 A·B를 본문에 편입하였다. 대상 저널: Technovation / Technological Forecasting and Social Change (Elsevier) 양식. 원고 유형: 연구논문. 분량: 본문 약 7,500단어 상당(참고문헌·표·부록 제외).</w:t>
      </w:r>
    </w:p>
    <w:p>
      <w:r>
        <w:pict>
          <v:rect style="width:0;height:1.5pt" o:hralign="center" o:hrstd="t" o:hr="t"/>
        </w:pict>
      </w:r>
    </w:p>
    <w:bookmarkStart w:id="9" w:name="하이라이트-highlights"/>
    <w:p>
      <w:pPr>
        <w:pStyle w:val="Heading2"/>
      </w:pPr>
      <w:r>
        <w:t xml:space="preserve">하이라이트 (Highlights)</w:t>
      </w:r>
    </w:p>
    <w:p>
      <w:pPr>
        <w:pStyle w:val="Compact"/>
        <w:numPr>
          <w:ilvl w:val="0"/>
          <w:numId w:val="1001"/>
        </w:numPr>
      </w:pPr>
      <w:r>
        <w:t xml:space="preserve">하이브리드 본딩 특허로 가치사슬</w:t>
      </w:r>
      <w:r>
        <w:t xml:space="preserve"> </w:t>
      </w:r>
      <w:r>
        <w:rPr>
          <w:i/>
          <w:iCs/>
        </w:rPr>
        <w:t xml:space="preserve">내부</w:t>
      </w:r>
      <w:r>
        <w:t xml:space="preserve">의 기술융합을 검정한다.</w:t>
      </w:r>
    </w:p>
    <w:p>
      <w:pPr>
        <w:pStyle w:val="Compact"/>
        <w:numPr>
          <w:ilvl w:val="0"/>
          <w:numId w:val="1001"/>
        </w:numPr>
      </w:pPr>
      <w:r>
        <w:t xml:space="preserve">PATSTAT 928건 중 63.6%가 접합(H01L24)과 함께 전공정(H01L21)을 청구한다.</w:t>
      </w:r>
    </w:p>
    <w:p>
      <w:pPr>
        <w:pStyle w:val="Compact"/>
        <w:numPr>
          <w:ilvl w:val="0"/>
          <w:numId w:val="1001"/>
        </w:numPr>
      </w:pPr>
      <w:r>
        <w:t xml:space="preserve">CPC 서브클래스가 하나 늘 때마다 전공정 청구 승산이 약 27% 높아진다.</w:t>
      </w:r>
    </w:p>
    <w:p>
      <w:pPr>
        <w:pStyle w:val="Compact"/>
        <w:numPr>
          <w:ilvl w:val="0"/>
          <w:numId w:val="1001"/>
        </w:numPr>
      </w:pPr>
      <w:r>
        <w:t xml:space="preserve">순수 전공정 청구는 시간이 갈수록 줄지만, 경계를 넘는 청구는 줄지 않는다.</w:t>
      </w:r>
    </w:p>
    <w:p>
      <w:pPr>
        <w:pStyle w:val="Compact"/>
        <w:numPr>
          <w:ilvl w:val="0"/>
          <w:numId w:val="1001"/>
        </w:numPr>
      </w:pPr>
      <w:r>
        <w:t xml:space="preserve">중국 출원청 출원은 공정 지향적이고, 일본 출원청 출원은 거의 그렇지 않다.</w:t>
      </w:r>
    </w:p>
    <w:p>
      <w:r>
        <w:pict>
          <v:rect style="width:0;height:1.5pt" o:hralign="center" o:hrstd="t" o:hr="t"/>
        </w:pict>
      </w:r>
    </w:p>
    <w:bookmarkEnd w:id="9"/>
    <w:bookmarkStart w:id="10"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10"/>
    <w:bookmarkStart w:id="11"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1"/>
    <w:bookmarkStart w:id="12"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 분리가 지금 무너지고 있다. 미세화(dimensional scaling)가 둔화되고 그 비용이 상승하면서, 산업은 트랜지스터 너머—다이를 어떻게 분할하고 적층하고 연결하는가—에서 성능을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흥미로운 사례인 이유는, 그 성패가 역사적으로 전공정에 속했던 역량—나노미터급 화학적 기계연마, 표면 활성화, 서브미크론 정렬—에 달려 있기 때문이다. 후공정 공정이 사실상 전공정 노하우에 의존하게 된 것이다. 선도 파운드리들은 첨단 패키징 플랫폼을 하청업체에 넘기지 않고 내재화하는 방식으로 대응하였고(Lau, 2022), 산업 관측자들은 제조와 패키징 사이의 경계가 흐려졌다고 점점 더 자주 서술한다(KnowMade/Yole Group, 2024).</w:t>
      </w:r>
    </w:p>
    <w:p>
      <w:pPr>
        <w:pStyle w:val="BodyText"/>
      </w:pPr>
      <w:r>
        <w:t xml:space="preserve">본 연구는 이러한 흐려짐이 개별 발명 수준에서 관찰·측정·설명될 수 있는지를 묻는다. 우리는 기술융합—이전에는 구분되던 기술적·산업적 영역이 겹치고 재결합하는 과정(Rosenberg, 1963; Kodama, 1992; Curran and Leker, 2011; Sick and Bröring, 2022)—에 관한 문헌을 바탕으로 하되, 그동안 거의 주목받지 못한 방향으로 이를 확장한다. 융합에 관한 거의 모든 실증 연구는</w:t>
      </w:r>
      <w:r>
        <w:t xml:space="preserve"> </w:t>
      </w:r>
      <w:r>
        <w:rPr>
          <w:i/>
          <w:iCs/>
        </w:rPr>
        <w:t xml:space="preserve">서로 다른 산업</w:t>
      </w:r>
      <w:r>
        <w:t xml:space="preserve"> </w:t>
      </w:r>
      <w:r>
        <w:t xml:space="preserve">의 만남을 다룬다. 정보통신기술과 가전(Gambardella and Torrisi, 1998; Hacklin et al., 2009), 식품과 제약(Bröring et al., 2006; Curran et al., 2010), 나노기술과 바이오기술(No and Park, 2010)이 그것이다. 한 산업</w:t>
      </w:r>
      <w:r>
        <w:t xml:space="preserve"> </w:t>
      </w:r>
      <w:r>
        <w:rPr>
          <w:i/>
          <w:iCs/>
        </w:rPr>
        <w:t xml:space="preserve">내부</w:t>
      </w:r>
      <w:r>
        <w:t xml:space="preserve"> </w:t>
      </w:r>
      <w:r>
        <w:t xml:space="preserve">에서, 그 산업 자체의 가치사슬 단계를 가로지르는 융합은 같은 도구로 검토된 적이 없다. 그러나 산업 아키텍처—누가 무엇을 하고 누가 가치를 획득하는가—를 재편하는 것은 바로 이런 종류의 융합이다(Jacobides et al., 2006).</w:t>
      </w:r>
    </w:p>
    <w:p>
      <w:pPr>
        <w:pStyle w:val="BodyText"/>
      </w:pPr>
      <w:r>
        <w:t xml:space="preserve">우리는 하이브리드 본딩을 이러한 검토에 적합한 자연적 실험장으로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이러한 공동분류(co-classification)는 융합의 표준적 특허 기반 신호이며(Curran and Leker, 2011; Preschitschek et al., 2013; Kwon et al., 2020), 새로운 점은 이를 두 산업 사이가 아니라 한 산업을 관통하는 경계에 적용한다는 것이다. 이어서 세 가지를 묻는다. 경계 넘기는 얼마나 흔하며, 기술이 성숙하면서 그 형태는 변했는가? 특허의 어떤 속성—기술범위, 출원 시점, 출원청—이 경계 넘기와 연관되는가? 그리고 이러한 패턴은 각 출원청(관할권)에서 드러나는 출원·보호 전략과 어떻게 관련되는가?</w:t>
      </w:r>
    </w:p>
    <w:p>
      <w:pPr>
        <w:pStyle w:val="BodyText"/>
      </w:pPr>
      <w:r>
        <w:t xml:space="preserve">세 가지 발견이 두드러진다.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지배적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융합은 경계를 넘는 청구의 단순 증가가 아니라 재구성(recomposition)을 통해 진행된 것이다. 셋째, 출원청이 산업 아키텍처와 추격의 양상에 부합하는 방식으로 중요하다.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뒤에 감추는 전략적 이질성을 회복한다(cf. Cho and Kim, 2014). 방법론적으로는 두 개의 CPC 클래스, 하나의 공동분류 규칙, 표준 카운트·이산선택 추정량이라는 투명하고 재현 가능한 설계를 제시하며, 이는 하류 단계가 상류 역량을 흡수하기 시작한 다른 공정기술에도 이전 가능하다.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2"/>
    <w:bookmarkStart w:id="17" w:name="이론적-배경과-가설"/>
    <w:p>
      <w:pPr>
        <w:pStyle w:val="Heading2"/>
      </w:pPr>
      <w:r>
        <w:t xml:space="preserve">2. 이론적 배경과 가설</w:t>
      </w:r>
    </w:p>
    <w:bookmarkStart w:id="13"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산업이 어떻게 출현했는지를 보이며, 기업들이 한 제품—총기, 재봉틀, 자전거—을 위해 개발한 공정이 다른 제품에도 적용될 수 있음을 깨닫는 과정을 기술적 수렴(technological convergence)이라 불렀다. Kodama(1992)는 이후</w:t>
      </w:r>
      <w:r>
        <w:t xml:space="preserve"> </w:t>
      </w:r>
      <w:r>
        <w:rPr>
          <w:i/>
          <w:iCs/>
        </w:rPr>
        <w:t xml:space="preserve">기술융합(technology fusion)</w:t>
      </w:r>
      <w:r>
        <w:t xml:space="preserve"> </w:t>
      </w:r>
      <w:r>
        <w:t xml:space="preserve">을 기술하였다. 기업이 이전에는 분리되어 있던 기술 분야들을 결합하여 어느 쪽도 단독으로는 갖지 못한 역량을 창출하는 과정이며, 이는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단계적으로—지식 융합에서 기술 융합과 응용 융합을 거쳐 산업 융합으로—전개되며,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기술혁신경영의 인정된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동인에 관한 기업 수준 증거는 비교적 최근의 것이다.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특징이 본 연구에 중요하다. 첫째는</w:t>
      </w:r>
      <w:r>
        <w:t xml:space="preserve"> </w:t>
      </w:r>
      <w:r>
        <w:rPr>
          <w:i/>
          <w:iCs/>
        </w:rPr>
        <w:t xml:space="preserve">서로 다른</w:t>
      </w:r>
      <w:r>
        <w:t xml:space="preserve"> </w:t>
      </w:r>
      <w:r>
        <w:t xml:space="preserve">영역의 만남에 대한 초점이다. 전형적 사례—통신과 컴퓨팅, 식품과 제약, 나노기술과 바이오기술—는 서로 다른 산업의 기업들이 자신들의 지식 기반이 겹친다는 것을 발견하는 상황이다. 둘째는 융합이 통상 측정되는 수준이다. 두 기술 분야 사이의 공동분류, 공동인용 또는 의미적 유사성의 집계 지표가 그것이다(Curran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덜 적합한데, 개별 특허의 전략적 이질성을 평균해 버리기 때문이다.</w:t>
      </w:r>
    </w:p>
    <w:bookmarkEnd w:id="13"/>
    <w:bookmarkStart w:id="14" w:name="가치사슬-단계-간-융합-반도체의-경우"/>
    <w:p>
      <w:pPr>
        <w:pStyle w:val="Heading3"/>
      </w:pPr>
      <w:r>
        <w:t xml:space="preserve">2.2 가치사슬 단계 간 융합: 반도체의 경우</w:t>
      </w:r>
    </w:p>
    <w:p>
      <w:pPr>
        <w:pStyle w:val="FirstParagraph"/>
      </w:pPr>
      <w:r>
        <w:t xml:space="preserve">다른 종류의 경계는 한 산업의 가치사슬 단계들을 가르는 경계다. 반도체 산업은 그 단계들이 수직 전문화와 산업 아키텍처에 관한 지속적 연구의 대상이 되어 왔기 때문에 유독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통합이 전문화와 나란히 지속되었음을 보였다. 단계를 가로지르는 역량을 유지한 기업은 전문기업과 다른 방식으로 기술 전환을 헤쳐 나갔고, 그들의 선택이 산업의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기술적 상호의존이 단계 간에 높을 때 기업이</w:t>
      </w:r>
      <w:r>
        <w:t xml:space="preserve"> </w:t>
      </w:r>
      <w:r>
        <w:t xml:space="preserve">“만드는 것보다 더 많이 안다”</w:t>
      </w:r>
      <w:r>
        <w:t xml:space="preserve">는 Brusoni et al.(2001)의 관찰과 공명한다. Adner와 Kapoor(2010)는 생태계 내에서 혁신 난제의 위치—상류 부품인가 하류 보완재인가—가 새로운 기술 세대의 수혜자를 조건 짓는다고 덧붙였다.</w:t>
      </w:r>
    </w:p>
    <w:p>
      <w:pPr>
        <w:pStyle w:val="BodyText"/>
      </w:pPr>
      <w:r>
        <w:t xml:space="preserve">이 문헌이 융합과 갖는 관련성은, 수직 전문화가 단계 간의</w:t>
      </w:r>
      <w:r>
        <w:t xml:space="preserve"> </w:t>
      </w:r>
      <w:r>
        <w:rPr>
          <w:i/>
          <w:iCs/>
        </w:rPr>
        <w:t xml:space="preserve">안정적 인터페이스</w:t>
      </w:r>
      <w:r>
        <w:t xml:space="preserve"> </w:t>
      </w:r>
      <w:r>
        <w:t xml:space="preserve">에 의존한다는 점을 인식하면 분명해진다. D. Ernst(2005)는 칩 설계의 수직 전문화가 의존하는 모듈성이 복잡성이 커지면서 한계를 갖는다는 것을 보였다. Jacobides et al.(2006)은 산업 아키텍처—누가 무엇을 하고 가치가 어떻게 나뉘는지를 정의하는 템플릿—가 그 자체로 경쟁의 대상이며, 단계 간 상호의존을 바꾸는 혁신은 그 재협상을 불러온다고 주장하였다. 하이브리드 본딩이 그런 혁신이다. 그 수율이 웨이퍼 수준 평탄화, 표면 화학, 정렬이라는 전공정에 자리한 역량에 달려 있기 때문에, 제조와 패키징 사이의 인터페이스는 더 이상 안정적이지 않다. 그 결과는 두 산업 사이가 아니라 한 산업의 두 단계 사이의 융합이다. 후공정 기업은 전공정 역량을 획득해야 하고, 전공정 기업은 자신의 역량이 패키징으로 자연스럽게 확장됨을 발견한다. 이것이 무어의 법칙 종언 문헌이 일반적 용어로 예견하고(Arden et al., 2010; Iyer, 2016; Khan et al., 2018) 패키징 공학 문헌이 기술적으로 기술해 온 현상이다(Lau, 2021, 2022). 빠져 있던 것은 이를 발명의 기록 속에서 관찰하는 방법이었다.</w:t>
      </w:r>
    </w:p>
    <w:bookmarkEnd w:id="14"/>
    <w:bookmarkStart w:id="15"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융합 측정에 가장 널리 쓰이는 데이터다. 분류 코드가 각 발명을 하나 이상의 기술 분야에 위치시키고, 인용이 분야 간 지식 흐름을 기록하기 때문이다(Curran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신호의 선택—공동분류—에서는 첫째 전통에 속하지만, 분석 단위에서 그로부터 벗어난다. 공동분류를 분야 수준 지수로 집계하는 대신, 각 특허의 이항 속성을 정의한다. 후공정 접합 클래스(H01L24)로 분류된 발명이 전공정 제조 기호(H01L21)도 보유하는가. 우리는 이런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두 갈래의 특허 연구가 설명변수에 정보를 준다. 첫째는</w:t>
      </w:r>
      <w:r>
        <w:t xml:space="preserve"> </w:t>
      </w:r>
      <w:r>
        <w:rPr>
          <w:i/>
          <w:iCs/>
        </w:rPr>
        <w:t xml:space="preserve">특허 범위(patent scope)</w:t>
      </w:r>
      <w:r>
        <w:t xml:space="preserve"> </w:t>
      </w:r>
      <w:r>
        <w:t xml:space="preserve">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넓은 청구가 합리적 전략이 되는 조건이다. 둘째는 특허 행태의</w:t>
      </w:r>
      <w:r>
        <w:t xml:space="preserve"> </w:t>
      </w:r>
      <w:r>
        <w:rPr>
          <w:i/>
          <w:iCs/>
        </w:rPr>
        <w:t xml:space="preserve">관할권 차이</w:t>
      </w:r>
      <w:r>
        <w:t xml:space="preserve"> </w:t>
      </w:r>
      <w:r>
        <w:t xml:space="preserve">다. 서로 다른 특허청에의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추격 이론은 더 일반적으로 후발자가 시스템 전체를 청구하기 전에 특정 생산 단계의 내재화에 집중한다고 예측한다(Lee and Lim, 2001).</w:t>
      </w:r>
    </w:p>
    <w:bookmarkEnd w:id="15"/>
    <w:bookmarkStart w:id="16" w:name="가설"/>
    <w:p>
      <w:pPr>
        <w:pStyle w:val="Heading3"/>
      </w:pPr>
      <w:r>
        <w:t xml:space="preserve">2.4 가설</w:t>
      </w:r>
    </w:p>
    <w:p>
      <w:pPr>
        <w:pStyle w:val="FirstParagraph"/>
      </w:pPr>
      <w:r>
        <w:t xml:space="preserve">위 논의는 어떤 하이브리드 본딩 특허가 전/후공정 경계를 넘는지에 관한 네 가지 기대를 낳는다.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메커니즘은 부분적으로 기계적이다—클래스가 많을수록 그중 하나가 H01L21일 기회가 많다—그러나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직접 접합을 가능케 한 제조 단계—표면 준비, 저온 어닐링, 평탄화—에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우리는</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기대한다.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집중—범위가 더 좁고 공정 단독형이 더 많음—할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 가설들은 특허 속성과 경계 넘기 사이의 연관에 관한 것이지 인과효과에 관한 것이 아니다. 이 구분은 제6.3절에서 다시 다룬다.</w:t>
      </w:r>
    </w:p>
    <w:bookmarkEnd w:id="16"/>
    <w:bookmarkEnd w:id="17"/>
    <w:bookmarkStart w:id="18"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단계—서브나노미터 거칠기로의 화학적 기계연마, 플라즈마 또는 화학적 표면 활성화, 파티클 제어, 서브미크론 정렬—는 CPC의 의미에서 전공정 역량이다. 이들은 접합·인터커넥트 클래스인 H01L24가 아니라 반도체 장치 제조를 위한 공정·장치 클래스인 H01L21에 속한다(제4.1절, 표 1).</w:t>
      </w:r>
    </w:p>
    <w:p>
      <w:pPr>
        <w:pStyle w:val="BodyText"/>
      </w:pPr>
      <w:r>
        <w:t xml:space="preserve">산업 지형도 같은 방향을 가리킨다. 하이브리드 본딩 특허 랜드스케이프에 대한 독립적 산업 분석은 TSMC, Adeia, YMTC, Intel, Samsung을 선도 출원인으로 지목한다(KnowMade/Yole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 흔적을 남기는가가 이후 절이 다루는 질문이다.</w:t>
      </w:r>
    </w:p>
    <w:bookmarkEnd w:id="18"/>
    <w:bookmarkStart w:id="28" w:name="데이터와-방법"/>
    <w:p>
      <w:pPr>
        <w:pStyle w:val="Heading2"/>
      </w:pPr>
      <w:r>
        <w:t xml:space="preserve">4. 데이터와 방법</w:t>
      </w:r>
    </w:p>
    <w:bookmarkStart w:id="22"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그림 1). 추출 결과는 출원–CPC 레코드 5,277건이며 각 레코드는 하나의 출원과 하나의 CPC 기호를 짝짓는다.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전/후공정 경계를 정의하는 CPC 클래스.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명칭(요약)</w:t>
            </w:r>
          </w:p>
        </w:tc>
        <w:tc>
          <w:tcPr/>
          <w:p>
            <w:pPr>
              <w:pStyle w:val="Compact"/>
            </w:pPr>
            <w:r>
              <w:t xml:space="preserve">대표 기술</w:t>
            </w:r>
          </w:p>
        </w:tc>
      </w:tr>
      <w:tr>
        <w:tc>
          <w:tcPr/>
          <w:p>
            <w:pPr>
              <w:pStyle w:val="Compact"/>
            </w:pPr>
            <w:r>
              <w:t xml:space="preserve">H01L21</w:t>
            </w:r>
          </w:p>
        </w:tc>
        <w:tc>
          <w:tcPr/>
          <w:p>
            <w:pPr>
              <w:pStyle w:val="Compact"/>
            </w:pPr>
            <w:r>
              <w:t xml:space="preserve">반도체 장치의 제조 또는 처리에 특별히 적합한 공정 또는 장치</w:t>
            </w:r>
          </w:p>
        </w:tc>
        <w:tc>
          <w:tcPr/>
          <w:p>
            <w:pPr>
              <w:pStyle w:val="Compact"/>
            </w:pPr>
            <w:r>
              <w:t xml:space="preserve">리소그래피, 식각, 증착, 이온주입, 화학적 기계연마, 웨이퍼 세정·가공(전공정 및 후공정 제조공정)</w:t>
            </w:r>
          </w:p>
        </w:tc>
      </w:tr>
      <w:tr>
        <w:tc>
          <w:tcPr/>
          <w:p>
            <w:pPr>
              <w:pStyle w:val="Compact"/>
            </w:pPr>
            <w:r>
              <w:t xml:space="preserve">H01L24</w:t>
            </w:r>
          </w:p>
        </w:tc>
        <w:tc>
          <w:tcPr/>
          <w:p>
            <w:pPr>
              <w:pStyle w:val="Compact"/>
            </w:pPr>
            <w:r>
              <w:t xml:space="preserve">반도체 바디의 연결 또는 분리를 위한 배치; 관련 방법 또는 장치</w:t>
            </w:r>
          </w:p>
        </w:tc>
        <w:tc>
          <w:tcPr/>
          <w:p>
            <w:pPr>
              <w:pStyle w:val="Compact"/>
            </w:pPr>
            <w:r>
              <w:t xml:space="preserve">와이어 본딩, 플립칩 본딩, 실리콘 관통 전극, 하이브리드 본딩, 솔더 범프/볼 형성, 재배선(패키징 인터커넥션)</w:t>
            </w:r>
          </w:p>
        </w:tc>
      </w:tr>
      <w:tr>
        <w:tc>
          <w:tcPr/>
          <w:p>
            <w:pPr>
              <w:pStyle w:val="Compact"/>
            </w:pPr>
            <w:r>
              <w:t xml:space="preserve">H01L2224</w:t>
            </w:r>
          </w:p>
        </w:tc>
        <w:tc>
          <w:tcPr/>
          <w:p>
            <w:pPr>
              <w:pStyle w:val="Compact"/>
            </w:pPr>
            <w:r>
              <w:t xml:space="preserve">반도체 바디의 연결·분리 배치에 대한 인덱싱 스킴</w:t>
            </w:r>
          </w:p>
        </w:tc>
        <w:tc>
          <w:tcPr/>
          <w:p>
            <w:pPr>
              <w:pStyle w:val="Compact"/>
            </w:pPr>
            <w:r>
              <w:t xml:space="preserve">접합 금속, 접합 형태, 장비(예: H01L2224/08145: 금속–금속 및 유전체–유전체 접합을 결합한 직접 접합)</w:t>
            </w:r>
          </w:p>
        </w:tc>
      </w:tr>
    </w:tbl>
    <w:p>
      <w:pPr>
        <w:pStyle w:val="BodyText"/>
      </w:pPr>
      <w:r>
        <w:t xml:space="preserve">검색은 두 단계로 이루어졌다. (1) H01L21과 H01L24 및 그 인덱싱 코드에 대한 CPC 1차 필터; (2)</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를 결합한 키워드 2차 필터(그림 1).</w:t>
      </w:r>
    </w:p>
    <w:p>
      <w:pPr>
        <w:pStyle w:val="BodyText"/>
      </w:pPr>
      <w:r>
        <w:rPr>
          <w:b/>
          <w:bCs/>
        </w:rPr>
        <w:t xml:space="preserve">그림 1.</w:t>
      </w:r>
      <w:r>
        <w:t xml:space="preserve"> </w:t>
      </w:r>
      <w:r>
        <w:t xml:space="preserve">하이브리드 본딩 모집단의 검색 전략(CPC 1차 필터와 키워드 2차 필터).</w:t>
      </w:r>
    </w:p>
    <w:p>
      <w:pPr>
        <w:pStyle w:val="CaptionedFigure"/>
      </w:pPr>
      <w:r>
        <w:drawing>
          <wp:inline>
            <wp:extent cx="5334000" cy="1453042"/>
            <wp:effectExtent b="0" l="0" r="0" t="0"/>
            <wp:docPr descr="그림 1. 검색 전략" title="" id="20" name="Picture"/>
            <a:graphic>
              <a:graphicData uri="http://schemas.openxmlformats.org/drawingml/2006/picture">
                <pic:pic>
                  <pic:nvPicPr>
                    <pic:cNvPr descr="figures/figA1_search_strategy.png" id="21" name="Picture"/>
                    <pic:cNvPicPr>
                      <a:picLocks noChangeArrowheads="1" noChangeAspect="1"/>
                    </pic:cNvPicPr>
                  </pic:nvPicPr>
                  <pic:blipFill>
                    <a:blip r:embed="rId19"/>
                    <a:stretch>
                      <a:fillRect/>
                    </a:stretch>
                  </pic:blipFill>
                  <pic:spPr bwMode="auto">
                    <a:xfrm>
                      <a:off x="0" y="0"/>
                      <a:ext cx="5334000" cy="1453042"/>
                    </a:xfrm>
                    <a:prstGeom prst="rect">
                      <a:avLst/>
                    </a:prstGeom>
                    <a:noFill/>
                    <a:ln w="9525">
                      <a:noFill/>
                      <a:headEnd/>
                      <a:tailEnd/>
                    </a:ln>
                  </pic:spPr>
                </pic:pic>
              </a:graphicData>
            </a:graphic>
          </wp:inline>
        </w:drawing>
      </w:r>
    </w:p>
    <w:p>
      <w:pPr>
        <w:pStyle w:val="ImageCaption"/>
      </w:pPr>
      <w:r>
        <w:t xml:space="preserve">그림 1. 검색 전략</w:t>
      </w:r>
    </w:p>
    <w:bookmarkEnd w:id="22"/>
    <w:bookmarkStart w:id="26"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CaptionedFigure"/>
      </w:pPr>
      <w:r>
        <w:drawing>
          <wp:inline>
            <wp:extent cx="5334000" cy="3878580"/>
            <wp:effectExtent b="0" l="0" r="0" t="0"/>
            <wp:docPr descr="그림 2" title="" id="24" name="Picture"/>
            <a:graphic>
              <a:graphicData uri="http://schemas.openxmlformats.org/drawingml/2006/picture">
                <pic:pic>
                  <pic:nvPicPr>
                    <pic:cNvPr descr="figures/fig4_applications_by_year.png" id="25" name="Picture"/>
                    <pic:cNvPicPr>
                      <a:picLocks noChangeArrowheads="1" noChangeAspect="1"/>
                    </pic:cNvPicPr>
                  </pic:nvPicPr>
                  <pic:blipFill>
                    <a:blip r:embed="rId23"/>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2</w:t>
      </w:r>
    </w:p>
    <w:p>
      <w:pPr>
        <w:pStyle w:val="BodyText"/>
      </w:pPr>
      <w:r>
        <w:t xml:space="preserve">모든 관할권 결과의 해석에는 한 가지 단서가 붙는다.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기원만큼이나 출원·보호 전략을 반영하며, 본 연구는 이를 일관되게 그러한 관점에서 읽는다.</w:t>
      </w:r>
    </w:p>
    <w:bookmarkEnd w:id="26"/>
    <w:bookmarkStart w:id="27" w:name="실증-전략"/>
    <w:p>
      <w:pPr>
        <w:pStyle w:val="Heading3"/>
      </w:pPr>
      <w:r>
        <w:t xml:space="preserve">4.3 실증 전략</w:t>
      </w:r>
    </w:p>
    <w:p>
      <w:pPr>
        <w:pStyle w:val="FirstParagraph"/>
      </w:pPr>
      <w:r>
        <w:t xml:space="preserve">종속변수는 통계적 성격이 다르며, 모형은 변수를 따른다.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두 가지 목적에 봉사한다. 경계 넘기 모형에 설명변수로 들어가는 범위를 특성화하고, H3b의 범위 성분을 검정한다.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 갈래를 같은 기준 대비로 읽을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7"/>
    <w:bookmarkEnd w:id="28"/>
    <w:bookmarkStart w:id="42" w:name="결과"/>
    <w:p>
      <w:pPr>
        <w:pStyle w:val="Heading2"/>
      </w:pPr>
      <w:r>
        <w:t xml:space="preserve">5. 결과</w:t>
      </w:r>
    </w:p>
    <w:bookmarkStart w:id="32"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결과변수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작업 모형으로 삼는다.</w:t>
      </w:r>
    </w:p>
    <w:p>
      <w:pPr>
        <w:pStyle w:val="BodyText"/>
      </w:pPr>
      <w:r>
        <w:rPr>
          <w:b/>
          <w:bCs/>
        </w:rPr>
        <w:t xml:space="preserve">표 3.</w:t>
      </w:r>
      <w:r>
        <w:t xml:space="preserve"> </w:t>
      </w:r>
      <w:r>
        <w:t xml:space="preserve">명세별 기술범위 결정요인(N = 928; 미국 출원청이 기준; 괄호 안은 표준오차; * p &lt; 0.10, ** p &lt; 0.05, *** p &lt; 0.01).</w:t>
      </w:r>
    </w:p>
    <w:p>
      <w:pPr>
        <w:pStyle w:val="BodyText"/>
      </w:pPr>
      <w:r>
        <w:t xml:space="preserve">| OLS | OLS(로버스트) | Poisson | 음이항 |</w:t>
      </w:r>
      <w:r>
        <w:br/>
      </w:r>
    </w:p>
    <w:p>
      <w:pPr>
        <w:pStyle w:val="BodyText"/>
      </w:pPr>
      <w:r>
        <w:t xml:space="preserve">세 가지 패턴이 나타난다. 분야가 성숙하면서 범위가 넓어졌다. 연도 추세의 발생률비는 1.014, 즉 연간 약 1.4%씩 서브클래스가 늘어난다. 미국 기준 대비 중국 출원청 출원은 약 21% 좁고(IRR 0.785, p &lt; 0.01) PCT 출원은 약 17% 좁은(IRR 0.826, p &lt; 0.01) 반면, 일본 출원청 출원은 표본에서 가장 넓다(IRR ≈ 1.27, p &lt; 0.10). 한국, 대만, EPO는 미국 기준과 구분되지 않는다. 음이항 계수의 발생률비는 연도 1.014, 중국 0.785, 한국 1.017, 대만 1.021, 일본 1.270, EPO 0.993, PCT 0.826, 기타 1.058이다. 그림 3은 모형이 함의하는 출원청별 예측 기술범위를 도시한다. H3b의 범위 성분—일본 출원청 출원이 더 넓다—은 10% 수준에서 지지되며, 중국 출원청 출원의 좁음은 H3a에 대해 제시한 추격 해석과 부합한다.</w:t>
      </w:r>
    </w:p>
    <w:p>
      <w:pPr>
        <w:pStyle w:val="BodyText"/>
      </w:pPr>
      <w:r>
        <w:rPr>
          <w:b/>
          <w:bCs/>
        </w:rPr>
        <w:t xml:space="preserve">그림 3.</w:t>
      </w:r>
      <w:r>
        <w:t xml:space="preserve"> </w:t>
      </w:r>
      <w:r>
        <w:t xml:space="preserve">출원청별 예측 기술범위(음이항, 다른 공변량은 평균; 95% 신뢰구간).</w:t>
      </w:r>
    </w:p>
    <w:p>
      <w:pPr>
        <w:pStyle w:val="CaptionedFigure"/>
      </w:pPr>
      <w:r>
        <w:drawing>
          <wp:inline>
            <wp:extent cx="5334000" cy="3878580"/>
            <wp:effectExtent b="0" l="0" r="0" t="0"/>
            <wp:docPr descr="그림 3" title="" id="30" name="Picture"/>
            <a:graphic>
              <a:graphicData uri="http://schemas.openxmlformats.org/drawingml/2006/picture">
                <pic:pic>
                  <pic:nvPicPr>
                    <pic:cNvPr descr="figures/fig5_predicted_breadth.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3</w:t>
      </w:r>
    </w:p>
    <w:bookmarkEnd w:id="32"/>
    <w:bookmarkStart w:id="36"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지배적 예측변수다. CPC 서브클래스가 하나 늘 때마다 특허가 제조공정 기술을 청구할 승산이 약 27% 높아지며(OR 1.267, p &lt; 0.01), 이는 H1을 지지한다. 연도 추세는 반대 방향이다(연간 OR 0.946, p &lt; 0.01). 접합·조립 수준 발명이 분야를 지배하게 되면서 공정 지향 출원의</w:t>
      </w:r>
      <w:r>
        <w:t xml:space="preserve"> </w:t>
      </w:r>
      <w:r>
        <w:rPr>
          <w:i/>
          <w:iCs/>
        </w:rPr>
        <w:t xml:space="preserve">비중</w:t>
      </w:r>
      <w:r>
        <w:t xml:space="preserve"> </w:t>
      </w:r>
      <w:r>
        <w:t xml:space="preserve">이 줄어든 것이다. 출원청 중에서는 중국 출원청만 미국 기준과 유의하게 다르며, 공정 청구의 승산이 65% 높다(OR 1.650, p &lt; 0.05). 이는 H3a를 지지한다. 일본 출원청의 승산비는 1 미만(0.483)이지만 26건에 기반하여 부정확하게 추정된다. 모형의 판별력은 수용 가능한 수준으로, ROC 곡선 하면적은 0.707이다(그림 4).</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rPr>
          <w:b/>
          <w:bCs/>
        </w:rPr>
        <w:t xml:space="preserve">그림 4.</w:t>
      </w:r>
      <w:r>
        <w:t xml:space="preserve"> </w:t>
      </w:r>
      <w:r>
        <w:t xml:space="preserve">경계 넘기 로짓의 ROC 곡선(AUC = 0.707).</w:t>
      </w:r>
    </w:p>
    <w:p>
      <w:pPr>
        <w:pStyle w:val="CaptionedFigure"/>
      </w:pPr>
      <w:r>
        <w:drawing>
          <wp:inline>
            <wp:extent cx="5334000" cy="3878580"/>
            <wp:effectExtent b="0" l="0" r="0" t="0"/>
            <wp:docPr descr="그림 4" title="" id="34" name="Picture"/>
            <a:graphic>
              <a:graphicData uri="http://schemas.openxmlformats.org/drawingml/2006/picture">
                <pic:pic>
                  <pic:nvPicPr>
                    <pic:cNvPr descr="figures/fig6_roc.png" id="35" name="Picture"/>
                    <pic:cNvPicPr>
                      <a:picLocks noChangeArrowheads="1" noChangeAspect="1"/>
                    </pic:cNvPicPr>
                  </pic:nvPicPr>
                  <pic:blipFill>
                    <a:blip r:embed="rId33"/>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4</w:t>
      </w:r>
    </w:p>
    <w:bookmarkEnd w:id="36"/>
    <w:bookmarkStart w:id="40" w:name="전략-유형-다항-로짓"/>
    <w:p>
      <w:pPr>
        <w:pStyle w:val="Heading3"/>
      </w:pPr>
      <w:r>
        <w:t xml:space="preserve">5.3 전략 유형: 다항 로짓</w:t>
      </w:r>
    </w:p>
    <w:p>
      <w:pPr>
        <w:pStyle w:val="FirstParagraph"/>
      </w:pPr>
      <w:r>
        <w:t xml:space="preserve">이항 모형은 특허가 경계 넘기를 피하는 두 가지 방식—조립에만 머무는 것과 제조에만 머무는 것—을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이것이 H1의 더 날카로운 형태다.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드러낸다.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특허를 품을 가능성이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5는 다른 공변량을 평균에 둔 채 출원청별 공정 단독형 전략의 예측 확률을 도시한다. 중국 출원청 출원은 대략 넷 중 하나가 공정 단독형으로 예측되는 반면, 미국 출원청은 약 일곱 중 하나, 일본 출원청은 약 쉰 중 하나다. H3a와 H3b의 전략 성분이 지지된다.</w:t>
      </w:r>
    </w:p>
    <w:p>
      <w:pPr>
        <w:pStyle w:val="BodyText"/>
      </w:pPr>
      <w:r>
        <w:rPr>
          <w:b/>
          <w:bCs/>
        </w:rPr>
        <w:t xml:space="preserve">그림 5.</w:t>
      </w:r>
      <w:r>
        <w:t xml:space="preserve"> </w:t>
      </w:r>
      <w:r>
        <w:t xml:space="preserve">출원청별 공정 단독형 전략의 예측 확률(다항 로짓, 다른 공변량은 평균; 95% 신뢰구간).</w:t>
      </w:r>
    </w:p>
    <w:p>
      <w:pPr>
        <w:pStyle w:val="CaptionedFigure"/>
      </w:pPr>
      <w:r>
        <w:drawing>
          <wp:inline>
            <wp:extent cx="5334000" cy="3455670"/>
            <wp:effectExtent b="0" l="0" r="0" t="0"/>
            <wp:docPr descr="그림 5" title="" id="38" name="Picture"/>
            <a:graphic>
              <a:graphicData uri="http://schemas.openxmlformats.org/drawingml/2006/picture">
                <pic:pic>
                  <pic:nvPicPr>
                    <pic:cNvPr descr="figures/fig7_predicted_process_only.png" id="39" name="Picture"/>
                    <pic:cNvPicPr>
                      <a:picLocks noChangeArrowheads="1" noChangeAspect="1"/>
                    </pic:cNvPicPr>
                  </pic:nvPicPr>
                  <pic:blipFill>
                    <a:blip r:embed="rId37"/>
                    <a:stretch>
                      <a:fillRect/>
                    </a:stretch>
                  </pic:blipFill>
                  <pic:spPr bwMode="auto">
                    <a:xfrm>
                      <a:off x="0" y="0"/>
                      <a:ext cx="5334000" cy="3455670"/>
                    </a:xfrm>
                    <a:prstGeom prst="rect">
                      <a:avLst/>
                    </a:prstGeom>
                    <a:noFill/>
                    <a:ln w="9525">
                      <a:noFill/>
                      <a:headEnd/>
                      <a:tailEnd/>
                    </a:ln>
                  </pic:spPr>
                </pic:pic>
              </a:graphicData>
            </a:graphic>
          </wp:inline>
        </w:drawing>
      </w:r>
    </w:p>
    <w:p>
      <w:pPr>
        <w:pStyle w:val="ImageCaption"/>
      </w:pPr>
      <w:r>
        <w:t xml:space="preserve">그림 5</w:t>
      </w:r>
    </w:p>
    <w:bookmarkEnd w:id="40"/>
    <w:bookmarkStart w:id="41" w:name="가설-검정-요약과-강건성"/>
    <w:p>
      <w:pPr>
        <w:pStyle w:val="Heading3"/>
      </w:pPr>
      <w:r>
        <w:t xml:space="preserve">5.4 가설 검정 요약과 강건성</w:t>
      </w:r>
    </w:p>
    <w:p>
      <w:pPr>
        <w:pStyle w:val="FirstParagraph"/>
      </w:pPr>
      <w:r>
        <w:t xml:space="preserve">표 6은 증거를 요약한다. H1은 이항·다항 명세 모두에서 지지된다. H2는 지지된다.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몇 가지 점검이 결과의 강건성에 관련된다.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연도로 외삽하는 것은 경계한다.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41"/>
    <w:bookmarkEnd w:id="42"/>
    <w:bookmarkStart w:id="46" w:name="논의"/>
    <w:p>
      <w:pPr>
        <w:pStyle w:val="Heading2"/>
      </w:pPr>
      <w:r>
        <w:t xml:space="preserve">6. 논의</w:t>
      </w:r>
    </w:p>
    <w:bookmarkStart w:id="43"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한 산업을</w:t>
      </w:r>
      <w:r>
        <w:t xml:space="preserve"> </w:t>
      </w:r>
      <w:r>
        <w:rPr>
          <w:i/>
          <w:iCs/>
        </w:rPr>
        <w:t xml:space="preserve">관통하는</w:t>
      </w:r>
      <w:r>
        <w:t xml:space="preserve"> </w:t>
      </w:r>
      <w:r>
        <w:t xml:space="preserve">경계—반도체 제조의 제조 단계와 조립 단계 사이—에도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안정을 잃고, 발명이 그 양쪽을 모두 청구하기 시작한다.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융합에 대한 소박한 독해는 경계를 넘는 특허의 비중이 시간에 따라 상승할 것이라 예측한다. 그렇지 않았다. 통합형 청구는 비중을 유지했고, 순수 전공정 청구가 줄었다. 이 패턴은</w:t>
      </w:r>
      <w:r>
        <w:t xml:space="preserve"> </w:t>
      </w:r>
      <w:r>
        <w:rPr>
          <w:i/>
          <w:iCs/>
        </w:rPr>
        <w:t xml:space="preserve">재구성(recomposition)</w:t>
      </w:r>
      <w:r>
        <w:t xml:space="preserve"> </w:t>
      </w:r>
      <w:r>
        <w:t xml:space="preserve">으로 더 잘 기술된다. 기술 생애의 초기에 중요했던 발명은 제조 단계—평탄화, 표면 활성화, 어닐링—였고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또한 이항 모형의 음의 연도 계수를 전공정으로부터의 후퇴로 읽어서는 안 되는 이유를 설명한다.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좁고 불균형하게 공정 단독형이다.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 근처에 있으며, 이는 미국 출원인과 정면 경쟁하는 메모리 제조사와 파운드리에 대해 개연적이다. 이들의 높은 공정 단독형 경향(대만은 10% 수준에서 유의)은 선도 파운드리가 첨단 패키징 플랫폼을 내재화하며 전공정 역량을 접합 공정에 투입해 온 산업계의 움직임(Lau, 2022; KnowMade/Yole Group, 2024)과 부합한다. 종합하면 이 패턴들은 산업의</w:t>
      </w:r>
      <w:r>
        <w:t xml:space="preserve"> </w:t>
      </w:r>
      <w:r>
        <w:rPr>
          <w:i/>
          <w:iCs/>
        </w:rPr>
        <w:t xml:space="preserve">아키텍처</w:t>
      </w:r>
      <w:r>
        <w:t xml:space="preserve">—누가 어느 단계를 어디에서 점유하는가—가</w:t>
      </w:r>
      <w:r>
        <w:t xml:space="preserve"> </w:t>
      </w:r>
      <w:r>
        <w:rPr>
          <w:i/>
          <w:iCs/>
        </w:rPr>
        <w:t xml:space="preserve">어떤</w:t>
      </w:r>
      <w:r>
        <w:t xml:space="preserve"> </w:t>
      </w:r>
      <w:r>
        <w:t xml:space="preserve">발명이 경계를 넘는지를 형성함을 보이며, 이는 기업의 통합 선택이 산업 아키텍처를 형성한다는 Kapoor(2013)의 주장을 기업이 작성하는 청구항 수준으로 확장한 것이다.</w:t>
      </w:r>
    </w:p>
    <w:bookmarkEnd w:id="43"/>
    <w:bookmarkStart w:id="44" w:name="실무적정책적-함의"/>
    <w:p>
      <w:pPr>
        <w:pStyle w:val="Heading3"/>
      </w:pPr>
      <w:r>
        <w:t xml:space="preserve">6.2 실무적·정책적 함의</w:t>
      </w:r>
    </w:p>
    <w:p>
      <w:pPr>
        <w:pStyle w:val="FirstParagraph"/>
      </w:pPr>
      <w:r>
        <w:t xml:space="preserve">후공정 기업에게 결과는 분명한 경고를 담는다.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발견은, 관련 역량이 단일 공정 단계가 아니라 웨이퍼 준비에서 접합된 적층까지의 흐름을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지식이 경계를 넘어 확장되는 기업이 기술이 이제 보상하는 통합형 청구를 쓸 수 있다. 장비·소재 공급사에게 일본 출원청 프로필—넓고, 통합 지향적이며, 공정 단독형이 없음—은 인터페이스에서의 독특하고 방어 가능한 위치를 가리킨다.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청구는 남에게 맡긴다. 특허 건수를 보상하는 산업정책(Dang and Motohashi, 2015)은 이 패턴을 강화할 것이다. 메모리 제조사가 차세대 HBM을 위해 하이브리드 본딩에 의존하는 한국에 대해 결과는, 패키징 경쟁력이 패키징 노하우만이 아니라 전공정 역량—평탄화, 표면 화학, 정렬 계측—과 이를 통합형 청구로 결합하는 능력에 의해 결정될 것임을 함의한다.</w:t>
      </w:r>
    </w:p>
    <w:bookmarkEnd w:id="44"/>
    <w:bookmarkStart w:id="45" w:name="한계와-향후-연구"/>
    <w:p>
      <w:pPr>
        <w:pStyle w:val="Heading3"/>
      </w:pPr>
      <w:r>
        <w:t xml:space="preserve">6.3 한계와 향후 연구</w:t>
      </w:r>
    </w:p>
    <w:p>
      <w:pPr>
        <w:pStyle w:val="FirstParagraph"/>
      </w:pPr>
      <w:r>
        <w:t xml:space="preserve">네 가지 한계가 이 주장의 범위를 제한한다.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여기서 행한 모든 비교를 날카롭게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의존하는 대가를 치른다. H01L21과 H01L24의 경계가 제도적으로 명확한 본 연구의 설정에서는 재현가능성이 더 큰 미덕이라고 판단하였다. 덜 코드화된 경계에서는 트레이드오프가 반대로 작동할 수 있다. 넷째, 특허의 공동분류 구조는 다대다—각 출원은 CPC 기호의 집합—이며,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것이다(cf. Bresnahan and Trajtenberg, 1995; Hall and Trajtenberg, 2004).</w:t>
      </w:r>
    </w:p>
    <w:p>
      <w:pPr>
        <w:pStyle w:val="BodyText"/>
      </w:pPr>
      <w:r>
        <w:t xml:space="preserve">이를 넘어 본 설계는 재현을 초대한다. 하류 단계가 상류 역량에 의존하기 시작하는 어떤 공정기술—디스플레이 제조의 첨단 리소그래피, 배터리의 셀-투-팩 통합, 항공우주 조립의 적층제조—도 같은 두 클래스 공동분류 규칙과 같은 이산선택 추정량으로 검토할 수 있다. 그러한 설정 간 비교 연구는 여기서 관찰된 재구성 동학이 일반적인지를 보여줄 것이다.</w:t>
      </w:r>
    </w:p>
    <w:bookmarkEnd w:id="45"/>
    <w:bookmarkEnd w:id="46"/>
    <w:bookmarkStart w:id="47" w:name="결론"/>
    <w:p>
      <w:pPr>
        <w:pStyle w:val="Heading2"/>
      </w:pPr>
      <w:r>
        <w:t xml:space="preserve">7. 결론</w:t>
      </w:r>
    </w:p>
    <w:p>
      <w:pPr>
        <w:pStyle w:val="FirstParagraph"/>
      </w:pPr>
      <w:r>
        <w:t xml:space="preserve">기술융합은 거의 전적으로 산업의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재구성—순수 전공정 청구가 통합형 청구에 자리를 내줌—을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수렴은 산업 내 사례로 확장되고 산업 아키텍처 문헌과 결합된 융합 이론이 설명할 수 있는 방식으로 패턴화되어 있다.</w:t>
      </w:r>
    </w:p>
    <w:p>
      <w:r>
        <w:pict>
          <v:rect style="width:0;height:1.5pt" o:hralign="center" o:hrstd="t" o:hr="t"/>
        </w:pict>
      </w:r>
    </w:p>
    <w:bookmarkEnd w:id="47"/>
    <w:bookmarkStart w:id="48" w:name="credit-저자-기여-명세"/>
    <w:p>
      <w:pPr>
        <w:pStyle w:val="Heading2"/>
      </w:pPr>
      <w:r>
        <w:t xml:space="preserve">CRediT 저자 기여 명세</w:t>
      </w:r>
    </w:p>
    <w:p>
      <w:pPr>
        <w:pStyle w:val="FirstParagraph"/>
      </w:pPr>
      <w:r>
        <w:rPr>
          <w:b/>
          <w:bCs/>
        </w:rPr>
        <w:t xml:space="preserve">이형규:</w:t>
      </w:r>
      <w:r>
        <w:t xml:space="preserve"> </w:t>
      </w:r>
      <w:r>
        <w:t xml:space="preserve">개념화, 방법론, 데이터 큐레이션, 정식 분석, 원고 초안 작성, 원고 검토·편집, 시각화.</w:t>
      </w:r>
    </w:p>
    <w:bookmarkEnd w:id="48"/>
    <w:bookmarkStart w:id="49" w:name="이해상충-선언"/>
    <w:p>
      <w:pPr>
        <w:pStyle w:val="Heading2"/>
      </w:pPr>
      <w:r>
        <w:t xml:space="preserve">이해상충 선언</w:t>
      </w:r>
    </w:p>
    <w:p>
      <w:pPr>
        <w:pStyle w:val="FirstParagraph"/>
      </w:pPr>
      <w:r>
        <w:t xml:space="preserve">저자는 본 논문에 보고된 연구에 영향을 미쳤을 것으로 보일 수 있는 알려진 경쟁적 재정 이해관계나 개인적 관계가 없음을 선언한다.</w:t>
      </w:r>
    </w:p>
    <w:bookmarkEnd w:id="49"/>
    <w:bookmarkStart w:id="50" w:name="연구비"/>
    <w:p>
      <w:pPr>
        <w:pStyle w:val="Heading2"/>
      </w:pPr>
      <w:r>
        <w:t xml:space="preserve">연구비</w:t>
      </w:r>
    </w:p>
    <w:p>
      <w:pPr>
        <w:pStyle w:val="FirstParagraph"/>
      </w:pPr>
      <w:r>
        <w:t xml:space="preserve">본 연구는 공공, 상업 또는 비영리 부문의 연구비 지원기관으로부터 특정 지원금을 받지 않았다.</w:t>
      </w:r>
    </w:p>
    <w:bookmarkEnd w:id="50"/>
    <w:bookmarkStart w:id="51" w:name="데이터-가용성"/>
    <w:p>
      <w:pPr>
        <w:pStyle w:val="Heading2"/>
      </w:pPr>
      <w:r>
        <w:t xml:space="preserve">데이터 가용성</w:t>
      </w:r>
    </w:p>
    <w:p>
      <w:pPr>
        <w:pStyle w:val="FirstParagraph"/>
      </w:pPr>
      <w:r>
        <w:t xml:space="preserve">특허 데이터는 EPO PATSTAT Global(2025년판)에서 라이선스 하에 추출되었으며 저자가 재배포할 수 없다. 추출 질의(CPC 코드와 키워드 필터, 표 1과 그림 1)와 추정 스크립트는 요청 시 저자로부터 제공받을 수 있다.</w:t>
      </w:r>
    </w:p>
    <w:bookmarkEnd w:id="51"/>
    <w:bookmarkStart w:id="52" w:name="작성-과정에서의-생성형-ai-및-ai-보조-기술-사용-선언"/>
    <w:p>
      <w:pPr>
        <w:pStyle w:val="Heading2"/>
      </w:pPr>
      <w:r>
        <w:t xml:space="preserve">작성 과정에서의 생성형 AI 및 AI 보조 기술 사용 선언</w:t>
      </w:r>
    </w:p>
    <w:p>
      <w:pPr>
        <w:pStyle w:val="FirstParagraph"/>
      </w:pPr>
      <w:r>
        <w:t xml:space="preserve">본 연구의 준비 과정에서 저자는 문헌 정리, 언어 교정, 원고 구조화를 보조하기 위해 AI 언어모델을 사용하였다. 모든 실증 분석, 해석, 결론은 저자 자신의 것이다. 이 도구를 사용한 후 저자는 필요에 따라 내용을 검토·편집하였으며 출판물의 내용에 대해 전적으로 책임진다.</w:t>
      </w:r>
    </w:p>
    <w:bookmarkEnd w:id="52"/>
    <w:bookmarkStart w:id="53" w:name="감사의-글"/>
    <w:p>
      <w:pPr>
        <w:pStyle w:val="Heading2"/>
      </w:pPr>
      <w:r>
        <w:t xml:space="preserve">감사의 글</w:t>
      </w:r>
    </w:p>
    <w:p>
      <w:pPr>
        <w:pStyle w:val="FirstParagraph"/>
      </w:pPr>
      <w:r>
        <w:t xml:space="preserve">[추후 작성.]</w:t>
      </w:r>
    </w:p>
    <w:p>
      <w:r>
        <w:pict>
          <v:rect style="width:0;height:1.5pt" o:hralign="center" o:hrstd="t" o:hr="t"/>
        </w:pict>
      </w:r>
    </w:p>
    <w:bookmarkEnd w:id="53"/>
    <w:bookmarkStart w:id="54"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KnowMade/Yole Group, 2024. Hybrid Bonding Patent Landscape Analysis 2024 [Industry report]. KnowMade, Nantes.</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2026-09-23T22:42:56Z</dcterms:created>
  <dcterms:modified xsi:type="dcterms:W3CDTF">2026-09-23T22:42:56Z</dcterms:modified>
</cp:coreProperties>
</file>

<file path=docProps/custom.xml><?xml version="1.0" encoding="utf-8"?>
<Properties xmlns="http://schemas.openxmlformats.org/officeDocument/2006/custom-properties" xmlns:vt="http://schemas.openxmlformats.org/officeDocument/2006/docPropsVTypes"/>
</file>