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abstract"/>
    <w:p>
      <w:pPr>
        <w:pStyle w:val="Heading2"/>
      </w:pPr>
      <w:r>
        <w:t xml:space="preserve">Abstract</w:t>
      </w:r>
    </w:p>
    <w:p>
      <w:pPr>
        <w:pStyle w:val="FirstParagraph"/>
      </w:pPr>
      <w:r>
        <w:t xml:space="preserve">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 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nonsignificant in the reconfiguration phase, and the center of fabrication processes combined with bonding shifted from wafer fabrication to processing apparatus and packaging-stage processes. Cross-stage convergence thus appears to be not a linear expansion but a dynamic process whose content and center are reorganized across phases, consistent with entrenchment of the core design.</w:t>
      </w:r>
    </w:p>
    <w:p>
      <w:pPr>
        <w:pStyle w:val="BodyText"/>
      </w:pPr>
      <w:r>
        <w:rPr>
          <w:b/>
          <w:bCs/>
        </w:rPr>
        <w:t xml:space="preserve">Keywords:</w:t>
      </w:r>
      <w:r>
        <w:t xml:space="preserve"> </w:t>
      </w:r>
      <w:r>
        <w:t xml:space="preserve">technology convergence; cross-stage convergence; hybrid bonding; advanced packaging; technology network; dominant design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division of labor in the semiconductor industry has persisted for more than half a century. The front end has formed transistors on the wafer, and the back end has diced finished wafers and assembled and packaged the resulting dies. According to Kapoor (2013), front-end fabrication became concentrated in large fabs operated by integrated device manufacturers and foundries, whereas packaging and testing were contracted out to outsourced semiconductor assembly and test providers (Macher and Mowery, 2004; Brown and Linden, 2009). This division of labor was possible because the interface between the two stages was managed in a relatively stable manner. With the advent of advanced packaging, however, this interface has also begun to change: the performance of one stage has come to depend more directly on the process capabilities of the other.</w:t>
      </w:r>
    </w:p>
    <w:p>
      <w:pPr>
        <w:pStyle w:val="BodyText"/>
      </w:pPr>
      <w:r>
        <w:t xml:space="preserve">Behind this change lie the limits of scaling. Scaling, which shrinks circuit linewidths, has run into a slowdown in density gains and a steep rise in costs. The semiconductor industry has therefore begun to seek new opportunities for performance gains in how dies are partitioned, stacked, and connected (Arden et al., 2010; Khan et al., 2018), and hybrid bonding is the technology at the center of this shift. According to Lau (2021, 2022), this technology, which directly bonds copper pads and the surrounding oxide without solder bumps, enables interconnect pitches below 10 µm that are difficult to achieve with conventional methods. Notably, the nanometer-scale surface planarization, surface activation, and precise alignment that determine its success are not traditional back-end capabilities but front-end fabrication capabilities. Moves by leading foundries to internalize advanced packaging capabilities can also be understood in the context of this deepening interdependence between process stages (Lau, 2022; KnowMade, 2024).</w:t>
      </w:r>
    </w:p>
    <w:p>
      <w:pPr>
        <w:pStyle w:val="BodyText"/>
      </w:pPr>
      <w:r>
        <w:t xml:space="preserve">Hybrid bonding is thus a representative case of the merging of front-end and back-end technologies across their boundary, and this phenomenon can be understood from the perspective of technology convergence. Research on technology convergence has long examined how previously distinct technological domains come to overlap and combine (Rosenberg, 1963; Kodama, 1992; Curran and Leker, 2011; Sick and Bröring, 2022). However, prior research has focused mainly on overlaps between different industries or technological fields, such as information and communication technology and consumer electronics (Hacklin et al., 2009), food and pharmaceuticals (Bröring et al., 2006), and nanotechnology and biotechnology (No and Park, 2010). By contrast, convergence that cuts across the stages of the value chain within a single industry has received little attention. The closest precedent is the study by Karvonen and Kässi (2012), which analyzed patent citations between upstream and downstream firms in a value chain, but it, too, did not test at the patent level whether a technology crosses the boundary between process stages. Moreover, although convergence has been theorized as a staged process (Hacklin et al., 2010), empirical studies of how the content of convergence changes over time are scarce. Inventions that cross the boundary between process stages can be a technological starting point for changing the industry architecture that defines who produces what and how value is distributed (Jacobides et al., 2006); this research gap therefore needs to be addressed.</w:t>
      </w:r>
    </w:p>
    <w:p>
      <w:pPr>
        <w:pStyle w:val="BodyText"/>
      </w:pPr>
      <w:r>
        <w:t xml:space="preserve">This study accordingly analyzes whether convergence across the technological boundary between process stages can be observed at the level of individual patents and how this convergence unfolds over time. To this end, it uses 928 patent applications related to hybrid bonding extracted from the Worldwide Patent Statistical Database (PATSTAT) of the European Patent Office (EPO), together with the Cooperative Patent Classification (CPC) symbols assigned to each application. An application to which both a symbol of the</w:t>
      </w:r>
      <w:r>
        <w:t xml:space="preserve"> </w:t>
      </w:r>
      <w:r>
        <w:rPr>
          <w:b/>
          <w:bCs/>
        </w:rPr>
        <w:t xml:space="preserve">bonding and interconnect classification (H01L24)</w:t>
      </w:r>
      <w:r>
        <w:t xml:space="preserve"> </w:t>
      </w:r>
      <w:r>
        <w:t xml:space="preserve">and a symbol of the</w:t>
      </w:r>
      <w:r>
        <w:t xml:space="preserve"> </w:t>
      </w:r>
      <w:r>
        <w:rPr>
          <w:b/>
          <w:bCs/>
        </w:rPr>
        <w:t xml:space="preserve">fabrication-process classification (H01L21)</w:t>
      </w:r>
      <w:r>
        <w:t xml:space="preserve"> </w:t>
      </w:r>
      <w:r>
        <w:t xml:space="preserve">are assigned is defined as integrated, that is, as a patent that crosses the boundary between process stages; an application with only bonding and interconnect symbols is classified as bonding-only, and an application with only fabrication-process symbols as process-only. Capturing convergence through co-classification is itself a standard method used by Curran and Leker (2011), Kwon et al. (2020), and others. What distinguishes this study is that it applies this method to the boundary between process stages within a single industry rather than between two industries and that it recasts co-classification as types of individual patents instead of aggregating it into field-level indices.</w:t>
      </w:r>
    </w:p>
    <w:p>
      <w:pPr>
        <w:pStyle w:val="BodyText"/>
      </w:pPr>
      <w:r>
        <w:t xml:space="preserve">Specifically, this paper addresses the following three research questions (RQ1–RQ3). First (RQ1), to what extent and in what forms does convergence between fabrication-process and bonding technologies occur in hybrid bonding technology? Second (RQ2), how has cross-stage technology convergence changed over time? Third (RQ3), how has the center of cross-stage technology convergence been reorganized between core and peripheral technologies over time?</w:t>
      </w:r>
    </w:p>
    <w:p>
      <w:pPr>
        <w:pStyle w:val="BodyText"/>
      </w:pPr>
      <w:r>
        <w:t xml:space="preserve">By answering these three research questions, this paper makes the following contributions. First, it extends the analytical scope of technology convergence research from convergence between industries or technological fields to technology convergence between different stages of the manufacturing process within the same industry. In doing so, it shows empirically that technology convergence occurs not only at industry boundaries but also at the technological boundaries of production processes. Second, it analyzes technology convergence not as a static combination but as a dynamic process that changes over time. The patterns of formation, diffusion, and reconfiguration observed in hybrid bonding patents show that technology convergence does not necessarily expand continuously and that the composition of convergence by type can change as a technology develops. Third, it attends not only to quantitative changes in technology convergence but also to shifts in its structural center. By analyzing how the relationship between core bonding technologies and fabrication-process technologies varies over time, it provides empirical grounds for understanding the dynamic unfolding of technology convergence in terms of the core–periphery relationship of technological architecture and the technology cycle.</w:t>
      </w:r>
    </w:p>
    <w:p>
      <w:pPr>
        <w:pStyle w:val="BodyText"/>
      </w:pPr>
      <w:r>
        <w:t xml:space="preserve">The remainder of this paper is organized as follows. Section 2 reviews the theoretical background, and Section 3 provides an overview of hybrid bonding technology and the industry. Section 4 describes the data, measurement, and analytical methods, and Section 5 presents the results for the three research questions. Section 6 discusses the theoretical and practical implications and the limitations of the study, and Section 7 concludes.</w:t>
      </w:r>
    </w:p>
    <w:bookmarkEnd w:id="10"/>
    <w:bookmarkStart w:id="15" w:name="theoretical-background"/>
    <w:p>
      <w:pPr>
        <w:pStyle w:val="Heading2"/>
      </w:pPr>
      <w:r>
        <w:t xml:space="preserve">2. Theoretical background</w:t>
      </w:r>
    </w:p>
    <w:bookmarkStart w:id="11" w:name="technology-convergence"/>
    <w:p>
      <w:pPr>
        <w:pStyle w:val="Heading3"/>
      </w:pPr>
      <w:r>
        <w:t xml:space="preserve">2.1 Technology convergence</w:t>
      </w:r>
    </w:p>
    <w:p>
      <w:pPr>
        <w:pStyle w:val="FirstParagraph"/>
      </w:pPr>
      <w:r>
        <w:t xml:space="preserve">The idea that a technology developed in one domain spreads beyond its boundaries into other domains has a long lineage. Analyzing the emergence of the nineteenth-century machine tool industry, Rosenberg (1963) used the term technological convergence for the process by which firms came to recognize that machining techniques developed for firearms or sewing machines could also be applied to other products. Kodama (1992) later conceptualized technology fusion as the process of combining previously separate technological fields to create capabilities that none of them possessed alone. Hacklin et al. (2010) proposed a stage model in which convergence proceeds from the convergence of knowledge through the convergence of technologies and applications to the convergence of industries, and, in earlier work, they argued that these stages form coevolutionary cycles through mutual feedback (Hacklin et al., 2009). Curran and Leker (2011) further proposed a method for observing these stages with patent indicators. Through these discussions, technology convergence research has become established as a distinct research stream in technology and innovation management (Geum et al., 2016; Sick and Bröring, 2022), and empirical studies on the drivers of convergence have also begun to accumulate (Whang, 2018). Among them, Caviggioli (2016) analyzed the characteristics of the technological fields in which convergence is likely to occur, and Hwang (2020) used data on Korean information and communication technology firms to analyze the relationship between types of collaboration and convergence.</w:t>
      </w:r>
    </w:p>
    <w:p>
      <w:pPr>
        <w:pStyle w:val="BodyText"/>
      </w:pPr>
      <w:r>
        <w:t xml:space="preserve">This prior research shares three features, which form the starting point of this study. First, its focus lies on overlaps between different industries or technological fields. Canonical cases such as telecommunications and computing, food and pharmaceuticals, and nanotechnology and biotechnology all involve firms from different industries discovering that their knowledge bases overlap (Gambardella and Torrisi, 1998; Bröring et al., 2006; No and Park, 2010). Second, convergence is generally measured with field-level indicators that aggregate co-classifications or citations between two fields (Curran et al., 2010; Cho and Kim, 2014; Song et al., 2017; Choi et al., 2022). Such indicators show whether and when two fields converge, but they cannot explain which inventions embody convergence or what characteristics such inventions have, because differences among individual patents are hidden in the average. Third, whereas theory views convergence as a staged process moving from knowledge through technologies and applications to industries (Hacklin et al., 2010), empirical studies have largely been confined to confirming, as a trend, whether the degree of convergence has increased. In other words, which technologies combine as convergence proceeds, and how the content and center of convergence change, have received relatively little attention. Organized around these three features, the following subsections review cross-stage technology convergence within the value chain (Section 2.2), the dynamic unfolding of technology convergence (Section 2.3), and the patent-based measurement of technology convergence (Section 2.4).</w:t>
      </w:r>
    </w:p>
    <w:bookmarkEnd w:id="11"/>
    <w:bookmarkStart w:id="12" w:name="Xc8620981630c470932b146b5692290e4a164f55"/>
    <w:p>
      <w:pPr>
        <w:pStyle w:val="Heading3"/>
      </w:pPr>
      <w:r>
        <w:t xml:space="preserve">2.2 Cross-stage technology convergence within the value chain</w:t>
      </w:r>
    </w:p>
    <w:p>
      <w:pPr>
        <w:pStyle w:val="FirstParagraph"/>
      </w:pPr>
      <w:r>
        <w:t xml:space="preserve">With regard to the first feature of prior research, the boundaries at which convergence occurs do not exist only between industries. Within a single industry, there are other boundaries that separate the stages of the value chain, and the semiconductor industry is an appropriate case for examining them because these boundaries have long been an object of research on vertical specialization. Langlois and Steinmueller (1999) traced how competitive advantage shifted among firms and countries as the structure of the industry changed, and Macher and Mowery (2004) analyzed how fabless firms, foundries, and specialized assembly and test firms emerged as design was separated from fabrication and fabrication from assembly. Brown and Linden (2009) described how this structure has been reshaped through successive crises. According to Kapoor (2013), even as specialization advanced, some firms retained capabilities spanning multiple stages; these firms responded differently to technological transitions, and their choices shaped the architecture of the industry. In a study of the DRAM industry, Kapoor and Adner (2012) further showed that when components and systems are interdependent, firms benefit from possessing knowledge beyond the scope of what they produce themselves.</w:t>
      </w:r>
    </w:p>
    <w:p>
      <w:pPr>
        <w:pStyle w:val="BodyText"/>
      </w:pPr>
      <w:r>
        <w:t xml:space="preserve">Research on vertical specialization has thus explained the formation and reorganization of the division of labor between process stages, and it connects with technology convergence research through the following logic. Industry architecture is the template that defines who does what and how value is distributed (Jacobides et al., 2006), and it enables specialization when the interfaces between process stages are stable. When a new technology makes the performance of one stage depend on the knowledge of another, however, the interface becomes unstable, and firms must acquire or integrate knowledge from the other side of the boundary. Such a combination of knowledge first appears at the level of invention: a single invention begins to incorporate the technologies of both stages, and patent co-classification can be regarded as a trace of this expansion of knowledge boundaries. Hybrid bonding is precisely a technology that makes the performance of one stage depend on the knowledge of another. Because its yield depends on fabrication capabilities that belong to the front end, such as planarization, surface chemistry, and alignment, the interface between fabrication and packaging is no longer stable. As a result, convergence occurs not between two industries but between two stages of a single industry. This phenomenon was anticipated in research on the limits of scaling (Arden et al., 2010; Iyer, 2016; Khan et al., 2018) and has been documented technically in packaging engineering research (Lau, 2021, 2022), but few methods have been proposed for observing it in the record of invention.</w:t>
      </w:r>
    </w:p>
    <w:bookmarkEnd w:id="12"/>
    <w:bookmarkStart w:id="13" w:name="Xc70623bcf07ad9e39543379114c322c595802d6"/>
    <w:p>
      <w:pPr>
        <w:pStyle w:val="Heading3"/>
      </w:pPr>
      <w:r>
        <w:t xml:space="preserve">2.3 The dynamic unfolding of technology convergence</w:t>
      </w:r>
    </w:p>
    <w:p>
      <w:pPr>
        <w:pStyle w:val="FirstParagraph"/>
      </w:pPr>
      <w:r>
        <w:t xml:space="preserve">As the third feature of prior research identified in Section 2.1 suggests, the cross-stage convergence discussed above needs to be understood not as a fixed state but as a process that unfolds over time. Convergence is not a one-time event but proceeds through several stages (Hacklin et al., 2010). Furthermore, according to the technology cycle model (Anderson and Tushman, 1990), a new technology passes through an era of ferment in which multiple designs compete before converging on a single dominant design. When the two perspectives are combined, cross-stage convergence can also be expected to take different forms depending on the developmental stage of the technology. While the technology is forming, process inventions that make direct bonding possible will predominate; as the technology diffuses, cases in which process knowledge is combined with bonding inventions will increase. Once a single design approach has become established as the dominant design, the combination of the two technologies will shift toward the peripheral processes required for end-use products.</w:t>
      </w:r>
    </w:p>
    <w:p>
      <w:pPr>
        <w:pStyle w:val="BodyText"/>
      </w:pPr>
      <w:r>
        <w:t xml:space="preserve">This perspective can also be applied to the technological development of hybrid bonding. According to stage models of convergence (Hacklin et al., 2010; Jeong et al., 2015), the form of convergence changes as a technology develops. Early hybrid bonding inventions concerned the process steps that made direct bonding possible, such as surface preparation, low-temperature annealing, and planarization, and were therefore often classified as process inventions. As the use of hybrid bonding later expanded from wafer-level bonding for image sensors and 3D NAND to die-level bonding for high-bandwidth memory (HBM) and logic, the focus of invention shifted to bonded structures and stacking (Lau, 2021). Accordingly, bonding inventions can be expected to account for a growing share relative to fabrication-process inventions among more recent filings.</w:t>
      </w:r>
    </w:p>
    <w:p>
      <w:pPr>
        <w:pStyle w:val="BodyText"/>
      </w:pPr>
      <w:r>
        <w:t xml:space="preserve">Moreover, changes in convergence may appear not only in the composition of application types but also in the relationships among the elements that make up a technology. A complex technology consists of core elements that are closely linked to other elements and peripheral elements that are not, and when the design of a core element changes, the other elements linked to it must change as well (Murmann and Frenken, 2006). The core of hybrid bonding is a connection scheme in which bonding pads are bonded directly to one another without bumps or solder (Lau, 2021). The extent to which inventions dealing with this core element also incorporate knowledge from the other side of the boundary is likely to vary with the developmental stage of the technology.</w:t>
      </w:r>
    </w:p>
    <w:p>
      <w:pPr>
        <w:pStyle w:val="BodyText"/>
      </w:pPr>
      <w:r>
        <w:t xml:space="preserve">This variation can be explained from the perspective of the technology cycle model. In the era of ferment immediately after a new technology emerges, multiple designs compete, and the interfaces between the core element and the other elements are not yet settled. Once a dominant design has been established, however, the interfaces become entrenched, and subsequent invention shifts to incremental innovation that improves the established design (Anderson and Tushman, 1990). While the interfaces remain unsettled, inventing the direct connection of bonding pads requires dealing with fabrication-process knowledge such as surface planarization and wafer bonding. Once the interfaces have become entrenched, by contrast, such knowledge is taken as a given condition, and the core technologies can be invented within the bonding domain. Brusoni et al. (2001) attributed the need for firms to possess knowledge beyond the scope of what they produce to unpredictable interdependencies among components. By the same logic, as interdependencies become predictable, the need for a single invention to incorporate knowledge from the other side of the boundary decreases. Because hybrid bonding was first commercialized in wafer-level bonding for image sensors and 3D NAND and its use was later extended to die-level bonding (Lau, 2021, 2022), later filings are more likely to belong to a stage in which the design of the core technologies has become entrenched. Applications containing the core technologies can therefore be expected to incorporate fabrication-process knowledge more often than other bonding applications while the technology is forming, but this difference should diminish over time. The core technologies are identified through the technology cluster and technology network analyses in Section 4.4.</w:t>
      </w:r>
    </w:p>
    <w:p>
      <w:pPr>
        <w:pStyle w:val="BodyText"/>
      </w:pPr>
      <w:r>
        <w:rPr>
          <w:b/>
          <w:bCs/>
        </w:rPr>
        <w:t xml:space="preserve">Building on this discussion, this study analyzes how the level and form of cross-stage convergence change over time and how the center of convergence shifts between core and peripheral technologies.</w:t>
      </w:r>
    </w:p>
    <w:bookmarkEnd w:id="13"/>
    <w:bookmarkStart w:id="14" w:name="X4b525ae9205b76f1a9bba441ce181a0d277998d"/>
    <w:p>
      <w:pPr>
        <w:pStyle w:val="Heading3"/>
      </w:pPr>
      <w:r>
        <w:t xml:space="preserve">2.4 Patent-based measurement of technology convergence</w:t>
      </w:r>
    </w:p>
    <w:p>
      <w:pPr>
        <w:pStyle w:val="FirstParagraph"/>
      </w:pPr>
      <w:r>
        <w:t xml:space="preserve">Empirically analyzing the level and form of the cross-stage convergence discussed above, and their change, requires an appropriate measurement method. Patents are the most widely used data for measuring convergence because classification symbols place each invention in one or more technological fields (Curran and Leker, 2011). Prior studies have generally measured convergence with field-level indices that count the patents to which symbols of two fields are jointly assigned (Cho and Kim, 2014; Jeong et al., 2015; Lee et al., 2015; Yun and Geum, 2019; Kwon et al., 2020). Other studies have used patent text to compensate for the limitation that classification systems reflect inventions only after the fact (Preschitschek et al., 2013; Zhu and Motohashi, 2022).</w:t>
      </w:r>
    </w:p>
    <w:p>
      <w:pPr>
        <w:pStyle w:val="BodyText"/>
      </w:pPr>
      <w:r>
        <w:t xml:space="preserve">Of these two streams, this study belongs to the former in that it uses co-classification as a signal of convergence, but it differs in its unit of analysis. Instead of aggregating co-classification at the field level, this study classifies individual patents into three co-classification types: bonding-only, to which only bonding and interconnect symbols (H01L24) are assigned; process-only, to which only fabrication-process symbols (H01L21) are assigned; and integrated, to which both are assigned. Of these, the integrated type corresponds to patents that cross the boundary between process stages. Because this classification is defined at the level of the individual patent, it can be analyzed with standard discrete choice models, and it preserves the differences between patents that are averaged away in aggregate indices. This is intended to address the second feature of prior research noted in Section 2.1, namely, the limitation that field-level indicators can hardly explain differences among individual inventions. Note, however, that because CPC symbols are assigned by examiners according to the technical content of an invention, co-classification is a proxy for the joint presence of technologies from the two domains in an invention, not a measure of the legal scope of the claims. This point is revisited in Section 4.2.</w:t>
      </w:r>
    </w:p>
    <w:p>
      <w:pPr>
        <w:pStyle w:val="BodyText"/>
      </w:pPr>
      <w:r>
        <w:t xml:space="preserve">The identification of the core technologies of hybrid bonding and the construction of the variables that explain the co-classification types draw on the following two strands of patent research. The first is research on technology networks. If classification symbols are treated as nodes and pairs of symbols assigned to the same patent as links, the structure of the combinations among technological elements can be represented as a network (Sternitzke et al., 2008). The frequency with which two symbols are assigned together reflects the knowledge relatedness between the two technologies (Breschi et al., 2003), and a set of symbols that many patents share and that are strongly linked to one another, that is, a technology cluster, reveals the core elements of the technology. Using this approach, this study identifies the core technologies of hybrid bonding (Section 4.4) and analyzes whether patents containing them cross the boundary between process stages. The second is research on patent scope. Lerner (1994) measured patent scope by the number of classes a patent covers and showed that scope has economic value, and in the semiconductor industry, firms are known to build broader patent portfolios when markets for technology are more fragmented (Hall and Ziedonis, 2001; Ziedonis, 2004). The technological scope used in this study follows this tradition but is a measure limited to the number of CPC subgroups within the two classes.</w:t>
      </w:r>
    </w:p>
    <w:p>
      <w:pPr>
        <w:pStyle w:val="BodyText"/>
      </w:pPr>
      <w:r>
        <w:t xml:space="preserve">This technological scope is also closely related to the concept of technology convergence, because Kodama’s (1992) technology fusion and Rosenberg’s (1963) technological convergence both presuppose inventions that span two or more technological domains. From this perspective, applications that include more diverse technical elements (CPC subgroups) within the two classes should be more likely to be assigned symbols of both domains. This relationship, however, also has a mechanical aspect, because technological scope and the co-classification type are derived from the same set of CPC symbols and an integrated application by definition carries at least one symbol from each class, so its scope is at least two. This definitional difference in the minimum number of symbols is examined in an exploratory manner in Section 5.4 using the type-minimum-adjusted CPC scope.</w:t>
      </w:r>
      <w:r>
        <w:t xml:space="preserve"> </w:t>
      </w:r>
      <w:r>
        <w:rPr>
          <w:b/>
          <w:bCs/>
        </w:rPr>
        <w:t xml:space="preserve">Accordingly, along with the level of cross-stage convergence, this study analyzes the relationship between technological diversity and the integrated type.</w:t>
      </w:r>
    </w:p>
    <w:bookmarkEnd w:id="14"/>
    <w:bookmarkEnd w:id="15"/>
    <w:bookmarkStart w:id="24" w:name="X3b5a51ca40ed4e153820a65c6c03fb06a4e29cd"/>
    <w:p>
      <w:pPr>
        <w:pStyle w:val="Heading2"/>
      </w:pPr>
      <w:r>
        <w:t xml:space="preserve">3. Research context: Hybrid bonding technology and industry</w:t>
      </w:r>
    </w:p>
    <w:p>
      <w:pPr>
        <w:pStyle w:val="FirstParagraph"/>
      </w:pPr>
      <w:r>
        <w:t xml:space="preserve">Before the cross-stage technology convergence discussed in Section 2 is analyzed empirically, this section examines the technical characteristics of hybrid bonding, the object of analysis (Section 3.1), as well as the interdependence between fabrication-process and bonding technologies and related industry trends (Section 3.2).</w:t>
      </w:r>
    </w:p>
    <w:bookmarkStart w:id="19" w:name="Xb944755ea22cd65ccbf06357f846789f4c05037"/>
    <w:p>
      <w:pPr>
        <w:pStyle w:val="Heading3"/>
      </w:pPr>
      <w:r>
        <w:t xml:space="preserve">3.1 Technical characteristics of hybrid bonding</w:t>
      </w:r>
    </w:p>
    <w:p>
      <w:pPr>
        <w:pStyle w:val="FirstParagraph"/>
      </w:pPr>
      <w:r>
        <w:t xml:space="preserve">Hybrid bonding is a technology that brings together two planar surfaces with copper pads embedded in a dielectric, first bonds the dielectric at room temperature, and then bonds the copper pads through low-temperature annealing, thereby forming permanent electrical connections. Because no solder bumps are used, the interconnect pitch shrinks to below 10 µm, a pitch that is difficult to achieve with microbump flip-chip technology, and to below 1 µm at the research stage (Lau, 2021, 2022). Depending on what is bonded, the technology takes two main forms. Wafer-to-wafer (W2W) bonding joins entire wafers and was first commercialized in CMOS image sensors and 3D NAND. Die-to-wafer (D2W) bonding joins individual dies to a wafer and is required for chiplets, HBM, and 3D logic. Figure 1 organizes the configuration of hybrid bonding into four tiers: enabling processes, bonding configurations, device structures, and applications.</w:t>
      </w:r>
    </w:p>
    <w:p>
      <w:pPr>
        <w:pStyle w:val="BodyText"/>
        <w:keepNext/>
      </w:pPr>
      <w:r>
        <w:drawing>
          <wp:inline>
            <wp:extent cx="5334000" cy="4741333"/>
            <wp:effectExtent b="0" l="0" r="0" t="0"/>
            <wp:docPr descr="" title="" id="17" name="Picture"/>
            <a:graphic>
              <a:graphicData uri="http://schemas.openxmlformats.org/drawingml/2006/picture">
                <pic:pic>
                  <pic:nvPicPr>
                    <pic:cNvPr descr="figures/fig_framework_psp_en_v64.png" id="18" name="Picture"/>
                    <pic:cNvPicPr>
                      <a:picLocks noChangeArrowheads="1" noChangeAspect="1"/>
                    </pic:cNvPicPr>
                  </pic:nvPicPr>
                  <pic:blipFill>
                    <a:blip r:embed="rId1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sz w:val="20"/>
          <w:szCs w:val="20"/>
        </w:rPr>
        <w:t xml:space="preserve">Figure 1.</w:t>
      </w:r>
      <w:r>
        <w:rPr>
          <w:sz w:val="20"/>
          <w:szCs w:val="20"/>
        </w:rPr>
        <w:t xml:space="preserve"> </w:t>
      </w:r>
      <w:r>
        <w:rPr>
          <w:sz w:val="20"/>
          <w:szCs w:val="20"/>
        </w:rPr>
        <w:t xml:space="preserve">Enabling processes, bonding configurations, device structures, and applications of hybrid bonding (prepared by the authors on the basis of the technical descriptions in Lau (2021, 2022); CMP, chemical mechanical polishing).</w:t>
      </w:r>
    </w:p>
    <w:bookmarkEnd w:id="19"/>
    <w:bookmarkStart w:id="23" w:name="X9605e434bd8303d02c160cbd9e67e73462de90a"/>
    <w:p>
      <w:pPr>
        <w:pStyle w:val="Heading3"/>
      </w:pPr>
      <w:r>
        <w:t xml:space="preserve">3.2 Interdependence between fabrication-process and bonding technologies</w:t>
      </w:r>
    </w:p>
    <w:p>
      <w:pPr>
        <w:pStyle w:val="FirstParagraph"/>
      </w:pPr>
      <w:r>
        <w:t xml:space="preserve">Because of these technical characteristics, fabrication-process and bonding technologies are closely interdependent in hybrid bonding. In both W2W and D2W bonding, the steps that determine yield, namely chemical mechanical polishing (CMP) to sub-nanometer surface roughness, plasma surface activation, particle control, and precise alignment, belong to the semiconductor fabrication-process class (H01L21) of the CPC (Section 4.1, Table 1). Accordingly, the enabling processes in Figure 1 correspond mainly to the fabrication-process class (H01L21), and the bonding configurations and interconnect structures correspond mainly to the bonding and interconnect class (H01L24). This interdependence is also evident in the actual process flow. Figure 2 shows the process flow of D2W hybrid bonding: before the dies are singulated and bonded, interlayer dielectric deposition, damascene etching, copper barrier and seed deposition, copper plating, and CMP are performed in sequence, all of which are processes and equipment that have been used in the front end.</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Figure 2.</w:t>
      </w:r>
      <w:r>
        <w:rPr>
          <w:sz w:val="20"/>
          <w:szCs w:val="20"/>
        </w:rPr>
        <w:t xml:space="preserve"> </w:t>
      </w:r>
      <w:r>
        <w:rPr>
          <w:sz w:val="20"/>
          <w:szCs w:val="20"/>
        </w:rPr>
        <w:t xml:space="preserve">Process flow of die-to-wafer (D2W) hybrid bonding and the equipment used at each step (source: Applied Materials, 2025).</w:t>
      </w:r>
    </w:p>
    <w:p>
      <w:pPr>
        <w:pStyle w:val="BodyText"/>
      </w:pPr>
      <w:r>
        <w:t xml:space="preserve">The industry landscape also reflects this technological interdependence. An independent industry analysis of hybrid bonding patents identifies TSMC, Adeia, YMTC, Intel, and Samsung as the applicants leading patent activity (KnowMade, 2024). That licensing firms holding foundational technologies, foundries operating their own advanced packaging, and memory manufacturers jointly lead patent activity shows that bonding technology is no longer the exclusive domain of back-end specialists. These technological and industrial characteristics suggest that hybrid bonding is a suitable case for analyzing cross-stage technology convergence. The next section presents the data and methods used to analyze it empirically.</w:t>
      </w:r>
    </w:p>
    <w:bookmarkEnd w:id="23"/>
    <w:bookmarkEnd w:id="24"/>
    <w:bookmarkStart w:id="36" w:name="data-and-methods"/>
    <w:p>
      <w:pPr>
        <w:pStyle w:val="Heading2"/>
      </w:pPr>
      <w:r>
        <w:t xml:space="preserve">4. Data and methods</w:t>
      </w:r>
    </w:p>
    <w:bookmarkStart w:id="25" w:name="data-collection"/>
    <w:p>
      <w:pPr>
        <w:pStyle w:val="Heading3"/>
      </w:pPr>
      <w:r>
        <w:t xml:space="preserve">4.1 Data collection</w:t>
      </w:r>
    </w:p>
    <w:p>
      <w:pPr>
        <w:pStyle w:val="FirstParagraph"/>
      </w:pPr>
      <w:r>
        <w:t xml:space="preserve">The data for this study were extracted from the 2025 edition of PATSTAT Global of the EPO (European Patent Office, 2025). Applications carrying at least one symbol of the CPC H01L21 (semiconductor fabrication processes) or H01L24 (semiconductor bonding and interconnect technology) classes were first retrieved as candidates, and only those whose titles contained at least one keyword related to hybrid bonding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or</w:t>
      </w:r>
      <w:r>
        <w:t xml:space="preserve"> </w:t>
      </w:r>
      <w:r>
        <w:rPr>
          <w:i/>
          <w:iCs/>
        </w:rPr>
        <w:t xml:space="preserve">metal-oxide bond</w:t>
      </w:r>
      <w:r>
        <w:t xml:space="preserve">) were then selected (Table 1). The resulting sample consists of 5,277 application–CPC pairs, or 928 applications filed between 1968 and 2024. The sample is therefore not the universe of hybrid bonding patents but the set of related applications identified by this search query; applications whose titles do not contain a relevant term are not included. This broad sample was also designed to capture not only contemporary hybrid bonding but also the early direct bonding precursor technologies that formed its technological basis. Because symbols outside the two classes were not retained at the extraction stage, the regression data contain only 262 subgroup symbols (full symbols, including the detailed number after the slash, e.g., H01L 21/603): 202 of the H01L21 class and 60 of the H01L24 class. The technology cluster and technology network tables in Section 4.4, however, are based on a separate tabulation by the authors of all CPC symbols assigned to the same 928 applications (including the bonding indexing codes H01L2224 and the device assembly class H01L25) and are not used in the regression analyses. The unit of analysis is the individual patent application in PATSTAT; when the same invention was filed at several offices, each application is included as a separate observation.</w:t>
      </w:r>
    </w:p>
    <w:p>
      <w:pPr>
        <w:pStyle w:val="BodyText"/>
        <w:keepNext/>
      </w:pPr>
      <w:r>
        <w:rPr>
          <w:b/>
          <w:bCs/>
          <w:sz w:val="20"/>
          <w:szCs w:val="20"/>
        </w:rPr>
        <w:t xml:space="preserve">Table 1.</w:t>
      </w:r>
      <w:r>
        <w:rPr>
          <w:sz w:val="20"/>
          <w:szCs w:val="20"/>
        </w:rPr>
        <w:t xml:space="preserve"> </w:t>
      </w:r>
      <w:r>
        <w:rPr>
          <w:sz w:val="20"/>
          <w:szCs w:val="20"/>
        </w:rPr>
        <w:t xml:space="preserve">Search strategy for patents related to hybrid bonding.</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67"/>
        <w:gridCol w:w="1600"/>
        <w:gridCol w:w="4801"/>
      </w:tblGrid>
      <w:tr>
        <w:trPr>
          <w:tblHeader w:val="on"/>
          <w:cantSplit/>
        </w:trPr>
        <w:tc>
          <w:tcPr>
            <w:tcW w:type="dxa" w:w="2667"/>
            <w:tcBorders>
              <w:bottom w:val="single" w:sz="4" w:space="0" w:color="000000"/>
            </w:tcBorders>
          </w:tcPr>
          <w:p>
            <w:pPr>
              <w:pStyle w:val="Compact"/>
              <w:spacing w:before="20" w:after="20" w:line="240" w:lineRule="auto"/>
              <w:keepNext/>
            </w:pPr>
            <w:r>
              <w:rPr>
                <w:sz w:val="18"/>
                <w:szCs w:val="18"/>
              </w:rPr>
              <w:t xml:space="preserve">Step</w:t>
            </w:r>
          </w:p>
        </w:tc>
        <w:tc>
          <w:tcPr>
            <w:tcW w:type="dxa" w:w="1600"/>
            <w:tcBorders>
              <w:bottom w:val="single" w:sz="4" w:space="0" w:color="000000"/>
            </w:tcBorders>
          </w:tcPr>
          <w:p>
            <w:pPr>
              <w:pStyle w:val="Compact"/>
              <w:spacing w:before="20" w:after="20" w:line="240" w:lineRule="auto"/>
              <w:keepNext/>
            </w:pPr>
            <w:r>
              <w:rPr>
                <w:sz w:val="18"/>
                <w:szCs w:val="18"/>
              </w:rPr>
              <w:t xml:space="preserve">Condition</w:t>
            </w:r>
          </w:p>
        </w:tc>
        <w:tc>
          <w:tcPr>
            <w:tcW w:type="dxa" w:w="4801"/>
            <w:tcBorders>
              <w:bottom w:val="single" w:sz="4" w:space="0" w:color="000000"/>
            </w:tcBorders>
          </w:tcPr>
          <w:p>
            <w:pPr>
              <w:pStyle w:val="Compact"/>
              <w:spacing w:before="20" w:after="20" w:line="240" w:lineRule="auto"/>
              <w:keepNext/>
            </w:pPr>
            <w:r>
              <w:rPr>
                <w:sz w:val="18"/>
                <w:szCs w:val="18"/>
              </w:rPr>
              <w:t xml:space="preserve">Content</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H01L21</w:t>
            </w:r>
          </w:p>
        </w:tc>
        <w:tc>
          <w:tcPr>
            <w:tcW w:type="dxa" w:w="4801"/>
          </w:tcPr>
          <w:p>
            <w:pPr>
              <w:pStyle w:val="Compact"/>
              <w:spacing w:before="20" w:after="20" w:line="240" w:lineRule="auto"/>
              <w:keepNext/>
            </w:pPr>
            <w:r>
              <w:rPr>
                <w:sz w:val="18"/>
                <w:szCs w:val="18"/>
              </w:rPr>
              <w:t xml:space="preserve">Semiconductor fabrication-process technology, including direct wafer bonding (21/18, 21/20), device isolation, interconnects, and through-substrate vias (21/76), substrate and insulating-layer treatment (21/02), and chemical mechanical polishing (21/30–21/32); also includes packaging-stage fabrication processes (21/48, 21/50–21/58, 21/60, 21/78) and processing apparatus (21/67–21/68)</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H01L24</w:t>
            </w:r>
          </w:p>
        </w:tc>
        <w:tc>
          <w:tcPr>
            <w:tcW w:type="dxa" w:w="4801"/>
          </w:tcPr>
          <w:p>
            <w:pPr>
              <w:pStyle w:val="Compact"/>
              <w:spacing w:before="20" w:after="20" w:line="240" w:lineRule="auto"/>
              <w:keepNext/>
            </w:pPr>
            <w:r>
              <w:rPr>
                <w:sz w:val="18"/>
                <w:szCs w:val="18"/>
              </w:rPr>
              <w:t xml:space="preserve">Connector structures for connecting or disconnecting semiconductor or solid-state bodies, bump, layer, and wire connections, and related connecting methods and apparatus</w:t>
            </w:r>
          </w:p>
        </w:tc>
      </w:tr>
      <w:tr>
        <w:trPr>
          <w:cantSplit/>
        </w:trPr>
        <w:tc>
          <w:tcPr>
            <w:tcW w:type="dxa" w:w="2667"/>
          </w:tcPr>
          <w:p>
            <w:pPr>
              <w:pStyle w:val="Compact"/>
              <w:spacing w:before="20" w:after="20" w:line="240" w:lineRule="auto"/>
              <w:keepNext/>
            </w:pPr>
            <w:r>
              <w:rPr>
                <w:sz w:val="18"/>
                <w:szCs w:val="18"/>
              </w:rPr>
              <w:t xml:space="preserve">Step 2: Keyword</w:t>
            </w:r>
          </w:p>
        </w:tc>
        <w:tc>
          <w:tcPr>
            <w:tcW w:type="dxa" w:w="1600"/>
          </w:tcPr>
          <w:p>
            <w:pPr>
              <w:pStyle w:val="Compact"/>
              <w:spacing w:before="20" w:after="20" w:line="240" w:lineRule="auto"/>
              <w:keepNext/>
            </w:pPr>
            <w:r>
              <w:rPr>
                <w:sz w:val="18"/>
                <w:szCs w:val="18"/>
              </w:rPr>
              <w:t xml:space="preserve">Title</w:t>
            </w:r>
          </w:p>
        </w:tc>
        <w:tc>
          <w:tcPr>
            <w:tcW w:type="dxa" w:w="4801"/>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 and</w:t>
            </w:r>
            <w:r>
              <w:rPr>
                <w:sz w:val="18"/>
                <w:szCs w:val="18"/>
              </w:rPr>
              <w:t xml:space="preserve"> </w:t>
            </w:r>
            <w:r>
              <w:rPr>
                <w:i/>
                <w:iCs/>
                <w:sz w:val="18"/>
                <w:szCs w:val="18"/>
              </w:rPr>
              <w:t xml:space="preserve">metal-oxide bond</w:t>
            </w:r>
          </w:p>
        </w:tc>
      </w:tr>
    </w:tbl>
    <w:p>
      <w:pPr>
        <w:pStyle w:val="BodyText"/>
      </w:pPr>
      <w:r>
        <w:rPr>
          <w:i/>
          <w:iCs/>
          <w:sz w:val="20"/>
          <w:szCs w:val="20"/>
        </w:rPr>
        <w:t xml:space="preserve">Note:</w:t>
      </w:r>
      <w:r>
        <w:rPr>
          <w:sz w:val="20"/>
          <w:szCs w:val="20"/>
        </w:rPr>
        <w:t xml:space="preserve"> </w:t>
      </w:r>
      <w:r>
        <w:rPr>
          <w:sz w:val="20"/>
          <w:szCs w:val="20"/>
        </w:rPr>
        <w:t xml:space="preserve">Step 1 requires at least one of the two classes, and Step 2 at least one of the keywords; both conditions must be met. The indexing codes of the two classes (e.g., H01L2224) were also used in the search, but because only the symbols of the classes proper were retained in the extracted records, indexing codes are not included in the calculation of technological scope.</w:t>
      </w:r>
    </w:p>
    <w:p>
      <w:pPr>
        <w:pStyle w:val="BodyText"/>
      </w:pPr>
      <w:r>
        <w:t xml:space="preserve">Three characteristics of the data constructed in this way need to be noted before the analysis. First,</w:t>
      </w:r>
      <w:r>
        <w:t xml:space="preserve"> </w:t>
      </w:r>
      <w:r>
        <w:rPr>
          <w:i/>
          <w:iCs/>
        </w:rPr>
        <w:t xml:space="preserve">hybrid bonding</w:t>
      </w:r>
      <w:r>
        <w:t xml:space="preserve"> </w:t>
      </w:r>
      <w:r>
        <w:t xml:space="preserve">is a relatively precise search term, whereas</w:t>
      </w:r>
      <w:r>
        <w:t xml:space="preserve"> </w:t>
      </w:r>
      <w:r>
        <w:rPr>
          <w:i/>
          <w:iCs/>
        </w:rPr>
        <w:t xml:space="preserve">direct bonding</w:t>
      </w:r>
      <w:r>
        <w:t xml:space="preserve"> </w:t>
      </w:r>
      <w:r>
        <w:t xml:space="preserve">has a broad range of meanings. There are 467 applications whose titles contain</w:t>
      </w:r>
      <w:r>
        <w:t xml:space="preserve"> </w:t>
      </w:r>
      <w:r>
        <w:rPr>
          <w:i/>
          <w:iCs/>
        </w:rPr>
        <w:t xml:space="preserve">hybrid bonding</w:t>
      </w:r>
      <w:r>
        <w:t xml:space="preserve">, and the results re-estimated with this sample (hereafter the</w:t>
      </w:r>
      <w:r>
        <w:t xml:space="preserve"> </w:t>
      </w:r>
      <w:r>
        <w:rPr>
          <w:i/>
          <w:iCs/>
        </w:rPr>
        <w:t xml:space="preserve">hybrid bonding</w:t>
      </w:r>
      <w:r>
        <w:t xml:space="preserve"> </w:t>
      </w:r>
      <w:r>
        <w:t xml:space="preserve">sample) are reported in Section 5.4. Second, the keyword filter alone cannot screen out irrelevant uses of the search terms. Most such applications use</w:t>
      </w:r>
      <w:r>
        <w:t xml:space="preserve"> </w:t>
      </w:r>
      <w:r>
        <w:rPr>
          <w:i/>
          <w:iCs/>
        </w:rPr>
        <w:t xml:space="preserve">direct bonding</w:t>
      </w:r>
      <w:r>
        <w:t xml:space="preserve"> </w:t>
      </w:r>
      <w:r>
        <w:t xml:space="preserve">in a different sense, as in direct bonded copper (DBC) substrates (copper bonded to a ceramic substrate), copper alloys, and power modules; a few use</w:t>
      </w:r>
      <w:r>
        <w:t xml:space="preserve"> </w:t>
      </w:r>
      <w:r>
        <w:rPr>
          <w:i/>
          <w:iCs/>
        </w:rPr>
        <w:t xml:space="preserve">hybrid bonding</w:t>
      </w:r>
      <w:r>
        <w:t xml:space="preserve"> </w:t>
      </w:r>
      <w:r>
        <w:t xml:space="preserve">in the sense of chemical bonding or bonding sheets for power modules. These applications, identified from their titles,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 results re-estimated without them are also reported in Section 5.4 (see Appendix B for the criteria and distribution). Third, because the extracted records do not include PATSTAT’s patent family identifiers, duplicates at the family level cannot be removed directly, so the same invention filed at several offices is counted as several applications. As a sensitivity analysis, applications with identical titles are treated as one duplicate group, and the results obtained by keeping only the earliest application in each title group are reported in Section 5.4. The 928 applications comprise 473 unique titles, of which 149 were filed at two or more offices.</w:t>
      </w:r>
    </w:p>
    <w:bookmarkEnd w:id="25"/>
    <w:bookmarkStart w:id="26" w:name="operational-definitions-and-measurement"/>
    <w:p>
      <w:pPr>
        <w:pStyle w:val="Heading3"/>
      </w:pPr>
      <w:r>
        <w:t xml:space="preserve">4.2 Operational definitions and measurement</w:t>
      </w:r>
    </w:p>
    <w:p>
      <w:pPr>
        <w:pStyle w:val="FirstParagraph"/>
      </w:pPr>
      <w:r>
        <w:t xml:space="preserve">Measuring cross-stage technology convergence with the data constructed above first requires distinguishing among the theoretical concept, the observed phenomenon, and the operational indicator (Table 2). In this study, the theoretical concept is cross-stage technology convergence, the observed phenomenon is the inclusion of fabrication-process technology and bonding and interconnect technology in a single application, and the operational indicator is the co-classification of H01L21 and H01L24. H01L21 is not, however, regarded as the front end itself, nor H01L24 as the back end itself. This is because, in addition to wafer fabrication, H01L21 also covers processing apparatus and packaging-stage fabrication processes such as the manufacture of package parts, mounting and encapsulation, lead attachment, and dicing; H01L24 likewise does not coincide with the boundary of the back-end industry in the organizational sense. The co-classification of the two classes can nevertheless serve as a proxy because many of the wafer preparation, surface treatment, planarization, and related fabrication processes that determine the performance of hybrid bonding are included in H01L21, whereas bonding and interconnect technologies are concentrated in H01L24. The 1,636 H01L21 symbol records in the sample consist of 905 for wafer fabrication (all other H01L21 subgroups; 55.3%), 328 for processing apparatus (20.0%), and 403 for packaging-stage processes (24.6%). The results re-estimated under a narrow definition that excludes packaging-stage processes from fabrication processes are presented in Section 5.4; the conclusions of the regression analyses were unchanged.</w:t>
      </w:r>
    </w:p>
    <w:p>
      <w:pPr>
        <w:pStyle w:val="BodyText"/>
        <w:keepNext/>
      </w:pPr>
      <w:r>
        <w:rPr>
          <w:b/>
          <w:bCs/>
          <w:sz w:val="20"/>
          <w:szCs w:val="20"/>
        </w:rPr>
        <w:t xml:space="preserve">Table 2.</w:t>
      </w:r>
      <w:r>
        <w:rPr>
          <w:sz w:val="20"/>
          <w:szCs w:val="20"/>
        </w:rPr>
        <w:t xml:space="preserve"> </w:t>
      </w:r>
      <w:r>
        <w:rPr>
          <w:sz w:val="20"/>
          <w:szCs w:val="20"/>
        </w:rPr>
        <w:t xml:space="preserve">Definitions at each conceptual level and their role in this study.</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454"/>
        <w:gridCol w:w="3628"/>
        <w:gridCol w:w="2987"/>
      </w:tblGrid>
      <w:tr>
        <w:trPr>
          <w:tblHeader w:val="on"/>
          <w:cantSplit/>
        </w:trPr>
        <w:tc>
          <w:tcPr>
            <w:tcW w:type="dxa" w:w="2454"/>
            <w:tcBorders>
              <w:bottom w:val="single" w:sz="4" w:space="0" w:color="000000"/>
            </w:tcBorders>
          </w:tcPr>
          <w:p>
            <w:pPr>
              <w:pStyle w:val="Compact"/>
              <w:spacing w:before="20" w:after="20" w:line="240" w:lineRule="auto"/>
              <w:keepNext/>
            </w:pPr>
            <w:r>
              <w:rPr>
                <w:sz w:val="18"/>
                <w:szCs w:val="18"/>
              </w:rPr>
              <w:t xml:space="preserve">Level</w:t>
            </w:r>
          </w:p>
        </w:tc>
        <w:tc>
          <w:tcPr>
            <w:tcW w:type="dxa" w:w="3628"/>
            <w:tcBorders>
              <w:bottom w:val="single" w:sz="4" w:space="0" w:color="000000"/>
            </w:tcBorders>
          </w:tcPr>
          <w:p>
            <w:pPr>
              <w:pStyle w:val="Compact"/>
              <w:spacing w:before="20" w:after="20" w:line="240" w:lineRule="auto"/>
              <w:keepNext/>
            </w:pPr>
            <w:r>
              <w:rPr>
                <w:sz w:val="18"/>
                <w:szCs w:val="18"/>
              </w:rPr>
              <w:t xml:space="preserve">Concept</w:t>
            </w:r>
          </w:p>
        </w:tc>
        <w:tc>
          <w:tcPr>
            <w:tcW w:type="dxa" w:w="2987"/>
            <w:tcBorders>
              <w:bottom w:val="single" w:sz="4" w:space="0" w:color="000000"/>
            </w:tcBorders>
          </w:tcPr>
          <w:p>
            <w:pPr>
              <w:pStyle w:val="Compact"/>
              <w:spacing w:before="20" w:after="20" w:line="240" w:lineRule="auto"/>
              <w:keepNext/>
            </w:pPr>
            <w:r>
              <w:rPr>
                <w:sz w:val="18"/>
                <w:szCs w:val="18"/>
              </w:rPr>
              <w:t xml:space="preserve">Role in this study</w:t>
            </w:r>
          </w:p>
        </w:tc>
      </w:tr>
      <w:tr>
        <w:trPr>
          <w:cantSplit/>
        </w:trPr>
        <w:tc>
          <w:tcPr>
            <w:tcW w:type="dxa" w:w="2454"/>
          </w:tcPr>
          <w:p>
            <w:pPr>
              <w:pStyle w:val="Compact"/>
              <w:spacing w:before="20" w:after="20" w:line="240" w:lineRule="auto"/>
              <w:keepNext/>
            </w:pPr>
            <w:r>
              <w:rPr>
                <w:sz w:val="18"/>
                <w:szCs w:val="18"/>
              </w:rPr>
              <w:t xml:space="preserve">Technological system</w:t>
            </w:r>
          </w:p>
        </w:tc>
        <w:tc>
          <w:tcPr>
            <w:tcW w:type="dxa" w:w="3628"/>
          </w:tcPr>
          <w:p>
            <w:pPr>
              <w:pStyle w:val="Compact"/>
              <w:spacing w:before="20" w:after="20" w:line="240" w:lineRule="auto"/>
              <w:keepNext/>
            </w:pPr>
            <w:r>
              <w:rPr>
                <w:sz w:val="18"/>
                <w:szCs w:val="18"/>
              </w:rPr>
              <w:t xml:space="preserve">Cross-stage technology convergence</w:t>
            </w:r>
          </w:p>
        </w:tc>
        <w:tc>
          <w:tcPr>
            <w:tcW w:type="dxa" w:w="2987"/>
          </w:tcPr>
          <w:p>
            <w:pPr>
              <w:pStyle w:val="Compact"/>
              <w:spacing w:before="20" w:after="20" w:line="240" w:lineRule="auto"/>
              <w:keepNext/>
            </w:pPr>
            <w:r>
              <w:rPr>
                <w:sz w:val="18"/>
                <w:szCs w:val="18"/>
              </w:rPr>
              <w:t xml:space="preserve">Core theoretical phenomenon</w:t>
            </w:r>
          </w:p>
        </w:tc>
      </w:tr>
      <w:tr>
        <w:trPr>
          <w:cantSplit/>
        </w:trPr>
        <w:tc>
          <w:tcPr>
            <w:tcW w:type="dxa" w:w="2454"/>
          </w:tcPr>
          <w:p>
            <w:pPr>
              <w:pStyle w:val="Compact"/>
              <w:spacing w:before="20" w:after="20" w:line="240" w:lineRule="auto"/>
              <w:keepNext/>
            </w:pPr>
            <w:r>
              <w:rPr>
                <w:sz w:val="18"/>
                <w:szCs w:val="18"/>
              </w:rPr>
              <w:t xml:space="preserve">Invention</w:t>
            </w:r>
          </w:p>
        </w:tc>
        <w:tc>
          <w:tcPr>
            <w:tcW w:type="dxa" w:w="3628"/>
          </w:tcPr>
          <w:p>
            <w:pPr>
              <w:pStyle w:val="Compact"/>
              <w:spacing w:before="20" w:after="20" w:line="240" w:lineRule="auto"/>
              <w:keepNext/>
            </w:pPr>
            <w:r>
              <w:rPr>
                <w:sz w:val="18"/>
                <w:szCs w:val="18"/>
              </w:rPr>
              <w:t xml:space="preserve">Boundary-spanning invention</w:t>
            </w:r>
          </w:p>
        </w:tc>
        <w:tc>
          <w:tcPr>
            <w:tcW w:type="dxa" w:w="2987"/>
          </w:tcPr>
          <w:p>
            <w:pPr>
              <w:pStyle w:val="Compact"/>
              <w:spacing w:before="20" w:after="20" w:line="240" w:lineRule="auto"/>
              <w:keepNext/>
            </w:pPr>
            <w:r>
              <w:rPr>
                <w:sz w:val="18"/>
                <w:szCs w:val="18"/>
              </w:rPr>
              <w:t xml:space="preserve">Object of analysis</w:t>
            </w:r>
          </w:p>
        </w:tc>
      </w:tr>
      <w:tr>
        <w:trPr>
          <w:cantSplit/>
        </w:trPr>
        <w:tc>
          <w:tcPr>
            <w:tcW w:type="dxa" w:w="2454"/>
          </w:tcPr>
          <w:p>
            <w:pPr>
              <w:pStyle w:val="Compact"/>
              <w:spacing w:before="20" w:after="20" w:line="240" w:lineRule="auto"/>
              <w:keepNext/>
            </w:pPr>
            <w:r>
              <w:rPr>
                <w:sz w:val="18"/>
                <w:szCs w:val="18"/>
              </w:rPr>
              <w:t xml:space="preserve">Measurement</w:t>
            </w:r>
          </w:p>
        </w:tc>
        <w:tc>
          <w:tcPr>
            <w:tcW w:type="dxa" w:w="3628"/>
          </w:tcPr>
          <w:p>
            <w:pPr>
              <w:pStyle w:val="Compact"/>
              <w:spacing w:before="20" w:after="20" w:line="240" w:lineRule="auto"/>
              <w:keepNext/>
            </w:pPr>
            <w:r>
              <w:rPr>
                <w:sz w:val="18"/>
                <w:szCs w:val="18"/>
              </w:rPr>
              <w:t xml:space="preserve">H01L21–H01L24 co-classification</w:t>
            </w:r>
          </w:p>
        </w:tc>
        <w:tc>
          <w:tcPr>
            <w:tcW w:type="dxa" w:w="2987"/>
          </w:tcPr>
          <w:p>
            <w:pPr>
              <w:pStyle w:val="Compact"/>
              <w:spacing w:before="20" w:after="20" w:line="240" w:lineRule="auto"/>
              <w:keepNext/>
            </w:pPr>
            <w:r>
              <w:rPr>
                <w:sz w:val="18"/>
                <w:szCs w:val="18"/>
              </w:rPr>
              <w:t xml:space="preserve">Operational indicator (proxy)</w:t>
            </w:r>
          </w:p>
        </w:tc>
      </w:tr>
      <w:tr>
        <w:trPr>
          <w:cantSplit/>
        </w:trPr>
        <w:tc>
          <w:tcPr>
            <w:tcW w:type="dxa" w:w="2454"/>
          </w:tcPr>
          <w:p>
            <w:pPr>
              <w:pStyle w:val="Compact"/>
              <w:spacing w:before="20" w:after="20" w:line="240" w:lineRule="auto"/>
              <w:keepNext/>
            </w:pPr>
            <w:r>
              <w:rPr>
                <w:sz w:val="18"/>
                <w:szCs w:val="18"/>
              </w:rPr>
              <w:t xml:space="preserve">Patent attribute</w:t>
            </w:r>
          </w:p>
        </w:tc>
        <w:tc>
          <w:tcPr>
            <w:tcW w:type="dxa" w:w="3628"/>
          </w:tcPr>
          <w:p>
            <w:pPr>
              <w:pStyle w:val="Compact"/>
              <w:spacing w:before="20" w:after="20" w:line="240" w:lineRule="auto"/>
              <w:keepNext/>
            </w:pPr>
            <w:r>
              <w:rPr>
                <w:sz w:val="18"/>
                <w:szCs w:val="18"/>
              </w:rPr>
              <w:t xml:space="preserve">Number of CPC subgroups within the two classes</w:t>
            </w:r>
          </w:p>
        </w:tc>
        <w:tc>
          <w:tcPr>
            <w:tcW w:type="dxa" w:w="2987"/>
          </w:tcPr>
          <w:p>
            <w:pPr>
              <w:pStyle w:val="Compact"/>
              <w:spacing w:before="20" w:after="20" w:line="240" w:lineRule="auto"/>
              <w:keepNext/>
            </w:pPr>
            <w:r>
              <w:rPr>
                <w:sz w:val="18"/>
                <w:szCs w:val="18"/>
              </w:rPr>
              <w:t xml:space="preserve">Technological diversity (within-class technological scope)</w:t>
            </w:r>
          </w:p>
        </w:tc>
      </w:tr>
      <w:tr>
        <w:trPr>
          <w:cantSplit/>
        </w:trPr>
        <w:tc>
          <w:tcPr>
            <w:tcW w:type="dxa" w:w="2454"/>
          </w:tcPr>
          <w:p>
            <w:pPr>
              <w:pStyle w:val="Compact"/>
              <w:spacing w:before="20" w:after="20" w:line="240" w:lineRule="auto"/>
              <w:keepNext/>
            </w:pPr>
            <w:r>
              <w:rPr>
                <w:sz w:val="18"/>
                <w:szCs w:val="18"/>
              </w:rPr>
              <w:t xml:space="preserve">Technological structure</w:t>
            </w:r>
          </w:p>
        </w:tc>
        <w:tc>
          <w:tcPr>
            <w:tcW w:type="dxa" w:w="3628"/>
          </w:tcPr>
          <w:p>
            <w:pPr>
              <w:pStyle w:val="Compact"/>
              <w:spacing w:before="20" w:after="20" w:line="240" w:lineRule="auto"/>
              <w:keepNext/>
            </w:pPr>
            <w:r>
              <w:rPr>
                <w:sz w:val="18"/>
                <w:szCs w:val="18"/>
              </w:rPr>
              <w:t xml:space="preserve">Core technologies (H01L24 symbols assigned to 200 or more applications)</w:t>
            </w:r>
          </w:p>
        </w:tc>
        <w:tc>
          <w:tcPr>
            <w:tcW w:type="dxa" w:w="2987"/>
          </w:tcPr>
          <w:p>
            <w:pPr>
              <w:pStyle w:val="Compact"/>
              <w:spacing w:before="20" w:after="20" w:line="240" w:lineRule="auto"/>
              <w:keepNext/>
            </w:pPr>
            <w:r>
              <w:rPr>
                <w:sz w:val="18"/>
                <w:szCs w:val="18"/>
              </w:rPr>
              <w:t xml:space="preserve">Identified through the technology cluster and network (Section 4.4)</w:t>
            </w:r>
          </w:p>
        </w:tc>
      </w:tr>
    </w:tbl>
    <w:p>
      <w:pPr>
        <w:pStyle w:val="BodyText"/>
      </w:pPr>
      <w:r>
        <w:t xml:space="preserve">CPC symbols are assigned by examiners according to the technical content of an invention and do not always match the wording of the claims. Hereafter, therefore, statements that an application</w:t>
      </w:r>
      <w:r>
        <w:t xml:space="preserve"> </w:t>
      </w:r>
      <w:r>
        <w:t xml:space="preserve">“contains”</w:t>
      </w:r>
      <w:r>
        <w:t xml:space="preserve"> </w:t>
      </w:r>
      <w:r>
        <w:t xml:space="preserve">a certain technology or</w:t>
      </w:r>
      <w:r>
        <w:t xml:space="preserve"> </w:t>
      </w:r>
      <w:r>
        <w:t xml:space="preserve">“is classified”</w:t>
      </w:r>
      <w:r>
        <w:t xml:space="preserve"> </w:t>
      </w:r>
      <w:r>
        <w:t xml:space="preserve">in it mean that a symbol of the corresponding class has been assigned to the application; they are not statements about the legal scope of the claims.</w:t>
      </w:r>
    </w:p>
    <w:bookmarkEnd w:id="26"/>
    <w:bookmarkStart w:id="30" w:name="definition-of-variables"/>
    <w:p>
      <w:pPr>
        <w:pStyle w:val="Heading3"/>
      </w:pPr>
      <w:r>
        <w:t xml:space="preserve">4.3 Definition of variables</w:t>
      </w:r>
    </w:p>
    <w:p>
      <w:pPr>
        <w:pStyle w:val="FirstParagraph"/>
      </w:pPr>
      <w:r>
        <w:t xml:space="preserve">Following these operational definitions, the variables used in the analysis are defined as shown in Table 3. Technological scope (breadth) is the number of distinct subgroup symbols of the H01L21 and H01L24 classes assigned to an application. It applies, within the two classes, Lerner’s (1994) approach of measuring patent scope by the number of classification symbols; it represents the diversity of the technical elements (CPC subgroups) assigned to an application within the two classes and measures neither the extent to which the application extends into fields beyond semiconductors nor the legal scope of its claims. However, the co-classification type and technological scope are derived from the same CPC information and are therefore mechanically linked: an integrated application by definition carries at least one H01L21 symbol and at least one H01L24 symbol, so its minimum breadth is two, whereas the minimum breadth of a single-class type is one. To mitigate this difference in mechanical minimums, a type-minimum-adjusted CPC scope was constructed separately by subtracting one symbol for each class that an application carries (breadth_adj = breadth − I[has H01L21] − I[has H01L24], where I[·] is an indicator function that equals 1 if the condition holds and 0 otherwise). For example, an integrated application with two H01L21 symbols and one H01L24 symbol has a breadth of 3 and a breadth_adj of 1, and a bonding-only application with only four H01L24 symbols has a breadth of 4 and a breadth_adj of 3. The variable breadth_adj measures the additional CPC diversity that remains after the minimum classification information establishing the type is excluded; because it reflects the type information of the dependent variable, it is used only as an exploratory robustness indicator. The co-classification type (tech_cat) classifies each application as bonding-only (only H01L24 symbols), integrated (symbols of both classes), or process-only (only H01L21 symbols); the integrated type, to which symbols of both classes are assigned together, is the measure of boundary spanning. Fabrication-process classification (has_process) is an indicator that equals 1 if an application carries at least one H01L21 symbol and 0 otherwise; it thus pools the integrated and process-only types. Filing year (yc) is the number of years elapsed since 1968, the first filing year in the sample, and filing period (period) has three categories: 1968–2014, grouped into a single period because filings were sparse, and 2015–2019 and 2020–2024 thereafter. Core technology (core) equals 1 if an application carries at least one of the four core bonding symbols identified in Section 4.4 (24/03, 24/05, 24/08, and 24/80). Filing office (ccode) is the patent office or filing route through which an application was filed and has eight levels. Because filing periods and technological composition differ across filing offices, filing office is included as a control variable in all models; its coefficients, however, are not interpreted, because differences between offices are not the subject of this study.</w:t>
      </w:r>
    </w:p>
    <w:p>
      <w:pPr>
        <w:pStyle w:val="BodyText"/>
        <w:keepNext/>
      </w:pPr>
      <w:r>
        <w:rPr>
          <w:b/>
          <w:bCs/>
          <w:sz w:val="20"/>
          <w:szCs w:val="20"/>
        </w:rPr>
        <w:t xml:space="preserve">Table 3.</w:t>
      </w:r>
      <w:r>
        <w:rPr>
          <w:sz w:val="20"/>
          <w:szCs w:val="20"/>
        </w:rPr>
        <w:t xml:space="preserve"> </w:t>
      </w:r>
      <w:r>
        <w:rPr>
          <w:sz w:val="20"/>
          <w:szCs w:val="20"/>
        </w:rPr>
        <w:t xml:space="preserve">Variable definitions.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94"/>
        <w:gridCol w:w="3150"/>
        <w:gridCol w:w="1466"/>
        <w:gridCol w:w="3258"/>
      </w:tblGrid>
      <w:tr>
        <w:trPr>
          <w:tblHeader w:val="on"/>
          <w:cantSplit/>
        </w:trPr>
        <w:tc>
          <w:tcPr>
            <w:tcW w:type="dxa" w:w="1194"/>
            <w:tcBorders>
              <w:bottom w:val="single" w:sz="4" w:space="0" w:color="000000"/>
            </w:tcBorders>
          </w:tcPr>
          <w:p>
            <w:pPr>
              <w:pStyle w:val="Compact"/>
              <w:spacing w:before="20" w:after="20" w:line="240" w:lineRule="auto"/>
              <w:keepNext/>
            </w:pPr>
            <w:r>
              <w:rPr>
                <w:sz w:val="14"/>
                <w:szCs w:val="14"/>
              </w:rPr>
              <w:t xml:space="preserve">Variable</w:t>
            </w:r>
          </w:p>
        </w:tc>
        <w:tc>
          <w:tcPr>
            <w:tcW w:type="dxa" w:w="3150"/>
            <w:tcBorders>
              <w:bottom w:val="single" w:sz="4" w:space="0" w:color="000000"/>
            </w:tcBorders>
          </w:tcPr>
          <w:p>
            <w:pPr>
              <w:pStyle w:val="Compact"/>
              <w:spacing w:before="20" w:after="20" w:line="240" w:lineRule="auto"/>
              <w:keepNext/>
            </w:pPr>
            <w:r>
              <w:rPr>
                <w:sz w:val="14"/>
                <w:szCs w:val="14"/>
              </w:rPr>
              <w:t xml:space="preserve">Definition</w:t>
            </w:r>
          </w:p>
        </w:tc>
        <w:tc>
          <w:tcPr>
            <w:tcW w:type="dxa" w:w="1466"/>
            <w:tcBorders>
              <w:bottom w:val="single" w:sz="4" w:space="0" w:color="000000"/>
            </w:tcBorders>
          </w:tcPr>
          <w:p>
            <w:pPr>
              <w:pStyle w:val="Compact"/>
              <w:spacing w:before="20" w:after="20" w:line="240" w:lineRule="auto"/>
              <w:keepNext/>
            </w:pPr>
            <w:r>
              <w:rPr>
                <w:sz w:val="14"/>
                <w:szCs w:val="14"/>
              </w:rPr>
              <w:t xml:space="preserve">Type</w:t>
            </w:r>
          </w:p>
        </w:tc>
        <w:tc>
          <w:tcPr>
            <w:tcW w:type="dxa" w:w="3258"/>
            <w:tcBorders>
              <w:bottom w:val="single" w:sz="4" w:space="0" w:color="000000"/>
            </w:tcBorders>
          </w:tcPr>
          <w:p>
            <w:pPr>
              <w:pStyle w:val="Compact"/>
              <w:spacing w:before="20" w:after="20" w:line="240" w:lineRule="auto"/>
              <w:keepNext/>
            </w:pPr>
            <w:r>
              <w:rPr>
                <w:sz w:val="14"/>
                <w:szCs w:val="14"/>
              </w:rPr>
              <w:t xml:space="preserve">Interpretive caveat</w:t>
            </w:r>
          </w:p>
        </w:tc>
      </w:tr>
      <w:tr>
        <w:trPr>
          <w:cantSplit/>
        </w:trPr>
        <w:tc>
          <w:tcPr>
            <w:tcW w:type="dxa" w:w="1194"/>
          </w:tcPr>
          <w:p>
            <w:pPr>
              <w:pStyle w:val="Compact"/>
              <w:spacing w:before="20" w:after="20" w:line="240" w:lineRule="auto"/>
              <w:keepNext/>
            </w:pPr>
            <w:r>
              <w:rPr>
                <w:sz w:val="14"/>
                <w:szCs w:val="14"/>
              </w:rPr>
              <w:t xml:space="preserve">breadth</w:t>
            </w:r>
          </w:p>
        </w:tc>
        <w:tc>
          <w:tcPr>
            <w:tcW w:type="dxa" w:w="3150"/>
          </w:tcPr>
          <w:p>
            <w:pPr>
              <w:pStyle w:val="Compact"/>
              <w:spacing w:before="20" w:after="20" w:line="240" w:lineRule="auto"/>
              <w:keepNext/>
            </w:pPr>
            <w:r>
              <w:rPr>
                <w:sz w:val="14"/>
                <w:szCs w:val="14"/>
              </w:rPr>
              <w:t xml:space="preserve">Number of distinct CPC subgroups of the H01L21 and H01L24 classes assigned to an application (within-class CPC scope)</w:t>
            </w:r>
          </w:p>
        </w:tc>
        <w:tc>
          <w:tcPr>
            <w:tcW w:type="dxa" w:w="1466"/>
          </w:tcPr>
          <w:p>
            <w:pPr>
              <w:pStyle w:val="Compact"/>
              <w:spacing w:before="20" w:after="20" w:line="240" w:lineRule="auto"/>
              <w:keepNext/>
            </w:pPr>
            <w:r>
              <w:rPr>
                <w:sz w:val="14"/>
                <w:szCs w:val="14"/>
              </w:rPr>
              <w:t xml:space="preserve">Count, 1–21</w:t>
            </w:r>
          </w:p>
        </w:tc>
        <w:tc>
          <w:tcPr>
            <w:tcW w:type="dxa" w:w="3258"/>
          </w:tcPr>
          <w:p>
            <w:pPr>
              <w:pStyle w:val="Compact"/>
              <w:spacing w:before="20" w:after="20" w:line="240" w:lineRule="auto"/>
              <w:keepNext/>
            </w:pPr>
            <w:r>
              <w:rPr>
                <w:sz w:val="14"/>
                <w:szCs w:val="14"/>
              </w:rPr>
              <w:t xml:space="preserve">Technological diversity within the two classes, not total CPC scope or the legal scope of the claims</w:t>
            </w:r>
          </w:p>
        </w:tc>
      </w:tr>
      <w:tr>
        <w:trPr>
          <w:cantSplit/>
        </w:trPr>
        <w:tc>
          <w:tcPr>
            <w:tcW w:type="dxa" w:w="1194"/>
          </w:tcPr>
          <w:p>
            <w:pPr>
              <w:pStyle w:val="Compact"/>
              <w:spacing w:before="20" w:after="20" w:line="240" w:lineRule="auto"/>
              <w:keepNext/>
            </w:pPr>
            <w:r>
              <w:rPr>
                <w:sz w:val="14"/>
                <w:szCs w:val="14"/>
              </w:rPr>
              <w:t xml:space="preserve">breadth_adj</w:t>
            </w:r>
          </w:p>
        </w:tc>
        <w:tc>
          <w:tcPr>
            <w:tcW w:type="dxa" w:w="3150"/>
          </w:tcPr>
          <w:p>
            <w:pPr>
              <w:pStyle w:val="Compact"/>
              <w:spacing w:before="20" w:after="20" w:line="240" w:lineRule="auto"/>
              <w:keepNext/>
            </w:pPr>
            <w:r>
              <w:rPr>
                <w:sz w:val="14"/>
                <w:szCs w:val="14"/>
              </w:rPr>
              <w:t xml:space="preserve">Type-minimum-adjusted CPC scope: number of additional CPC subgroups remaining after one symbol is subtracted for each class the application carries (breadth − 1 for single-class types and breadth − 2 for the integrated type; Section 5.4)</w:t>
            </w:r>
          </w:p>
        </w:tc>
        <w:tc>
          <w:tcPr>
            <w:tcW w:type="dxa" w:w="1466"/>
          </w:tcPr>
          <w:p>
            <w:pPr>
              <w:pStyle w:val="Compact"/>
              <w:spacing w:before="20" w:after="20" w:line="240" w:lineRule="auto"/>
              <w:keepNext/>
            </w:pPr>
            <w:r>
              <w:rPr>
                <w:sz w:val="14"/>
                <w:szCs w:val="14"/>
              </w:rPr>
              <w:t xml:space="preserve">Count, 0–19</w:t>
            </w:r>
          </w:p>
        </w:tc>
        <w:tc>
          <w:tcPr>
            <w:tcW w:type="dxa" w:w="3258"/>
          </w:tcPr>
          <w:p>
            <w:pPr>
              <w:pStyle w:val="Compact"/>
              <w:spacing w:before="20" w:after="20" w:line="240" w:lineRule="auto"/>
              <w:keepNext/>
            </w:pPr>
            <w:r>
              <w:rPr>
                <w:sz w:val="14"/>
                <w:szCs w:val="14"/>
              </w:rPr>
              <w:t xml:space="preserve">Exploratory indicator that mitigates the mechanical difference in the minimum number of CPC symbols by type; not an independent measure of scope because it uses type information</w:t>
            </w:r>
          </w:p>
        </w:tc>
      </w:tr>
      <w:tr>
        <w:trPr>
          <w:cantSplit/>
        </w:trPr>
        <w:tc>
          <w:tcPr>
            <w:tcW w:type="dxa" w:w="1194"/>
          </w:tcPr>
          <w:p>
            <w:pPr>
              <w:pStyle w:val="Compact"/>
              <w:spacing w:before="20" w:after="20" w:line="240" w:lineRule="auto"/>
              <w:keepNext/>
            </w:pPr>
            <w:r>
              <w:rPr>
                <w:sz w:val="14"/>
                <w:szCs w:val="14"/>
              </w:rPr>
              <w:t xml:space="preserve">tech_cat</w:t>
            </w:r>
          </w:p>
        </w:tc>
        <w:tc>
          <w:tcPr>
            <w:tcW w:type="dxa" w:w="3150"/>
          </w:tcPr>
          <w:p>
            <w:pPr>
              <w:pStyle w:val="Compact"/>
              <w:spacing w:before="20" w:after="20" w:line="240" w:lineRule="auto"/>
              <w:keepNext/>
            </w:pPr>
            <w:r>
              <w:rPr>
                <w:sz w:val="14"/>
                <w:szCs w:val="14"/>
              </w:rPr>
              <w:t xml:space="preserve">Co-classification type: bonding-only (H01L24 only) / integrated (both) / process-only (H01L21 only)</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Combination of classifications</w:t>
            </w:r>
          </w:p>
        </w:tc>
      </w:tr>
      <w:tr>
        <w:trPr>
          <w:cantSplit/>
        </w:trPr>
        <w:tc>
          <w:tcPr>
            <w:tcW w:type="dxa" w:w="1194"/>
          </w:tcPr>
          <w:p>
            <w:pPr>
              <w:pStyle w:val="Compact"/>
              <w:spacing w:before="20" w:after="20" w:line="240" w:lineRule="auto"/>
              <w:keepNext/>
            </w:pPr>
            <w:r>
              <w:rPr>
                <w:sz w:val="14"/>
                <w:szCs w:val="14"/>
              </w:rPr>
              <w:t xml:space="preserve">has_process</w:t>
            </w:r>
          </w:p>
        </w:tc>
        <w:tc>
          <w:tcPr>
            <w:tcW w:type="dxa" w:w="3150"/>
          </w:tcPr>
          <w:p>
            <w:pPr>
              <w:pStyle w:val="Compact"/>
              <w:spacing w:before="20" w:after="20" w:line="240" w:lineRule="auto"/>
              <w:keepNext/>
            </w:pPr>
            <w:r>
              <w:rPr>
                <w:sz w:val="14"/>
                <w:szCs w:val="14"/>
              </w:rPr>
              <w:t xml:space="preserve">1 if the application carries at least one H01L21 symbol (fabrication-process classification),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Classification related to fabrication processes, not the front end itself</w:t>
            </w:r>
          </w:p>
        </w:tc>
      </w:tr>
      <w:tr>
        <w:trPr>
          <w:cantSplit/>
        </w:trPr>
        <w:tc>
          <w:tcPr>
            <w:tcW w:type="dxa" w:w="1194"/>
          </w:tcPr>
          <w:p>
            <w:pPr>
              <w:pStyle w:val="Compact"/>
              <w:spacing w:before="20" w:after="20" w:line="240" w:lineRule="auto"/>
              <w:keepNext/>
            </w:pPr>
            <w:r>
              <w:rPr>
                <w:sz w:val="14"/>
                <w:szCs w:val="14"/>
              </w:rPr>
              <w:t xml:space="preserve">yc</w:t>
            </w:r>
          </w:p>
        </w:tc>
        <w:tc>
          <w:tcPr>
            <w:tcW w:type="dxa" w:w="3150"/>
          </w:tcPr>
          <w:p>
            <w:pPr>
              <w:pStyle w:val="Compact"/>
              <w:spacing w:before="20" w:after="20" w:line="240" w:lineRule="auto"/>
              <w:keepNext/>
            </w:pPr>
            <w:r>
              <w:rPr>
                <w:sz w:val="14"/>
                <w:szCs w:val="14"/>
              </w:rPr>
              <w:t xml:space="preserve">Filing year (years elapsed since 1968 = 0); sample mean 49.7 (2017.7)</w:t>
            </w:r>
          </w:p>
        </w:tc>
        <w:tc>
          <w:tcPr>
            <w:tcW w:type="dxa" w:w="1466"/>
          </w:tcPr>
          <w:p>
            <w:pPr>
              <w:pStyle w:val="Compact"/>
              <w:spacing w:before="20" w:after="20" w:line="240" w:lineRule="auto"/>
              <w:keepNext/>
            </w:pPr>
            <w:r>
              <w:rPr>
                <w:sz w:val="14"/>
                <w:szCs w:val="14"/>
              </w:rPr>
              <w:t xml:space="preserve">Integer, 0–56</w:t>
            </w:r>
          </w:p>
        </w:tc>
        <w:tc>
          <w:tcPr>
            <w:tcW w:type="dxa" w:w="3258"/>
          </w:tcPr>
          <w:p>
            <w:pPr>
              <w:pStyle w:val="Compact"/>
              <w:spacing w:before="20" w:after="20" w:line="240" w:lineRule="auto"/>
              <w:keepNext/>
            </w:pPr>
            <w:r>
              <w:rPr>
                <w:sz w:val="14"/>
                <w:szCs w:val="14"/>
              </w:rPr>
              <w:t xml:space="preserve">Not a direct measure of technological maturity</w:t>
            </w:r>
          </w:p>
        </w:tc>
      </w:tr>
      <w:tr>
        <w:trPr>
          <w:cantSplit/>
        </w:trPr>
        <w:tc>
          <w:tcPr>
            <w:tcW w:type="dxa" w:w="1194"/>
          </w:tcPr>
          <w:p>
            <w:pPr>
              <w:pStyle w:val="Compact"/>
              <w:spacing w:before="20" w:after="20" w:line="240" w:lineRule="auto"/>
              <w:keepNext/>
            </w:pPr>
            <w:r>
              <w:rPr>
                <w:sz w:val="14"/>
                <w:szCs w:val="14"/>
              </w:rPr>
              <w:t xml:space="preserve">period</w:t>
            </w:r>
          </w:p>
        </w:tc>
        <w:tc>
          <w:tcPr>
            <w:tcW w:type="dxa" w:w="3150"/>
          </w:tcPr>
          <w:p>
            <w:pPr>
              <w:pStyle w:val="Compact"/>
              <w:spacing w:before="20" w:after="20" w:line="240" w:lineRule="auto"/>
              <w:keepNext/>
            </w:pPr>
            <w:r>
              <w:rPr>
                <w:sz w:val="14"/>
                <w:szCs w:val="14"/>
              </w:rPr>
              <w:t xml:space="preserve">Filing period: 1968–2014 (reference), 2015–2019, 2020–2024</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The first period is longer than the two later periods</w:t>
            </w:r>
          </w:p>
        </w:tc>
      </w:tr>
      <w:tr>
        <w:trPr>
          <w:cantSplit/>
        </w:trPr>
        <w:tc>
          <w:tcPr>
            <w:tcW w:type="dxa" w:w="1194"/>
          </w:tcPr>
          <w:p>
            <w:pPr>
              <w:pStyle w:val="Compact"/>
              <w:spacing w:before="20" w:after="20" w:line="240" w:lineRule="auto"/>
              <w:keepNext/>
            </w:pPr>
            <w:r>
              <w:rPr>
                <w:sz w:val="14"/>
                <w:szCs w:val="14"/>
              </w:rPr>
              <w:t xml:space="preserve">core</w:t>
            </w:r>
          </w:p>
        </w:tc>
        <w:tc>
          <w:tcPr>
            <w:tcW w:type="dxa" w:w="3150"/>
          </w:tcPr>
          <w:p>
            <w:pPr>
              <w:pStyle w:val="Compact"/>
              <w:spacing w:before="20" w:after="20" w:line="240" w:lineRule="auto"/>
              <w:keepNext/>
            </w:pPr>
            <w:r>
              <w:rPr>
                <w:sz w:val="14"/>
                <w:szCs w:val="14"/>
              </w:rPr>
              <w:t xml:space="preserve">1 if the application carries at least one core bonding symbol (24/03, 24/05, 24/08, 24/80),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Defined only for applications with H01L24 symbols (N = 763)</w:t>
            </w:r>
          </w:p>
        </w:tc>
      </w:tr>
      <w:tr>
        <w:trPr>
          <w:cantSplit/>
        </w:trPr>
        <w:tc>
          <w:tcPr>
            <w:tcW w:type="dxa" w:w="1194"/>
          </w:tcPr>
          <w:p>
            <w:pPr>
              <w:pStyle w:val="Compact"/>
              <w:spacing w:before="20" w:after="20" w:line="240" w:lineRule="auto"/>
              <w:keepNext/>
            </w:pPr>
            <w:r>
              <w:rPr>
                <w:sz w:val="14"/>
                <w:szCs w:val="14"/>
              </w:rPr>
              <w:t xml:space="preserve">ccode</w:t>
            </w:r>
          </w:p>
        </w:tc>
        <w:tc>
          <w:tcPr>
            <w:tcW w:type="dxa" w:w="3150"/>
          </w:tcPr>
          <w:p>
            <w:pPr>
              <w:pStyle w:val="Compact"/>
              <w:spacing w:before="20" w:after="20" w:line="240" w:lineRule="auto"/>
              <w:keepNext/>
            </w:pPr>
            <w:r>
              <w:rPr>
                <w:sz w:val="14"/>
                <w:szCs w:val="14"/>
              </w:rPr>
              <w:t xml:space="preserve">Filing office or route: US (reference), CN, KR, TW, JP, EP, WO (PCT), other</w:t>
            </w:r>
          </w:p>
        </w:tc>
        <w:tc>
          <w:tcPr>
            <w:tcW w:type="dxa" w:w="1466"/>
          </w:tcPr>
          <w:p>
            <w:pPr>
              <w:pStyle w:val="Compact"/>
              <w:spacing w:before="20" w:after="20" w:line="240" w:lineRule="auto"/>
              <w:keepNext/>
            </w:pPr>
            <w:r>
              <w:rPr>
                <w:sz w:val="14"/>
                <w:szCs w:val="14"/>
              </w:rPr>
              <w:t xml:space="preserve">Categorical, 8</w:t>
            </w:r>
          </w:p>
        </w:tc>
        <w:tc>
          <w:tcPr>
            <w:tcW w:type="dxa" w:w="3258"/>
          </w:tcPr>
          <w:p>
            <w:pPr>
              <w:pStyle w:val="Compact"/>
              <w:spacing w:before="20" w:after="20" w:line="240" w:lineRule="auto"/>
              <w:keepNext/>
            </w:pPr>
            <w:r>
              <w:rPr>
                <w:sz w:val="14"/>
                <w:szCs w:val="14"/>
              </w:rPr>
              <w:t xml:space="preserve">Control variable (not interpreted)</w:t>
            </w:r>
          </w:p>
        </w:tc>
      </w:tr>
    </w:tbl>
    <w:p>
      <w:pPr>
        <w:pStyle w:val="BodyText"/>
      </w:pPr>
      <w:r>
        <w:t xml:space="preserve">The descriptive statistics of the main variables are as follows. Technological scope averages 5.69 symbols (standard deviation 4.07, range 1–21) and differs by type: 7.89 for integrated, 4.16 for bonding-only, and 3.15 for process-only applications. By filing office, there are 382 applications at the US office, 175 at the Chinese office, 113 through the Patent Cooperation Treaty (PCT) route, 83 at the EPO, 75 at the Taiwanese office, 58 at the Korean office, 26 at the Japanese office, and 16 at other offices. Figure 3 shows the number of applications by year: applications were rare before 2010 but surged in the late 2010s and peaked around 2022. By type, there are 425 integrated (45.8%), 338 bonding-only (36.4%), and 165 process-only (17.8%) applications, and 590 applications (63.6%) carry fabrication-process symbols.</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en_v64.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Figure 3.</w:t>
      </w:r>
      <w:r>
        <w:rPr>
          <w:sz w:val="20"/>
          <w:szCs w:val="20"/>
        </w:rPr>
        <w:t xml:space="preserve"> </w:t>
      </w:r>
      <w:r>
        <w:rPr>
          <w:sz w:val="20"/>
          <w:szCs w:val="20"/>
        </w:rPr>
        <w:t xml:space="preserve">Number of applications related to hybrid bonding by filing year, 1968–2024 (N = 928). The decline in 2023–2024 is likely to have been affected by the lag between filing and publication.</w:t>
      </w:r>
    </w:p>
    <w:bookmarkEnd w:id="30"/>
    <w:bookmarkStart w:id="34" w:name="Xdc28f74b307698f0ba495998cf480403d2f4017"/>
    <w:p>
      <w:pPr>
        <w:pStyle w:val="Heading3"/>
      </w:pPr>
      <w:r>
        <w:t xml:space="preserve">4.4 Identification of core technologies: Technology cluster and technology network</w:t>
      </w:r>
    </w:p>
    <w:p>
      <w:pPr>
        <w:pStyle w:val="FirstParagraph"/>
      </w:pPr>
      <w:r>
        <w:t xml:space="preserve">To measure core technology (core), one of the variables defined above, and to analyze shifts in the structural center of convergence, the core technologies of hybrid bonding must first be specified. This section therefore identifies them with two methods. The technology cluster method looks for the symbols that many applications share, that is, the essential elements of the technology, and the technology network method treats pairs of symbols assigned to the same application as links to capture how the elements combine (Breschi et al., 2003; Sternitzke et al., 2008).</w:t>
      </w:r>
    </w:p>
    <w:p>
      <w:pPr>
        <w:pStyle w:val="BodyText"/>
      </w:pPr>
      <w:r>
        <w:rPr>
          <w:b/>
          <w:bCs/>
        </w:rPr>
        <w:t xml:space="preserve">Technology cluster.</w:t>
      </w:r>
      <w:r>
        <w:t xml:space="preserve"> </w:t>
      </w:r>
      <w:r>
        <w:t xml:space="preserve">Table 4 lists the 11 symbols, among all CPC symbols assigned to the 928 applications, that are assigned to 200 or more applications; the description of each symbol summarizes its official CPC definition. The symbols assigned to the most applications are 24/80, connection methods using bonding pads (</w:t>
      </w:r>
      <w:r>
        <w:t xml:space="preserve">“bonding areas”</w:t>
      </w:r>
      <w:r>
        <w:t xml:space="preserve"> </w:t>
      </w:r>
      <w:r>
        <w:t xml:space="preserve">in CPC terminology; 529 applications, 57.0%), and 24/08, the structure of bonding pads after connection (513 applications, 55.3%), followed by 2224/80895, direct bonding between electrically conductive surfaces (504 applications), and 2224/80896, direct bonding between electrically insulating surfaces (488 applications). Read together, these symbols describe hybrid bonding within the classification system itself:</w:t>
      </w:r>
      <w:r>
        <w:t xml:space="preserve"> </w:t>
      </w:r>
      <w:r>
        <w:rPr>
          <w:b/>
          <w:bCs/>
        </w:rPr>
        <w:t xml:space="preserve">hybrid bonding is a technology that forms copper-based bonding pads (2224/05647) flush with the surface (2224/80357) and directly bonds the metal (2224/80895) and the dielectric (2224/80896) together (24/08, 24/80) to stack chips vertically without bumps (2224/08145, 25/0657).</w:t>
      </w:r>
      <w:r>
        <w:t xml:space="preserve"> </w:t>
      </w:r>
      <w:r>
        <w:t xml:space="preserve">What distinguishes hybrid bonding from other bonding methods is the combination in which metal–metal direct bonding and dielectric–dielectric direct bonding are assigned together to a single application.</w:t>
      </w:r>
    </w:p>
    <w:p>
      <w:pPr>
        <w:pStyle w:val="BodyText"/>
        <w:keepNext/>
      </w:pPr>
      <w:r>
        <w:rPr>
          <w:b/>
          <w:bCs/>
          <w:sz w:val="20"/>
          <w:szCs w:val="20"/>
        </w:rPr>
        <w:t xml:space="preserve">Table 4.</w:t>
      </w:r>
      <w:r>
        <w:rPr>
          <w:sz w:val="20"/>
          <w:szCs w:val="20"/>
        </w:rPr>
        <w:t xml:space="preserve"> </w:t>
      </w:r>
      <w:r>
        <w:rPr>
          <w:sz w:val="20"/>
          <w:szCs w:val="20"/>
        </w:rPr>
        <w:t xml:space="preserve">Technology cluster: CPC symbols assigned to 200 or more applications (N = 928; shares are relative to the 928 applications).</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2"/>
        <w:gridCol w:w="2015"/>
        <w:gridCol w:w="2888"/>
        <w:gridCol w:w="1612"/>
        <w:gridCol w:w="671"/>
        <w:gridCol w:w="1343"/>
      </w:tblGrid>
      <w:tr>
        <w:trPr>
          <w:tblHeader w:val="on"/>
          <w:cantSplit/>
        </w:trPr>
        <w:tc>
          <w:tcPr>
            <w:tcW w:type="dxa" w:w="542"/>
            <w:tcBorders>
              <w:bottom w:val="single" w:sz="4" w:space="0" w:color="000000"/>
            </w:tcBorders>
          </w:tcPr>
          <w:p>
            <w:pPr>
              <w:pStyle w:val="Compact"/>
              <w:spacing w:before="20" w:after="20" w:line="240" w:lineRule="auto"/>
              <w:jc w:val="right"/>
              <w:keepNext/>
            </w:pPr>
            <w:r>
              <w:rPr>
                <w:sz w:val="13"/>
                <w:szCs w:val="13"/>
              </w:rPr>
              <w:t xml:space="preserve">Rank</w:t>
            </w:r>
          </w:p>
        </w:tc>
        <w:tc>
          <w:tcPr>
            <w:tcW w:type="dxa" w:w="2015"/>
            <w:tcBorders>
              <w:bottom w:val="single" w:sz="4" w:space="0" w:color="000000"/>
            </w:tcBorders>
          </w:tcPr>
          <w:p>
            <w:pPr>
              <w:pStyle w:val="Compact"/>
              <w:spacing w:before="20" w:after="20" w:line="240" w:lineRule="auto"/>
              <w:keepNext/>
            </w:pPr>
            <w:r>
              <w:rPr>
                <w:sz w:val="13"/>
                <w:szCs w:val="13"/>
              </w:rPr>
              <w:t xml:space="preserve">CPC symbol</w:t>
            </w:r>
          </w:p>
        </w:tc>
        <w:tc>
          <w:tcPr>
            <w:tcW w:type="dxa" w:w="2888"/>
            <w:tcBorders>
              <w:bottom w:val="single" w:sz="4" w:space="0" w:color="000000"/>
            </w:tcBorders>
          </w:tcPr>
          <w:p>
            <w:pPr>
              <w:pStyle w:val="Compact"/>
              <w:spacing w:before="20" w:after="20" w:line="240" w:lineRule="auto"/>
              <w:keepNext/>
            </w:pPr>
            <w:r>
              <w:rPr>
                <w:sz w:val="13"/>
                <w:szCs w:val="13"/>
              </w:rPr>
              <w:t xml:space="preserve">Official definition (summary)</w:t>
            </w:r>
          </w:p>
        </w:tc>
        <w:tc>
          <w:tcPr>
            <w:tcW w:type="dxa" w:w="1612"/>
            <w:tcBorders>
              <w:bottom w:val="single" w:sz="4" w:space="0" w:color="000000"/>
            </w:tcBorders>
          </w:tcPr>
          <w:p>
            <w:pPr>
              <w:pStyle w:val="Compact"/>
              <w:spacing w:before="20" w:after="20" w:line="240" w:lineRule="auto"/>
              <w:jc w:val="right"/>
              <w:keepNext/>
            </w:pPr>
            <w:r>
              <w:rPr>
                <w:sz w:val="13"/>
                <w:szCs w:val="13"/>
              </w:rPr>
              <w:t xml:space="preserve">Applications</w:t>
            </w:r>
          </w:p>
        </w:tc>
        <w:tc>
          <w:tcPr>
            <w:tcW w:type="dxa" w:w="671"/>
            <w:tcBorders>
              <w:bottom w:val="single" w:sz="4" w:space="0" w:color="000000"/>
            </w:tcBorders>
          </w:tcPr>
          <w:p>
            <w:pPr>
              <w:pStyle w:val="Compact"/>
              <w:spacing w:before="20" w:after="20" w:line="240" w:lineRule="auto"/>
              <w:jc w:val="right"/>
              <w:keepNext/>
            </w:pPr>
            <w:r>
              <w:rPr>
                <w:sz w:val="13"/>
                <w:szCs w:val="13"/>
              </w:rPr>
              <w:t xml:space="preserve">Share (%)</w:t>
            </w:r>
          </w:p>
        </w:tc>
        <w:tc>
          <w:tcPr>
            <w:tcW w:type="dxa" w:w="1343"/>
            <w:tcBorders>
              <w:bottom w:val="single" w:sz="4" w:space="0" w:color="000000"/>
            </w:tcBorders>
          </w:tcPr>
          <w:p>
            <w:pPr>
              <w:pStyle w:val="Compact"/>
              <w:spacing w:before="20" w:after="20" w:line="240" w:lineRule="auto"/>
              <w:jc w:val="center"/>
              <w:keepNext/>
            </w:pPr>
            <w:r>
              <w:rPr>
                <w:sz w:val="13"/>
                <w:szCs w:val="13"/>
              </w:rPr>
              <w:t xml:space="preserve">In regression data</w:t>
            </w:r>
          </w:p>
        </w:tc>
      </w:tr>
      <w:tr>
        <w:trPr>
          <w:cantSplit/>
        </w:trPr>
        <w:tc>
          <w:tcPr>
            <w:tcW w:type="dxa" w:w="542"/>
          </w:tcPr>
          <w:p>
            <w:pPr>
              <w:pStyle w:val="Compact"/>
              <w:spacing w:before="20" w:after="20" w:line="240" w:lineRule="auto"/>
              <w:jc w:val="right"/>
              <w:keepNext/>
            </w:pPr>
            <w:r>
              <w:rPr>
                <w:sz w:val="13"/>
                <w:szCs w:val="13"/>
              </w:rPr>
              <w:t xml:space="preserve">1</w:t>
            </w:r>
          </w:p>
        </w:tc>
        <w:tc>
          <w:tcPr>
            <w:tcW w:type="dxa" w:w="2015"/>
          </w:tcPr>
          <w:p>
            <w:pPr>
              <w:pStyle w:val="Compact"/>
              <w:spacing w:before="20" w:after="20" w:line="240" w:lineRule="auto"/>
              <w:keepNext/>
            </w:pPr>
            <w:r>
              <w:rPr>
                <w:sz w:val="13"/>
                <w:szCs w:val="13"/>
              </w:rPr>
              <w:t xml:space="preserve">H01L 24/80</w:t>
            </w:r>
          </w:p>
        </w:tc>
        <w:tc>
          <w:tcPr>
            <w:tcW w:type="dxa" w:w="2888"/>
          </w:tcPr>
          <w:p>
            <w:pPr>
              <w:pStyle w:val="Compact"/>
              <w:spacing w:before="20" w:after="20" w:line="240" w:lineRule="auto"/>
              <w:keepNext/>
            </w:pPr>
            <w:r>
              <w:rPr>
                <w:sz w:val="13"/>
                <w:szCs w:val="13"/>
              </w:rPr>
              <w:t xml:space="preserve">Connection methods using bonding pads</w:t>
            </w:r>
          </w:p>
        </w:tc>
        <w:tc>
          <w:tcPr>
            <w:tcW w:type="dxa" w:w="1612"/>
          </w:tcPr>
          <w:p>
            <w:pPr>
              <w:pStyle w:val="Compact"/>
              <w:spacing w:before="20" w:after="20" w:line="240" w:lineRule="auto"/>
              <w:jc w:val="right"/>
              <w:keepNext/>
            </w:pPr>
            <w:r>
              <w:rPr>
                <w:sz w:val="13"/>
                <w:szCs w:val="13"/>
              </w:rPr>
              <w:t xml:space="preserve">529</w:t>
            </w:r>
          </w:p>
        </w:tc>
        <w:tc>
          <w:tcPr>
            <w:tcW w:type="dxa" w:w="671"/>
          </w:tcPr>
          <w:p>
            <w:pPr>
              <w:pStyle w:val="Compact"/>
              <w:spacing w:before="20" w:after="20" w:line="240" w:lineRule="auto"/>
              <w:jc w:val="right"/>
              <w:keepNext/>
            </w:pPr>
            <w:r>
              <w:rPr>
                <w:sz w:val="13"/>
                <w:szCs w:val="13"/>
              </w:rPr>
              <w:t xml:space="preserve">57.0</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2</w:t>
            </w:r>
          </w:p>
        </w:tc>
        <w:tc>
          <w:tcPr>
            <w:tcW w:type="dxa" w:w="2015"/>
          </w:tcPr>
          <w:p>
            <w:pPr>
              <w:pStyle w:val="Compact"/>
              <w:spacing w:before="20" w:after="20" w:line="240" w:lineRule="auto"/>
              <w:keepNext/>
            </w:pPr>
            <w:r>
              <w:rPr>
                <w:sz w:val="13"/>
                <w:szCs w:val="13"/>
              </w:rPr>
              <w:t xml:space="preserve">H01L 24/08</w:t>
            </w:r>
          </w:p>
        </w:tc>
        <w:tc>
          <w:tcPr>
            <w:tcW w:type="dxa" w:w="2888"/>
          </w:tcPr>
          <w:p>
            <w:pPr>
              <w:pStyle w:val="Compact"/>
              <w:spacing w:before="20" w:after="20" w:line="240" w:lineRule="auto"/>
              <w:keepNext/>
            </w:pPr>
            <w:r>
              <w:rPr>
                <w:sz w:val="13"/>
                <w:szCs w:val="13"/>
              </w:rPr>
              <w:t xml:space="preserve">Structure, shape, material, or disposition of an individual bonding pad after connection</w:t>
            </w:r>
          </w:p>
        </w:tc>
        <w:tc>
          <w:tcPr>
            <w:tcW w:type="dxa" w:w="1612"/>
          </w:tcPr>
          <w:p>
            <w:pPr>
              <w:pStyle w:val="Compact"/>
              <w:spacing w:before="20" w:after="20" w:line="240" w:lineRule="auto"/>
              <w:jc w:val="right"/>
              <w:keepNext/>
            </w:pPr>
            <w:r>
              <w:rPr>
                <w:sz w:val="13"/>
                <w:szCs w:val="13"/>
              </w:rPr>
              <w:t xml:space="preserve">513</w:t>
            </w:r>
          </w:p>
        </w:tc>
        <w:tc>
          <w:tcPr>
            <w:tcW w:type="dxa" w:w="671"/>
          </w:tcPr>
          <w:p>
            <w:pPr>
              <w:pStyle w:val="Compact"/>
              <w:spacing w:before="20" w:after="20" w:line="240" w:lineRule="auto"/>
              <w:jc w:val="right"/>
              <w:keepNext/>
            </w:pPr>
            <w:r>
              <w:rPr>
                <w:sz w:val="13"/>
                <w:szCs w:val="13"/>
              </w:rPr>
              <w:t xml:space="preserve">55.3</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3</w:t>
            </w:r>
          </w:p>
        </w:tc>
        <w:tc>
          <w:tcPr>
            <w:tcW w:type="dxa" w:w="2015"/>
          </w:tcPr>
          <w:p>
            <w:pPr>
              <w:pStyle w:val="Compact"/>
              <w:spacing w:before="20" w:after="20" w:line="240" w:lineRule="auto"/>
              <w:keepNext/>
            </w:pPr>
            <w:r>
              <w:rPr>
                <w:sz w:val="13"/>
                <w:szCs w:val="13"/>
              </w:rPr>
              <w:t xml:space="preserve">H01L 2224/80895</w:t>
            </w:r>
          </w:p>
        </w:tc>
        <w:tc>
          <w:tcPr>
            <w:tcW w:type="dxa" w:w="2888"/>
          </w:tcPr>
          <w:p>
            <w:pPr>
              <w:pStyle w:val="Compact"/>
              <w:spacing w:before="20" w:after="20" w:line="240" w:lineRule="auto"/>
              <w:keepNext/>
            </w:pPr>
            <w:r>
              <w:rPr>
                <w:sz w:val="13"/>
                <w:szCs w:val="13"/>
              </w:rPr>
              <w:t xml:space="preserve">Direct bonding between electrically conductive surfaces (e.g., copper–copper)</w:t>
            </w:r>
          </w:p>
        </w:tc>
        <w:tc>
          <w:tcPr>
            <w:tcW w:type="dxa" w:w="1612"/>
          </w:tcPr>
          <w:p>
            <w:pPr>
              <w:pStyle w:val="Compact"/>
              <w:spacing w:before="20" w:after="20" w:line="240" w:lineRule="auto"/>
              <w:jc w:val="right"/>
              <w:keepNext/>
            </w:pPr>
            <w:r>
              <w:rPr>
                <w:sz w:val="13"/>
                <w:szCs w:val="13"/>
              </w:rPr>
              <w:t xml:space="preserve">504</w:t>
            </w:r>
          </w:p>
        </w:tc>
        <w:tc>
          <w:tcPr>
            <w:tcW w:type="dxa" w:w="671"/>
          </w:tcPr>
          <w:p>
            <w:pPr>
              <w:pStyle w:val="Compact"/>
              <w:spacing w:before="20" w:after="20" w:line="240" w:lineRule="auto"/>
              <w:jc w:val="right"/>
              <w:keepNext/>
            </w:pPr>
            <w:r>
              <w:rPr>
                <w:sz w:val="13"/>
                <w:szCs w:val="13"/>
              </w:rPr>
              <w:t xml:space="preserve">54.3</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4</w:t>
            </w:r>
          </w:p>
        </w:tc>
        <w:tc>
          <w:tcPr>
            <w:tcW w:type="dxa" w:w="2015"/>
          </w:tcPr>
          <w:p>
            <w:pPr>
              <w:pStyle w:val="Compact"/>
              <w:spacing w:before="20" w:after="20" w:line="240" w:lineRule="auto"/>
              <w:keepNext/>
            </w:pPr>
            <w:r>
              <w:rPr>
                <w:sz w:val="13"/>
                <w:szCs w:val="13"/>
              </w:rPr>
              <w:t xml:space="preserve">H01L 2224/80896</w:t>
            </w:r>
          </w:p>
        </w:tc>
        <w:tc>
          <w:tcPr>
            <w:tcW w:type="dxa" w:w="2888"/>
          </w:tcPr>
          <w:p>
            <w:pPr>
              <w:pStyle w:val="Compact"/>
              <w:spacing w:before="20" w:after="20" w:line="240" w:lineRule="auto"/>
              <w:keepNext/>
            </w:pPr>
            <w:r>
              <w:rPr>
                <w:sz w:val="13"/>
                <w:szCs w:val="13"/>
              </w:rPr>
              <w:t xml:space="preserve">Direct bonding between electrically insulating surfaces (e.g., oxide or nitride layers)</w:t>
            </w:r>
          </w:p>
        </w:tc>
        <w:tc>
          <w:tcPr>
            <w:tcW w:type="dxa" w:w="1612"/>
          </w:tcPr>
          <w:p>
            <w:pPr>
              <w:pStyle w:val="Compact"/>
              <w:spacing w:before="20" w:after="20" w:line="240" w:lineRule="auto"/>
              <w:jc w:val="right"/>
              <w:keepNext/>
            </w:pPr>
            <w:r>
              <w:rPr>
                <w:sz w:val="13"/>
                <w:szCs w:val="13"/>
              </w:rPr>
              <w:t xml:space="preserve">488</w:t>
            </w:r>
          </w:p>
        </w:tc>
        <w:tc>
          <w:tcPr>
            <w:tcW w:type="dxa" w:w="671"/>
          </w:tcPr>
          <w:p>
            <w:pPr>
              <w:pStyle w:val="Compact"/>
              <w:spacing w:before="20" w:after="20" w:line="240" w:lineRule="auto"/>
              <w:jc w:val="right"/>
              <w:keepNext/>
            </w:pPr>
            <w:r>
              <w:rPr>
                <w:sz w:val="13"/>
                <w:szCs w:val="13"/>
              </w:rPr>
              <w:t xml:space="preserve">52.6</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5</w:t>
            </w:r>
          </w:p>
        </w:tc>
        <w:tc>
          <w:tcPr>
            <w:tcW w:type="dxa" w:w="2015"/>
          </w:tcPr>
          <w:p>
            <w:pPr>
              <w:pStyle w:val="Compact"/>
              <w:spacing w:before="20" w:after="20" w:line="240" w:lineRule="auto"/>
              <w:keepNext/>
            </w:pPr>
            <w:r>
              <w:rPr>
                <w:sz w:val="13"/>
                <w:szCs w:val="13"/>
              </w:rPr>
              <w:t xml:space="preserve">H01L 2224/08145</w:t>
            </w:r>
          </w:p>
        </w:tc>
        <w:tc>
          <w:tcPr>
            <w:tcW w:type="dxa" w:w="2888"/>
          </w:tcPr>
          <w:p>
            <w:pPr>
              <w:pStyle w:val="Compact"/>
              <w:spacing w:before="20" w:after="20" w:line="240" w:lineRule="auto"/>
              <w:keepNext/>
            </w:pPr>
            <w:r>
              <w:rPr>
                <w:sz w:val="13"/>
                <w:szCs w:val="13"/>
              </w:rPr>
              <w:t xml:space="preserve">Bonding between stacked chips whose bonding pads are connected directly (bumpless)</w:t>
            </w:r>
          </w:p>
        </w:tc>
        <w:tc>
          <w:tcPr>
            <w:tcW w:type="dxa" w:w="1612"/>
          </w:tcPr>
          <w:p>
            <w:pPr>
              <w:pStyle w:val="Compact"/>
              <w:spacing w:before="20" w:after="20" w:line="240" w:lineRule="auto"/>
              <w:jc w:val="right"/>
              <w:keepNext/>
            </w:pPr>
            <w:r>
              <w:rPr>
                <w:sz w:val="13"/>
                <w:szCs w:val="13"/>
              </w:rPr>
              <w:t xml:space="preserve">436</w:t>
            </w:r>
          </w:p>
        </w:tc>
        <w:tc>
          <w:tcPr>
            <w:tcW w:type="dxa" w:w="671"/>
          </w:tcPr>
          <w:p>
            <w:pPr>
              <w:pStyle w:val="Compact"/>
              <w:spacing w:before="20" w:after="20" w:line="240" w:lineRule="auto"/>
              <w:jc w:val="right"/>
              <w:keepNext/>
            </w:pPr>
            <w:r>
              <w:rPr>
                <w:sz w:val="13"/>
                <w:szCs w:val="13"/>
              </w:rPr>
              <w:t xml:space="preserve">47.0</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6</w:t>
            </w:r>
          </w:p>
        </w:tc>
        <w:tc>
          <w:tcPr>
            <w:tcW w:type="dxa" w:w="2015"/>
          </w:tcPr>
          <w:p>
            <w:pPr>
              <w:pStyle w:val="Compact"/>
              <w:spacing w:before="20" w:after="20" w:line="240" w:lineRule="auto"/>
              <w:keepNext/>
            </w:pPr>
            <w:r>
              <w:rPr>
                <w:sz w:val="13"/>
                <w:szCs w:val="13"/>
              </w:rPr>
              <w:t xml:space="preserve">H01L 25/50</w:t>
            </w:r>
          </w:p>
        </w:tc>
        <w:tc>
          <w:tcPr>
            <w:tcW w:type="dxa" w:w="2888"/>
          </w:tcPr>
          <w:p>
            <w:pPr>
              <w:pStyle w:val="Compact"/>
              <w:spacing w:before="20" w:after="20" w:line="240" w:lineRule="auto"/>
              <w:keepNext/>
            </w:pPr>
            <w:r>
              <w:rPr>
                <w:sz w:val="13"/>
                <w:szCs w:val="13"/>
              </w:rPr>
              <w:t xml:space="preserve">Multistep manufacturing processes of device assemblies</w:t>
            </w:r>
          </w:p>
        </w:tc>
        <w:tc>
          <w:tcPr>
            <w:tcW w:type="dxa" w:w="1612"/>
          </w:tcPr>
          <w:p>
            <w:pPr>
              <w:pStyle w:val="Compact"/>
              <w:spacing w:before="20" w:after="20" w:line="240" w:lineRule="auto"/>
              <w:jc w:val="right"/>
              <w:keepNext/>
            </w:pPr>
            <w:r>
              <w:rPr>
                <w:sz w:val="13"/>
                <w:szCs w:val="13"/>
              </w:rPr>
              <w:t xml:space="preserve">363</w:t>
            </w:r>
          </w:p>
        </w:tc>
        <w:tc>
          <w:tcPr>
            <w:tcW w:type="dxa" w:w="671"/>
          </w:tcPr>
          <w:p>
            <w:pPr>
              <w:pStyle w:val="Compact"/>
              <w:spacing w:before="20" w:after="20" w:line="240" w:lineRule="auto"/>
              <w:jc w:val="right"/>
              <w:keepNext/>
            </w:pPr>
            <w:r>
              <w:rPr>
                <w:sz w:val="13"/>
                <w:szCs w:val="13"/>
              </w:rPr>
              <w:t xml:space="preserve">39.1</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7</w:t>
            </w:r>
          </w:p>
        </w:tc>
        <w:tc>
          <w:tcPr>
            <w:tcW w:type="dxa" w:w="2015"/>
          </w:tcPr>
          <w:p>
            <w:pPr>
              <w:pStyle w:val="Compact"/>
              <w:spacing w:before="20" w:after="20" w:line="240" w:lineRule="auto"/>
              <w:keepNext/>
            </w:pPr>
            <w:r>
              <w:rPr>
                <w:sz w:val="13"/>
                <w:szCs w:val="13"/>
              </w:rPr>
              <w:t xml:space="preserve">H01L 24/05</w:t>
            </w:r>
          </w:p>
        </w:tc>
        <w:tc>
          <w:tcPr>
            <w:tcW w:type="dxa" w:w="2888"/>
          </w:tcPr>
          <w:p>
            <w:pPr>
              <w:pStyle w:val="Compact"/>
              <w:spacing w:before="20" w:after="20" w:line="240" w:lineRule="auto"/>
              <w:keepNext/>
            </w:pPr>
            <w:r>
              <w:rPr>
                <w:sz w:val="13"/>
                <w:szCs w:val="13"/>
              </w:rPr>
              <w:t xml:space="preserve">Structure, shape, material, or disposition of an individual bonding pad before connection</w:t>
            </w:r>
          </w:p>
        </w:tc>
        <w:tc>
          <w:tcPr>
            <w:tcW w:type="dxa" w:w="1612"/>
          </w:tcPr>
          <w:p>
            <w:pPr>
              <w:pStyle w:val="Compact"/>
              <w:spacing w:before="20" w:after="20" w:line="240" w:lineRule="auto"/>
              <w:jc w:val="right"/>
              <w:keepNext/>
            </w:pPr>
            <w:r>
              <w:rPr>
                <w:sz w:val="13"/>
                <w:szCs w:val="13"/>
              </w:rPr>
              <w:t xml:space="preserve">350</w:t>
            </w:r>
          </w:p>
        </w:tc>
        <w:tc>
          <w:tcPr>
            <w:tcW w:type="dxa" w:w="671"/>
          </w:tcPr>
          <w:p>
            <w:pPr>
              <w:pStyle w:val="Compact"/>
              <w:spacing w:before="20" w:after="20" w:line="240" w:lineRule="auto"/>
              <w:jc w:val="right"/>
              <w:keepNext/>
            </w:pPr>
            <w:r>
              <w:rPr>
                <w:sz w:val="13"/>
                <w:szCs w:val="13"/>
              </w:rPr>
              <w:t xml:space="preserve">37.7</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8</w:t>
            </w:r>
          </w:p>
        </w:tc>
        <w:tc>
          <w:tcPr>
            <w:tcW w:type="dxa" w:w="2015"/>
          </w:tcPr>
          <w:p>
            <w:pPr>
              <w:pStyle w:val="Compact"/>
              <w:spacing w:before="20" w:after="20" w:line="240" w:lineRule="auto"/>
              <w:keepNext/>
            </w:pPr>
            <w:r>
              <w:rPr>
                <w:sz w:val="13"/>
                <w:szCs w:val="13"/>
              </w:rPr>
              <w:t xml:space="preserve">H01L 25/0657</w:t>
            </w:r>
          </w:p>
        </w:tc>
        <w:tc>
          <w:tcPr>
            <w:tcW w:type="dxa" w:w="2888"/>
          </w:tcPr>
          <w:p>
            <w:pPr>
              <w:pStyle w:val="Compact"/>
              <w:spacing w:before="20" w:after="20" w:line="240" w:lineRule="auto"/>
              <w:keepNext/>
            </w:pPr>
            <w:r>
              <w:rPr>
                <w:sz w:val="13"/>
                <w:szCs w:val="13"/>
              </w:rPr>
              <w:t xml:space="preserve">Stacked arrangements of devices</w:t>
            </w:r>
          </w:p>
        </w:tc>
        <w:tc>
          <w:tcPr>
            <w:tcW w:type="dxa" w:w="1612"/>
          </w:tcPr>
          <w:p>
            <w:pPr>
              <w:pStyle w:val="Compact"/>
              <w:spacing w:before="20" w:after="20" w:line="240" w:lineRule="auto"/>
              <w:jc w:val="right"/>
              <w:keepNext/>
            </w:pPr>
            <w:r>
              <w:rPr>
                <w:sz w:val="13"/>
                <w:szCs w:val="13"/>
              </w:rPr>
              <w:t xml:space="preserve">274</w:t>
            </w:r>
          </w:p>
        </w:tc>
        <w:tc>
          <w:tcPr>
            <w:tcW w:type="dxa" w:w="671"/>
          </w:tcPr>
          <w:p>
            <w:pPr>
              <w:pStyle w:val="Compact"/>
              <w:spacing w:before="20" w:after="20" w:line="240" w:lineRule="auto"/>
              <w:jc w:val="right"/>
              <w:keepNext/>
            </w:pPr>
            <w:r>
              <w:rPr>
                <w:sz w:val="13"/>
                <w:szCs w:val="13"/>
              </w:rPr>
              <w:t xml:space="preserve">29.5</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9</w:t>
            </w:r>
          </w:p>
        </w:tc>
        <w:tc>
          <w:tcPr>
            <w:tcW w:type="dxa" w:w="2015"/>
          </w:tcPr>
          <w:p>
            <w:pPr>
              <w:pStyle w:val="Compact"/>
              <w:spacing w:before="20" w:after="20" w:line="240" w:lineRule="auto"/>
              <w:keepNext/>
            </w:pPr>
            <w:r>
              <w:rPr>
                <w:sz w:val="13"/>
                <w:szCs w:val="13"/>
              </w:rPr>
              <w:t xml:space="preserve">H01L 2224/05647</w:t>
            </w:r>
          </w:p>
        </w:tc>
        <w:tc>
          <w:tcPr>
            <w:tcW w:type="dxa" w:w="2888"/>
          </w:tcPr>
          <w:p>
            <w:pPr>
              <w:pStyle w:val="Compact"/>
              <w:spacing w:before="20" w:after="20" w:line="240" w:lineRule="auto"/>
              <w:keepNext/>
            </w:pPr>
            <w:r>
              <w:rPr>
                <w:sz w:val="13"/>
                <w:szCs w:val="13"/>
              </w:rPr>
              <w:t xml:space="preserve">Bonding pads with copper as the principal constituent</w:t>
            </w:r>
          </w:p>
        </w:tc>
        <w:tc>
          <w:tcPr>
            <w:tcW w:type="dxa" w:w="1612"/>
          </w:tcPr>
          <w:p>
            <w:pPr>
              <w:pStyle w:val="Compact"/>
              <w:spacing w:before="20" w:after="20" w:line="240" w:lineRule="auto"/>
              <w:jc w:val="right"/>
              <w:keepNext/>
            </w:pPr>
            <w:r>
              <w:rPr>
                <w:sz w:val="13"/>
                <w:szCs w:val="13"/>
              </w:rPr>
              <w:t xml:space="preserve">239</w:t>
            </w:r>
          </w:p>
        </w:tc>
        <w:tc>
          <w:tcPr>
            <w:tcW w:type="dxa" w:w="671"/>
          </w:tcPr>
          <w:p>
            <w:pPr>
              <w:pStyle w:val="Compact"/>
              <w:spacing w:before="20" w:after="20" w:line="240" w:lineRule="auto"/>
              <w:jc w:val="right"/>
              <w:keepNext/>
            </w:pPr>
            <w:r>
              <w:rPr>
                <w:sz w:val="13"/>
                <w:szCs w:val="13"/>
              </w:rPr>
              <w:t xml:space="preserve">25.8</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10</w:t>
            </w:r>
          </w:p>
        </w:tc>
        <w:tc>
          <w:tcPr>
            <w:tcW w:type="dxa" w:w="2015"/>
          </w:tcPr>
          <w:p>
            <w:pPr>
              <w:pStyle w:val="Compact"/>
              <w:spacing w:before="20" w:after="20" w:line="240" w:lineRule="auto"/>
              <w:keepNext/>
            </w:pPr>
            <w:r>
              <w:rPr>
                <w:sz w:val="13"/>
                <w:szCs w:val="13"/>
              </w:rPr>
              <w:t xml:space="preserve">H01L 24/03</w:t>
            </w:r>
          </w:p>
        </w:tc>
        <w:tc>
          <w:tcPr>
            <w:tcW w:type="dxa" w:w="2888"/>
          </w:tcPr>
          <w:p>
            <w:pPr>
              <w:pStyle w:val="Compact"/>
              <w:spacing w:before="20" w:after="20" w:line="240" w:lineRule="auto"/>
              <w:keepNext/>
            </w:pPr>
            <w:r>
              <w:rPr>
                <w:sz w:val="13"/>
                <w:szCs w:val="13"/>
              </w:rPr>
              <w:t xml:space="preserve">Manufacturing methods of bonding pads</w:t>
            </w:r>
          </w:p>
        </w:tc>
        <w:tc>
          <w:tcPr>
            <w:tcW w:type="dxa" w:w="1612"/>
          </w:tcPr>
          <w:p>
            <w:pPr>
              <w:pStyle w:val="Compact"/>
              <w:spacing w:before="20" w:after="20" w:line="240" w:lineRule="auto"/>
              <w:jc w:val="right"/>
              <w:keepNext/>
            </w:pPr>
            <w:r>
              <w:rPr>
                <w:sz w:val="13"/>
                <w:szCs w:val="13"/>
              </w:rPr>
              <w:t xml:space="preserve">222</w:t>
            </w:r>
          </w:p>
        </w:tc>
        <w:tc>
          <w:tcPr>
            <w:tcW w:type="dxa" w:w="671"/>
          </w:tcPr>
          <w:p>
            <w:pPr>
              <w:pStyle w:val="Compact"/>
              <w:spacing w:before="20" w:after="20" w:line="240" w:lineRule="auto"/>
              <w:jc w:val="right"/>
              <w:keepNext/>
            </w:pPr>
            <w:r>
              <w:rPr>
                <w:sz w:val="13"/>
                <w:szCs w:val="13"/>
              </w:rPr>
              <w:t xml:space="preserve">23.9</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11</w:t>
            </w:r>
          </w:p>
        </w:tc>
        <w:tc>
          <w:tcPr>
            <w:tcW w:type="dxa" w:w="2015"/>
          </w:tcPr>
          <w:p>
            <w:pPr>
              <w:pStyle w:val="Compact"/>
              <w:spacing w:before="20" w:after="20" w:line="240" w:lineRule="auto"/>
              <w:keepNext/>
            </w:pPr>
            <w:r>
              <w:rPr>
                <w:sz w:val="13"/>
                <w:szCs w:val="13"/>
              </w:rPr>
              <w:t xml:space="preserve">H01L 2224/80357</w:t>
            </w:r>
          </w:p>
        </w:tc>
        <w:tc>
          <w:tcPr>
            <w:tcW w:type="dxa" w:w="2888"/>
          </w:tcPr>
          <w:p>
            <w:pPr>
              <w:pStyle w:val="Compact"/>
              <w:spacing w:before="20" w:after="20" w:line="240" w:lineRule="auto"/>
              <w:keepNext/>
            </w:pPr>
            <w:r>
              <w:rPr>
                <w:sz w:val="13"/>
                <w:szCs w:val="13"/>
              </w:rPr>
              <w:t xml:space="preserve">Bonding interface flush with the surface</w:t>
            </w:r>
          </w:p>
        </w:tc>
        <w:tc>
          <w:tcPr>
            <w:tcW w:type="dxa" w:w="1612"/>
          </w:tcPr>
          <w:p>
            <w:pPr>
              <w:pStyle w:val="Compact"/>
              <w:spacing w:before="20" w:after="20" w:line="240" w:lineRule="auto"/>
              <w:jc w:val="right"/>
              <w:keepNext/>
            </w:pPr>
            <w:r>
              <w:rPr>
                <w:sz w:val="13"/>
                <w:szCs w:val="13"/>
              </w:rPr>
              <w:t xml:space="preserve">205</w:t>
            </w:r>
          </w:p>
        </w:tc>
        <w:tc>
          <w:tcPr>
            <w:tcW w:type="dxa" w:w="671"/>
          </w:tcPr>
          <w:p>
            <w:pPr>
              <w:pStyle w:val="Compact"/>
              <w:spacing w:before="20" w:after="20" w:line="240" w:lineRule="auto"/>
              <w:jc w:val="right"/>
              <w:keepNext/>
            </w:pPr>
            <w:r>
              <w:rPr>
                <w:sz w:val="13"/>
                <w:szCs w:val="13"/>
              </w:rPr>
              <w:t xml:space="preserve">22.1</w:t>
            </w:r>
          </w:p>
        </w:tc>
        <w:tc>
          <w:tcPr>
            <w:tcW w:type="dxa" w:w="1343"/>
          </w:tcPr>
          <w:p>
            <w:pPr>
              <w:pStyle w:val="Compact"/>
              <w:spacing w:before="20" w:after="20" w:line="240" w:lineRule="auto"/>
              <w:jc w:val="center"/>
              <w:keepNext/>
            </w:pPr>
            <w:r>
              <w:rPr>
                <w:sz w:val="13"/>
                <w:szCs w:val="13"/>
              </w:rPr>
              <w:t xml:space="preserve">No</w:t>
            </w:r>
          </w:p>
        </w:tc>
      </w:tr>
    </w:tbl>
    <w:p>
      <w:pPr>
        <w:pStyle w:val="BodyText"/>
      </w:pPr>
      <w:r>
        <w:rPr>
          <w:i/>
          <w:iCs/>
          <w:sz w:val="20"/>
          <w:szCs w:val="20"/>
        </w:rPr>
        <w:t xml:space="preserve">Note:</w:t>
      </w:r>
      <w:r>
        <w:rPr>
          <w:sz w:val="20"/>
          <w:szCs w:val="20"/>
        </w:rPr>
        <w:t xml:space="preserve"> </w:t>
      </w:r>
      <w:r>
        <w:rPr>
          <w:sz w:val="20"/>
          <w:szCs w:val="20"/>
        </w:rPr>
        <w:t xml:space="preserve">“Yes”</w:t>
      </w:r>
      <w:r>
        <w:rPr>
          <w:sz w:val="20"/>
          <w:szCs w:val="20"/>
        </w:rPr>
        <w:t xml:space="preserve"> </w:t>
      </w:r>
      <w:r>
        <w:rPr>
          <w:sz w:val="20"/>
          <w:szCs w:val="20"/>
        </w:rPr>
        <w:t xml:space="preserve">in the last column marks symbols included in the H01L21 and H01L24 symbol records used in the regression analyses; the application counts for these four symbols are identical when recounted from the regression data.</w:t>
      </w:r>
      <w:r>
        <w:rPr>
          <w:sz w:val="20"/>
          <w:szCs w:val="20"/>
        </w:rPr>
        <w:t xml:space="preserve"> </w:t>
      </w:r>
      <w:r>
        <w:rPr>
          <w:sz w:val="20"/>
          <w:szCs w:val="20"/>
        </w:rPr>
        <w:t xml:space="preserve">“No”</w:t>
      </w:r>
      <w:r>
        <w:rPr>
          <w:sz w:val="20"/>
          <w:szCs w:val="20"/>
        </w:rPr>
        <w:t xml:space="preserve"> </w:t>
      </w:r>
      <w:r>
        <w:rPr>
          <w:sz w:val="20"/>
          <w:szCs w:val="20"/>
        </w:rPr>
        <w:t xml:space="preserve">marks indexing codes (H01L2224) and the device assembly class (H01L25), whose counts come from a separate tabulation of all CPC symbols of the same applications.</w:t>
      </w:r>
    </w:p>
    <w:p>
      <w:pPr>
        <w:pStyle w:val="BodyText"/>
      </w:pPr>
      <w:r>
        <w:rPr>
          <w:b/>
          <w:bCs/>
        </w:rPr>
        <w:t xml:space="preserve">Technology network.</w:t>
      </w:r>
      <w:r>
        <w:t xml:space="preserve"> </w:t>
      </w:r>
      <w:r>
        <w:t xml:space="preserve">Whereas the technology cluster shows the frequency of individual symbols, the technology network shows how symbols combine. The technology network consists of CPC symbols as nodes and of undirected links between any two different symbols assigned to the same application, and the weight of a link is the number of applications to which both symbols are assigned. Table 5 presents the ten pairs with the largest weights. The strongest link is the pair formed by the direct bonding of conductive surfaces and the direct bonding of insulating surfaces (460 applications), so the principle of hybrid bonding, which bonds both the metal and the dielectric, is directly reflected in the strength of the link. The remaining nine pairs are likewise all combinations of two of the five symbols 24/08, 24/80, 2224/80895, 2224/80896, and 2224/08145. In short, the core technologies of hybrid bonding are concentrated in a small number of closely linked bonding symbols.</w:t>
      </w:r>
    </w:p>
    <w:p>
      <w:pPr>
        <w:pStyle w:val="BodyText"/>
        <w:keepNext/>
      </w:pPr>
      <w:r>
        <w:rPr>
          <w:b/>
          <w:bCs/>
          <w:sz w:val="20"/>
          <w:szCs w:val="20"/>
        </w:rPr>
        <w:t xml:space="preserve">Table 5.</w:t>
      </w:r>
      <w:r>
        <w:rPr>
          <w:sz w:val="20"/>
          <w:szCs w:val="20"/>
        </w:rPr>
        <w:t xml:space="preserve"> </w:t>
      </w:r>
      <w:r>
        <w:rPr>
          <w:sz w:val="20"/>
          <w:szCs w:val="20"/>
        </w:rPr>
        <w:t xml:space="preserve">Technology network: Symbol pairs most frequently assigned together (N = 928; top 10 pairs).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36"/>
        <w:gridCol w:w="3659"/>
        <w:gridCol w:w="2864"/>
        <w:gridCol w:w="1909"/>
      </w:tblGrid>
      <w:tr>
        <w:trPr>
          <w:tblHeader w:val="on"/>
          <w:cantSplit/>
        </w:trPr>
        <w:tc>
          <w:tcPr>
            <w:tcW w:type="dxa" w:w="636"/>
            <w:tcBorders>
              <w:bottom w:val="single" w:sz="4" w:space="0" w:color="000000"/>
            </w:tcBorders>
          </w:tcPr>
          <w:p>
            <w:pPr>
              <w:pStyle w:val="Compact"/>
              <w:spacing w:before="20" w:after="20" w:line="240" w:lineRule="auto"/>
              <w:jc w:val="right"/>
              <w:keepNext/>
            </w:pPr>
            <w:r>
              <w:rPr>
                <w:sz w:val="16"/>
                <w:szCs w:val="16"/>
              </w:rPr>
              <w:t xml:space="preserve">Rank</w:t>
            </w:r>
          </w:p>
        </w:tc>
        <w:tc>
          <w:tcPr>
            <w:tcW w:type="dxa" w:w="3659"/>
            <w:tcBorders>
              <w:bottom w:val="single" w:sz="4" w:space="0" w:color="000000"/>
            </w:tcBorders>
          </w:tcPr>
          <w:p>
            <w:pPr>
              <w:pStyle w:val="Compact"/>
              <w:spacing w:before="20" w:after="20" w:line="240" w:lineRule="auto"/>
              <w:keepNext/>
            </w:pPr>
            <w:r>
              <w:rPr>
                <w:sz w:val="16"/>
                <w:szCs w:val="16"/>
              </w:rPr>
              <w:t xml:space="preserve">Symbol pair</w:t>
            </w:r>
          </w:p>
        </w:tc>
        <w:tc>
          <w:tcPr>
            <w:tcW w:type="dxa" w:w="2864"/>
            <w:tcBorders>
              <w:bottom w:val="single" w:sz="4" w:space="0" w:color="000000"/>
            </w:tcBorders>
          </w:tcPr>
          <w:p>
            <w:pPr>
              <w:pStyle w:val="Compact"/>
              <w:spacing w:before="20" w:after="20" w:line="240" w:lineRule="auto"/>
              <w:keepNext/>
            </w:pPr>
            <w:r>
              <w:rPr>
                <w:sz w:val="16"/>
                <w:szCs w:val="16"/>
              </w:rPr>
              <w:t xml:space="preserve">Content</w:t>
            </w:r>
          </w:p>
        </w:tc>
        <w:tc>
          <w:tcPr>
            <w:tcW w:type="dxa" w:w="1909"/>
            <w:tcBorders>
              <w:bottom w:val="single" w:sz="4" w:space="0" w:color="000000"/>
            </w:tcBorders>
          </w:tcPr>
          <w:p>
            <w:pPr>
              <w:pStyle w:val="Compact"/>
              <w:spacing w:before="20" w:after="20" w:line="240" w:lineRule="auto"/>
              <w:jc w:val="right"/>
              <w:keepNext/>
            </w:pPr>
            <w:r>
              <w:rPr>
                <w:sz w:val="16"/>
                <w:szCs w:val="16"/>
              </w:rPr>
              <w:t xml:space="preserve">Applications</w:t>
            </w:r>
          </w:p>
        </w:tc>
      </w:tr>
      <w:tr>
        <w:trPr>
          <w:cantSplit/>
        </w:trPr>
        <w:tc>
          <w:tcPr>
            <w:tcW w:type="dxa" w:w="636"/>
          </w:tcPr>
          <w:p>
            <w:pPr>
              <w:pStyle w:val="Compact"/>
              <w:spacing w:before="20" w:after="20" w:line="240" w:lineRule="auto"/>
              <w:jc w:val="right"/>
              <w:keepNext/>
            </w:pPr>
            <w:r>
              <w:rPr>
                <w:sz w:val="16"/>
                <w:szCs w:val="16"/>
              </w:rPr>
              <w:t xml:space="preserve">1</w:t>
            </w:r>
          </w:p>
        </w:tc>
        <w:tc>
          <w:tcPr>
            <w:tcW w:type="dxa" w:w="3659"/>
          </w:tcPr>
          <w:p>
            <w:pPr>
              <w:pStyle w:val="Compact"/>
              <w:spacing w:before="20" w:after="20" w:line="240" w:lineRule="auto"/>
              <w:keepNext/>
            </w:pPr>
            <w:r>
              <w:rPr>
                <w:sz w:val="16"/>
                <w:szCs w:val="16"/>
              </w:rPr>
              <w:t xml:space="preserve">2224/80895 – 2224/80896</w:t>
            </w:r>
          </w:p>
        </w:tc>
        <w:tc>
          <w:tcPr>
            <w:tcW w:type="dxa" w:w="2864"/>
          </w:tcPr>
          <w:p>
            <w:pPr>
              <w:pStyle w:val="Compact"/>
              <w:spacing w:before="20" w:after="20" w:line="240" w:lineRule="auto"/>
              <w:keepNext/>
            </w:pPr>
            <w:r>
              <w:rPr>
                <w:sz w:val="16"/>
                <w:szCs w:val="16"/>
              </w:rPr>
              <w:t xml:space="preserve">Direct bonding of conductive surfaces – direct bonding of insulating surfaces</w:t>
            </w:r>
          </w:p>
        </w:tc>
        <w:tc>
          <w:tcPr>
            <w:tcW w:type="dxa" w:w="1909"/>
          </w:tcPr>
          <w:p>
            <w:pPr>
              <w:pStyle w:val="Compact"/>
              <w:spacing w:before="20" w:after="20" w:line="240" w:lineRule="auto"/>
              <w:jc w:val="right"/>
              <w:keepNext/>
            </w:pPr>
            <w:r>
              <w:rPr>
                <w:sz w:val="16"/>
                <w:szCs w:val="16"/>
              </w:rPr>
              <w:t xml:space="preserve">460</w:t>
            </w:r>
          </w:p>
        </w:tc>
      </w:tr>
      <w:tr>
        <w:trPr>
          <w:cantSplit/>
        </w:trPr>
        <w:tc>
          <w:tcPr>
            <w:tcW w:type="dxa" w:w="636"/>
          </w:tcPr>
          <w:p>
            <w:pPr>
              <w:pStyle w:val="Compact"/>
              <w:spacing w:before="20" w:after="20" w:line="240" w:lineRule="auto"/>
              <w:jc w:val="right"/>
              <w:keepNext/>
            </w:pPr>
            <w:r>
              <w:rPr>
                <w:sz w:val="16"/>
                <w:szCs w:val="16"/>
              </w:rPr>
              <w:t xml:space="preserve">2</w:t>
            </w:r>
          </w:p>
        </w:tc>
        <w:tc>
          <w:tcPr>
            <w:tcW w:type="dxa" w:w="3659"/>
          </w:tcPr>
          <w:p>
            <w:pPr>
              <w:pStyle w:val="Compact"/>
              <w:spacing w:before="20" w:after="20" w:line="240" w:lineRule="auto"/>
              <w:keepNext/>
            </w:pPr>
            <w:r>
              <w:rPr>
                <w:sz w:val="16"/>
                <w:szCs w:val="16"/>
              </w:rPr>
              <w:t xml:space="preserve">24/08 – 24/80</w:t>
            </w:r>
          </w:p>
        </w:tc>
        <w:tc>
          <w:tcPr>
            <w:tcW w:type="dxa" w:w="2864"/>
          </w:tcPr>
          <w:p>
            <w:pPr>
              <w:pStyle w:val="Compact"/>
              <w:spacing w:before="20" w:after="20" w:line="240" w:lineRule="auto"/>
              <w:keepNext/>
            </w:pPr>
            <w:r>
              <w:rPr>
                <w:sz w:val="16"/>
                <w:szCs w:val="16"/>
              </w:rPr>
              <w:t xml:space="preserve">Bonding pad after connection – connection methods using bonding pads</w:t>
            </w:r>
          </w:p>
        </w:tc>
        <w:tc>
          <w:tcPr>
            <w:tcW w:type="dxa" w:w="1909"/>
          </w:tcPr>
          <w:p>
            <w:pPr>
              <w:pStyle w:val="Compact"/>
              <w:spacing w:before="20" w:after="20" w:line="240" w:lineRule="auto"/>
              <w:jc w:val="right"/>
              <w:keepNext/>
            </w:pPr>
            <w:r>
              <w:rPr>
                <w:sz w:val="16"/>
                <w:szCs w:val="16"/>
              </w:rPr>
              <w:t xml:space="preserve">439</w:t>
            </w:r>
          </w:p>
        </w:tc>
      </w:tr>
      <w:tr>
        <w:trPr>
          <w:cantSplit/>
        </w:trPr>
        <w:tc>
          <w:tcPr>
            <w:tcW w:type="dxa" w:w="636"/>
          </w:tcPr>
          <w:p>
            <w:pPr>
              <w:pStyle w:val="Compact"/>
              <w:spacing w:before="20" w:after="20" w:line="240" w:lineRule="auto"/>
              <w:jc w:val="right"/>
              <w:keepNext/>
            </w:pPr>
            <w:r>
              <w:rPr>
                <w:sz w:val="16"/>
                <w:szCs w:val="16"/>
              </w:rPr>
              <w:t xml:space="preserve">3</w:t>
            </w:r>
          </w:p>
        </w:tc>
        <w:tc>
          <w:tcPr>
            <w:tcW w:type="dxa" w:w="3659"/>
          </w:tcPr>
          <w:p>
            <w:pPr>
              <w:pStyle w:val="Compact"/>
              <w:spacing w:before="20" w:after="20" w:line="240" w:lineRule="auto"/>
              <w:keepNext/>
            </w:pPr>
            <w:r>
              <w:rPr>
                <w:sz w:val="16"/>
                <w:szCs w:val="16"/>
              </w:rPr>
              <w:t xml:space="preserve">24/80 – 2224/80895</w:t>
            </w:r>
          </w:p>
        </w:tc>
        <w:tc>
          <w:tcPr>
            <w:tcW w:type="dxa" w:w="2864"/>
          </w:tcPr>
          <w:p>
            <w:pPr>
              <w:pStyle w:val="Compact"/>
              <w:spacing w:before="20" w:after="20" w:line="240" w:lineRule="auto"/>
              <w:keepNext/>
            </w:pPr>
            <w:r>
              <w:rPr>
                <w:sz w:val="16"/>
                <w:szCs w:val="16"/>
              </w:rPr>
              <w:t xml:space="preserve">Connection methods using bonding pads – direct bonding of conductive surfaces</w:t>
            </w:r>
          </w:p>
        </w:tc>
        <w:tc>
          <w:tcPr>
            <w:tcW w:type="dxa" w:w="1909"/>
          </w:tcPr>
          <w:p>
            <w:pPr>
              <w:pStyle w:val="Compact"/>
              <w:spacing w:before="20" w:after="20" w:line="240" w:lineRule="auto"/>
              <w:jc w:val="right"/>
              <w:keepNext/>
            </w:pPr>
            <w:r>
              <w:rPr>
                <w:sz w:val="16"/>
                <w:szCs w:val="16"/>
              </w:rPr>
              <w:t xml:space="preserve">434</w:t>
            </w:r>
          </w:p>
        </w:tc>
      </w:tr>
      <w:tr>
        <w:trPr>
          <w:cantSplit/>
        </w:trPr>
        <w:tc>
          <w:tcPr>
            <w:tcW w:type="dxa" w:w="636"/>
          </w:tcPr>
          <w:p>
            <w:pPr>
              <w:pStyle w:val="Compact"/>
              <w:spacing w:before="20" w:after="20" w:line="240" w:lineRule="auto"/>
              <w:jc w:val="right"/>
              <w:keepNext/>
            </w:pPr>
            <w:r>
              <w:rPr>
                <w:sz w:val="16"/>
                <w:szCs w:val="16"/>
              </w:rPr>
              <w:t xml:space="preserve">4</w:t>
            </w:r>
          </w:p>
        </w:tc>
        <w:tc>
          <w:tcPr>
            <w:tcW w:type="dxa" w:w="3659"/>
          </w:tcPr>
          <w:p>
            <w:pPr>
              <w:pStyle w:val="Compact"/>
              <w:spacing w:before="20" w:after="20" w:line="240" w:lineRule="auto"/>
              <w:keepNext/>
            </w:pPr>
            <w:r>
              <w:rPr>
                <w:sz w:val="16"/>
                <w:szCs w:val="16"/>
              </w:rPr>
              <w:t xml:space="preserve">24/08 – 2224/80895</w:t>
            </w:r>
          </w:p>
        </w:tc>
        <w:tc>
          <w:tcPr>
            <w:tcW w:type="dxa" w:w="2864"/>
          </w:tcPr>
          <w:p>
            <w:pPr>
              <w:pStyle w:val="Compact"/>
              <w:spacing w:before="20" w:after="20" w:line="240" w:lineRule="auto"/>
              <w:keepNext/>
            </w:pPr>
            <w:r>
              <w:rPr>
                <w:sz w:val="16"/>
                <w:szCs w:val="16"/>
              </w:rPr>
              <w:t xml:space="preserve">Bonding pad after connection – direct bonding of conductive surfaces</w:t>
            </w:r>
          </w:p>
        </w:tc>
        <w:tc>
          <w:tcPr>
            <w:tcW w:type="dxa" w:w="1909"/>
          </w:tcPr>
          <w:p>
            <w:pPr>
              <w:pStyle w:val="Compact"/>
              <w:spacing w:before="20" w:after="20" w:line="240" w:lineRule="auto"/>
              <w:jc w:val="right"/>
              <w:keepNext/>
            </w:pPr>
            <w:r>
              <w:rPr>
                <w:sz w:val="16"/>
                <w:szCs w:val="16"/>
              </w:rPr>
              <w:t xml:space="preserve">420</w:t>
            </w:r>
          </w:p>
        </w:tc>
      </w:tr>
      <w:tr>
        <w:trPr>
          <w:cantSplit/>
        </w:trPr>
        <w:tc>
          <w:tcPr>
            <w:tcW w:type="dxa" w:w="636"/>
          </w:tcPr>
          <w:p>
            <w:pPr>
              <w:pStyle w:val="Compact"/>
              <w:spacing w:before="20" w:after="20" w:line="240" w:lineRule="auto"/>
              <w:jc w:val="right"/>
              <w:keepNext/>
            </w:pPr>
            <w:r>
              <w:rPr>
                <w:sz w:val="16"/>
                <w:szCs w:val="16"/>
              </w:rPr>
              <w:t xml:space="preserve">5</w:t>
            </w:r>
          </w:p>
        </w:tc>
        <w:tc>
          <w:tcPr>
            <w:tcW w:type="dxa" w:w="3659"/>
          </w:tcPr>
          <w:p>
            <w:pPr>
              <w:pStyle w:val="Compact"/>
              <w:spacing w:before="20" w:after="20" w:line="240" w:lineRule="auto"/>
              <w:keepNext/>
            </w:pPr>
            <w:r>
              <w:rPr>
                <w:sz w:val="16"/>
                <w:szCs w:val="16"/>
              </w:rPr>
              <w:t xml:space="preserve">24/80 – 2224/80896</w:t>
            </w:r>
          </w:p>
        </w:tc>
        <w:tc>
          <w:tcPr>
            <w:tcW w:type="dxa" w:w="2864"/>
          </w:tcPr>
          <w:p>
            <w:pPr>
              <w:pStyle w:val="Compact"/>
              <w:spacing w:before="20" w:after="20" w:line="240" w:lineRule="auto"/>
              <w:keepNext/>
            </w:pPr>
            <w:r>
              <w:rPr>
                <w:sz w:val="16"/>
                <w:szCs w:val="16"/>
              </w:rPr>
              <w:t xml:space="preserve">Connection methods using bonding pads – direct bonding of insulating surfaces</w:t>
            </w:r>
          </w:p>
        </w:tc>
        <w:tc>
          <w:tcPr>
            <w:tcW w:type="dxa" w:w="1909"/>
          </w:tcPr>
          <w:p>
            <w:pPr>
              <w:pStyle w:val="Compact"/>
              <w:spacing w:before="20" w:after="20" w:line="240" w:lineRule="auto"/>
              <w:jc w:val="right"/>
              <w:keepNext/>
            </w:pPr>
            <w:r>
              <w:rPr>
                <w:sz w:val="16"/>
                <w:szCs w:val="16"/>
              </w:rPr>
              <w:t xml:space="preserve">418</w:t>
            </w:r>
          </w:p>
        </w:tc>
      </w:tr>
      <w:tr>
        <w:trPr>
          <w:cantSplit/>
        </w:trPr>
        <w:tc>
          <w:tcPr>
            <w:tcW w:type="dxa" w:w="636"/>
          </w:tcPr>
          <w:p>
            <w:pPr>
              <w:pStyle w:val="Compact"/>
              <w:spacing w:before="20" w:after="20" w:line="240" w:lineRule="auto"/>
              <w:jc w:val="right"/>
              <w:keepNext/>
            </w:pPr>
            <w:r>
              <w:rPr>
                <w:sz w:val="16"/>
                <w:szCs w:val="16"/>
              </w:rPr>
              <w:t xml:space="preserve">6</w:t>
            </w:r>
          </w:p>
        </w:tc>
        <w:tc>
          <w:tcPr>
            <w:tcW w:type="dxa" w:w="3659"/>
          </w:tcPr>
          <w:p>
            <w:pPr>
              <w:pStyle w:val="Compact"/>
              <w:spacing w:before="20" w:after="20" w:line="240" w:lineRule="auto"/>
              <w:keepNext/>
            </w:pPr>
            <w:r>
              <w:rPr>
                <w:sz w:val="16"/>
                <w:szCs w:val="16"/>
              </w:rPr>
              <w:t xml:space="preserve">24/08 – 2224/80896</w:t>
            </w:r>
          </w:p>
        </w:tc>
        <w:tc>
          <w:tcPr>
            <w:tcW w:type="dxa" w:w="2864"/>
          </w:tcPr>
          <w:p>
            <w:pPr>
              <w:pStyle w:val="Compact"/>
              <w:spacing w:before="20" w:after="20" w:line="240" w:lineRule="auto"/>
              <w:keepNext/>
            </w:pPr>
            <w:r>
              <w:rPr>
                <w:sz w:val="16"/>
                <w:szCs w:val="16"/>
              </w:rPr>
              <w:t xml:space="preserve">Bonding pad after connection – direct bonding of insulating surfaces</w:t>
            </w:r>
          </w:p>
        </w:tc>
        <w:tc>
          <w:tcPr>
            <w:tcW w:type="dxa" w:w="1909"/>
          </w:tcPr>
          <w:p>
            <w:pPr>
              <w:pStyle w:val="Compact"/>
              <w:spacing w:before="20" w:after="20" w:line="240" w:lineRule="auto"/>
              <w:jc w:val="right"/>
              <w:keepNext/>
            </w:pPr>
            <w:r>
              <w:rPr>
                <w:sz w:val="16"/>
                <w:szCs w:val="16"/>
              </w:rPr>
              <w:t xml:space="preserve">395</w:t>
            </w:r>
          </w:p>
        </w:tc>
      </w:tr>
      <w:tr>
        <w:trPr>
          <w:cantSplit/>
        </w:trPr>
        <w:tc>
          <w:tcPr>
            <w:tcW w:type="dxa" w:w="636"/>
          </w:tcPr>
          <w:p>
            <w:pPr>
              <w:pStyle w:val="Compact"/>
              <w:spacing w:before="20" w:after="20" w:line="240" w:lineRule="auto"/>
              <w:jc w:val="right"/>
              <w:keepNext/>
            </w:pPr>
            <w:r>
              <w:rPr>
                <w:sz w:val="16"/>
                <w:szCs w:val="16"/>
              </w:rPr>
              <w:t xml:space="preserve">7</w:t>
            </w:r>
          </w:p>
        </w:tc>
        <w:tc>
          <w:tcPr>
            <w:tcW w:type="dxa" w:w="3659"/>
          </w:tcPr>
          <w:p>
            <w:pPr>
              <w:pStyle w:val="Compact"/>
              <w:spacing w:before="20" w:after="20" w:line="240" w:lineRule="auto"/>
              <w:keepNext/>
            </w:pPr>
            <w:r>
              <w:rPr>
                <w:sz w:val="16"/>
                <w:szCs w:val="16"/>
              </w:rPr>
              <w:t xml:space="preserve">24/08 – 2224/08145</w:t>
            </w:r>
          </w:p>
        </w:tc>
        <w:tc>
          <w:tcPr>
            <w:tcW w:type="dxa" w:w="2864"/>
          </w:tcPr>
          <w:p>
            <w:pPr>
              <w:pStyle w:val="Compact"/>
              <w:spacing w:before="20" w:after="20" w:line="240" w:lineRule="auto"/>
              <w:keepNext/>
            </w:pPr>
            <w:r>
              <w:rPr>
                <w:sz w:val="16"/>
                <w:szCs w:val="16"/>
              </w:rPr>
              <w:t xml:space="preserve">Bonding pad after connection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8</w:t>
            </w:r>
          </w:p>
        </w:tc>
        <w:tc>
          <w:tcPr>
            <w:tcW w:type="dxa" w:w="3659"/>
          </w:tcPr>
          <w:p>
            <w:pPr>
              <w:pStyle w:val="Compact"/>
              <w:spacing w:before="20" w:after="20" w:line="240" w:lineRule="auto"/>
              <w:keepNext/>
            </w:pPr>
            <w:r>
              <w:rPr>
                <w:sz w:val="16"/>
                <w:szCs w:val="16"/>
              </w:rPr>
              <w:t xml:space="preserve">24/80 – 2224/08145</w:t>
            </w:r>
          </w:p>
        </w:tc>
        <w:tc>
          <w:tcPr>
            <w:tcW w:type="dxa" w:w="2864"/>
          </w:tcPr>
          <w:p>
            <w:pPr>
              <w:pStyle w:val="Compact"/>
              <w:spacing w:before="20" w:after="20" w:line="240" w:lineRule="auto"/>
              <w:keepNext/>
            </w:pPr>
            <w:r>
              <w:rPr>
                <w:sz w:val="16"/>
                <w:szCs w:val="16"/>
              </w:rPr>
              <w:t xml:space="preserve">Connection methods using bonding pads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9</w:t>
            </w:r>
          </w:p>
        </w:tc>
        <w:tc>
          <w:tcPr>
            <w:tcW w:type="dxa" w:w="3659"/>
          </w:tcPr>
          <w:p>
            <w:pPr>
              <w:pStyle w:val="Compact"/>
              <w:spacing w:before="20" w:after="20" w:line="240" w:lineRule="auto"/>
              <w:keepNext/>
            </w:pPr>
            <w:r>
              <w:rPr>
                <w:sz w:val="16"/>
                <w:szCs w:val="16"/>
              </w:rPr>
              <w:t xml:space="preserve">2224/08145 – 2224/80895</w:t>
            </w:r>
          </w:p>
        </w:tc>
        <w:tc>
          <w:tcPr>
            <w:tcW w:type="dxa" w:w="2864"/>
          </w:tcPr>
          <w:p>
            <w:pPr>
              <w:pStyle w:val="Compact"/>
              <w:spacing w:before="20" w:after="20" w:line="240" w:lineRule="auto"/>
              <w:keepNext/>
            </w:pPr>
            <w:r>
              <w:rPr>
                <w:sz w:val="16"/>
                <w:szCs w:val="16"/>
              </w:rPr>
              <w:t xml:space="preserve">Bumpless bonding of stacked chips – direct bonding of conductive surfaces</w:t>
            </w:r>
          </w:p>
        </w:tc>
        <w:tc>
          <w:tcPr>
            <w:tcW w:type="dxa" w:w="1909"/>
          </w:tcPr>
          <w:p>
            <w:pPr>
              <w:pStyle w:val="Compact"/>
              <w:spacing w:before="20" w:after="20" w:line="240" w:lineRule="auto"/>
              <w:jc w:val="right"/>
              <w:keepNext/>
            </w:pPr>
            <w:r>
              <w:rPr>
                <w:sz w:val="16"/>
                <w:szCs w:val="16"/>
              </w:rPr>
              <w:t xml:space="preserve">379</w:t>
            </w:r>
          </w:p>
        </w:tc>
      </w:tr>
      <w:tr>
        <w:trPr>
          <w:cantSplit/>
        </w:trPr>
        <w:tc>
          <w:tcPr>
            <w:tcW w:type="dxa" w:w="636"/>
          </w:tcPr>
          <w:p>
            <w:pPr>
              <w:pStyle w:val="Compact"/>
              <w:spacing w:before="20" w:after="20" w:line="240" w:lineRule="auto"/>
              <w:jc w:val="right"/>
              <w:keepNext/>
            </w:pPr>
            <w:r>
              <w:rPr>
                <w:sz w:val="16"/>
                <w:szCs w:val="16"/>
              </w:rPr>
              <w:t xml:space="preserve">10</w:t>
            </w:r>
          </w:p>
        </w:tc>
        <w:tc>
          <w:tcPr>
            <w:tcW w:type="dxa" w:w="3659"/>
          </w:tcPr>
          <w:p>
            <w:pPr>
              <w:pStyle w:val="Compact"/>
              <w:spacing w:before="20" w:after="20" w:line="240" w:lineRule="auto"/>
              <w:keepNext/>
            </w:pPr>
            <w:r>
              <w:rPr>
                <w:sz w:val="16"/>
                <w:szCs w:val="16"/>
              </w:rPr>
              <w:t xml:space="preserve">2224/08145 – 2224/80896</w:t>
            </w:r>
          </w:p>
        </w:tc>
        <w:tc>
          <w:tcPr>
            <w:tcW w:type="dxa" w:w="2864"/>
          </w:tcPr>
          <w:p>
            <w:pPr>
              <w:pStyle w:val="Compact"/>
              <w:spacing w:before="20" w:after="20" w:line="240" w:lineRule="auto"/>
              <w:keepNext/>
            </w:pPr>
            <w:r>
              <w:rPr>
                <w:sz w:val="16"/>
                <w:szCs w:val="16"/>
              </w:rPr>
              <w:t xml:space="preserve">Bumpless bonding of stacked chips – direct bonding of insulating surfaces</w:t>
            </w:r>
          </w:p>
        </w:tc>
        <w:tc>
          <w:tcPr>
            <w:tcW w:type="dxa" w:w="1909"/>
          </w:tcPr>
          <w:p>
            <w:pPr>
              <w:pStyle w:val="Compact"/>
              <w:spacing w:before="20" w:after="20" w:line="240" w:lineRule="auto"/>
              <w:jc w:val="right"/>
              <w:keepNext/>
            </w:pPr>
            <w:r>
              <w:rPr>
                <w:sz w:val="16"/>
                <w:szCs w:val="16"/>
              </w:rPr>
              <w:t xml:space="preserve">368</w:t>
            </w:r>
          </w:p>
        </w:tc>
      </w:tr>
    </w:tbl>
    <w:p>
      <w:pPr>
        <w:pStyle w:val="BodyText"/>
      </w:pPr>
      <w:r>
        <w:rPr>
          <w:i/>
          <w:iCs/>
          <w:sz w:val="20"/>
          <w:szCs w:val="20"/>
        </w:rPr>
        <w:t xml:space="preserve">Note:</w:t>
      </w:r>
      <w:r>
        <w:rPr>
          <w:sz w:val="20"/>
          <w:szCs w:val="20"/>
        </w:rPr>
        <w:t xml:space="preserve"> </w:t>
      </w:r>
      <w:r>
        <w:rPr>
          <w:sz w:val="20"/>
          <w:szCs w:val="20"/>
        </w:rPr>
        <w:t xml:space="preserve">The prefix H01L is omitted from the symbols. The application count for the second-ranked pair (24/08 – 24/80) is identical when recounted from the regression data.</w:t>
      </w:r>
    </w:p>
    <w:p>
      <w:pPr>
        <w:pStyle w:val="BodyText"/>
      </w:pPr>
      <w:r>
        <w:rPr>
          <w:b/>
          <w:bCs/>
        </w:rPr>
        <w:t xml:space="preserve">Core technologies in the regression data.</w:t>
      </w:r>
      <w:r>
        <w:t xml:space="preserve"> </w:t>
      </w:r>
      <w:r>
        <w:t xml:space="preserve">Because indexing codes are not included in the regression data, the core technologies used in the analysis are selected from among the H01L24 (bonding and interconnect classification) symbols in the regression data. Figure 4 shows the network of symbols assigned to 30 or more applications in the regression data. The four H01L24 symbols assigned to 200 or more applications in Table 4 (24/80, 24/08, 24/05, and 24/03) are also the four symbols with the greatest connection strength in this network (3,235, 3,140, 2,518, and 1,778; the connection strength of a symbol is the sum of the numbers of applications in which it is assigned together with other symbols). The six pairs formed by these four symbols (186–439 applications) are also the six strongest links in the entire network. Connection strengths and the rankings of links were calculated over all symbols and links in the regression data, regardless of the display threshold of the figure. Connection using layer connectors (24/83), the fifth most frequent symbol by number of applications, is assigned to 164 applications and thus falls short of the 200-application threshold. In the CPC scheme, all four symbols belong to the groups concerning bonding pads. Symbols 24/03 and 24/05 cover the manufacture of bonding pads and their structure before connection, and 24/08 and 24/80 cover the structure after bonding pads have been connected to one another without separate connectors such as bumps, layers, or wires, and the corresponding connection methods. Under the parent group of connection methods (24/80), methods using bump (24/81), layer (24/83), and wire (24/85) connectors are classified separately as subgroups. This study therefore defines these four symbols as the core technologies of hybrid bonding.</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en_v64.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Figure 4.</w:t>
      </w:r>
      <w:r>
        <w:rPr>
          <w:sz w:val="20"/>
          <w:szCs w:val="20"/>
        </w:rPr>
        <w:t xml:space="preserve"> </w:t>
      </w:r>
      <w:r>
        <w:rPr>
          <w:sz w:val="20"/>
          <w:szCs w:val="20"/>
        </w:rPr>
        <w:t xml:space="preserve">Technology network in the regression data (H01L21 and H01L24 symbols assigned to 30 or more applications; node size indicates the number of applications, and line width indicates the number of applications to which both symbols are assigned, with only links of 10 or more shown; the prefix H01L is omitted).</w:t>
      </w:r>
    </w:p>
    <w:p>
      <w:pPr>
        <w:pStyle w:val="BodyText"/>
      </w:pPr>
      <w:r>
        <w:t xml:space="preserve">Of the 763 applications carrying H01L24 symbols (hereafter bonding applications), 620 (81.3%) contain the core technologies, which shows that the core technologies identified in this way span most bonding applications.</w:t>
      </w:r>
    </w:p>
    <w:bookmarkEnd w:id="34"/>
    <w:bookmarkStart w:id="35" w:name="analytical-methods"/>
    <w:p>
      <w:pPr>
        <w:pStyle w:val="Heading3"/>
      </w:pPr>
      <w:r>
        <w:t xml:space="preserve">4.5 Analytical methods</w:t>
      </w:r>
    </w:p>
    <w:p>
      <w:pPr>
        <w:pStyle w:val="FirstParagraph"/>
      </w:pPr>
      <w:r>
        <w:t xml:space="preserve">Based on these variables and core technologies, this study uses three models according to the measurement scale of the dependent variable and the analysis required by each research question (Table 6). The unit of analysis is the patent application aggregated by application identifier, and filing office dummies are included as control variables in all models. The explanatory variables of the fabrication-process classification model and the co-classification type model (928 applications) are technological scope (breadth) and filing year (yc), and those of the core technology model (763 applications) are core technology (core), filing period (period), and their interaction.</w:t>
      </w:r>
    </w:p>
    <w:p>
      <w:pPr>
        <w:pStyle w:val="BodyText"/>
        <w:keepNext/>
      </w:pPr>
      <w:r>
        <w:rPr>
          <w:b/>
          <w:bCs/>
          <w:sz w:val="20"/>
          <w:szCs w:val="20"/>
        </w:rPr>
        <w:t xml:space="preserve">Table 6.</w:t>
      </w:r>
      <w:r>
        <w:rPr>
          <w:sz w:val="20"/>
          <w:szCs w:val="20"/>
        </w:rPr>
        <w:t xml:space="preserve"> </w:t>
      </w:r>
      <w:r>
        <w:rPr>
          <w:sz w:val="20"/>
          <w:szCs w:val="20"/>
        </w:rPr>
        <w:t xml:space="preserve">Roles of the three regression models.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20"/>
        <w:gridCol w:w="1382"/>
        <w:gridCol w:w="1517"/>
        <w:gridCol w:w="1382"/>
        <w:gridCol w:w="1551"/>
        <w:gridCol w:w="1416"/>
      </w:tblGrid>
      <w:tr>
        <w:trPr>
          <w:tblHeader w:val="on"/>
          <w:cantSplit/>
        </w:trPr>
        <w:tc>
          <w:tcPr>
            <w:tcW w:type="dxa" w:w="1820"/>
            <w:tcBorders>
              <w:bottom w:val="single" w:sz="4" w:space="0" w:color="000000"/>
            </w:tcBorders>
          </w:tcPr>
          <w:p>
            <w:pPr>
              <w:pStyle w:val="Compact"/>
              <w:spacing w:before="20" w:after="20" w:line="240" w:lineRule="auto"/>
              <w:keepNext/>
            </w:pPr>
            <w:r>
              <w:rPr>
                <w:sz w:val="14"/>
                <w:szCs w:val="14"/>
              </w:rPr>
              <w:t xml:space="preserve">Analytical question</w:t>
            </w:r>
          </w:p>
        </w:tc>
        <w:tc>
          <w:tcPr>
            <w:tcW w:type="dxa" w:w="1382"/>
            <w:tcBorders>
              <w:bottom w:val="single" w:sz="4" w:space="0" w:color="000000"/>
            </w:tcBorders>
          </w:tcPr>
          <w:p>
            <w:pPr>
              <w:pStyle w:val="Compact"/>
              <w:spacing w:before="20" w:after="20" w:line="240" w:lineRule="auto"/>
              <w:keepNext/>
            </w:pPr>
            <w:r>
              <w:rPr>
                <w:sz w:val="14"/>
                <w:szCs w:val="14"/>
              </w:rPr>
              <w:t xml:space="preserve">Dependent variable</w:t>
            </w:r>
          </w:p>
        </w:tc>
        <w:tc>
          <w:tcPr>
            <w:tcW w:type="dxa" w:w="1517"/>
            <w:tcBorders>
              <w:bottom w:val="single" w:sz="4" w:space="0" w:color="000000"/>
            </w:tcBorders>
          </w:tcPr>
          <w:p>
            <w:pPr>
              <w:pStyle w:val="Compact"/>
              <w:spacing w:before="20" w:after="20" w:line="240" w:lineRule="auto"/>
              <w:keepNext/>
            </w:pPr>
            <w:r>
              <w:rPr>
                <w:sz w:val="14"/>
                <w:szCs w:val="14"/>
              </w:rPr>
              <w:t xml:space="preserve">Scale</w:t>
            </w:r>
          </w:p>
        </w:tc>
        <w:tc>
          <w:tcPr>
            <w:tcW w:type="dxa" w:w="1382"/>
            <w:tcBorders>
              <w:bottom w:val="single" w:sz="4" w:space="0" w:color="000000"/>
            </w:tcBorders>
          </w:tcPr>
          <w:p>
            <w:pPr>
              <w:pStyle w:val="Compact"/>
              <w:spacing w:before="20" w:after="20" w:line="240" w:lineRule="auto"/>
              <w:keepNext/>
            </w:pPr>
            <w:r>
              <w:rPr>
                <w:sz w:val="14"/>
                <w:szCs w:val="14"/>
              </w:rPr>
              <w:t xml:space="preserve">Model</w:t>
            </w:r>
          </w:p>
        </w:tc>
        <w:tc>
          <w:tcPr>
            <w:tcW w:type="dxa" w:w="1551"/>
            <w:tcBorders>
              <w:bottom w:val="single" w:sz="4" w:space="0" w:color="000000"/>
            </w:tcBorders>
          </w:tcPr>
          <w:p>
            <w:pPr>
              <w:pStyle w:val="Compact"/>
              <w:spacing w:before="20" w:after="20" w:line="240" w:lineRule="auto"/>
              <w:keepNext/>
            </w:pPr>
            <w:r>
              <w:rPr>
                <w:sz w:val="14"/>
                <w:szCs w:val="14"/>
              </w:rPr>
              <w:t xml:space="preserve">Reported measure</w:t>
            </w:r>
          </w:p>
        </w:tc>
        <w:tc>
          <w:tcPr>
            <w:tcW w:type="dxa" w:w="1416"/>
            <w:tcBorders>
              <w:bottom w:val="single" w:sz="4" w:space="0" w:color="000000"/>
            </w:tcBorders>
          </w:tcPr>
          <w:p>
            <w:pPr>
              <w:pStyle w:val="Compact"/>
              <w:spacing w:before="20" w:after="20" w:line="240" w:lineRule="auto"/>
              <w:keepNext/>
            </w:pPr>
            <w:r>
              <w:rPr>
                <w:sz w:val="14"/>
                <w:szCs w:val="14"/>
              </w:rPr>
              <w:t xml:space="preserve">Research question</w:t>
            </w:r>
          </w:p>
        </w:tc>
      </w:tr>
      <w:tr>
        <w:trPr>
          <w:cantSplit/>
        </w:trPr>
        <w:tc>
          <w:tcPr>
            <w:tcW w:type="dxa" w:w="1820"/>
          </w:tcPr>
          <w:p>
            <w:pPr>
              <w:pStyle w:val="Compact"/>
              <w:spacing w:before="20" w:after="20" w:line="240" w:lineRule="auto"/>
              <w:keepNext/>
            </w:pPr>
            <w:r>
              <w:rPr>
                <w:sz w:val="14"/>
                <w:szCs w:val="14"/>
              </w:rPr>
              <w:t xml:space="preserve">Does an application carry at least one fabrication-process classification?</w:t>
            </w:r>
          </w:p>
        </w:tc>
        <w:tc>
          <w:tcPr>
            <w:tcW w:type="dxa" w:w="1382"/>
          </w:tcPr>
          <w:p>
            <w:pPr>
              <w:pStyle w:val="Compact"/>
              <w:spacing w:before="20" w:after="20" w:line="240" w:lineRule="auto"/>
              <w:keepNext/>
            </w:pPr>
            <w:r>
              <w:rPr>
                <w:sz w:val="14"/>
                <w:szCs w:val="14"/>
              </w:rPr>
              <w:t xml:space="preserve">has_process</w:t>
            </w:r>
          </w:p>
        </w:tc>
        <w:tc>
          <w:tcPr>
            <w:tcW w:type="dxa" w:w="1517"/>
          </w:tcPr>
          <w:p>
            <w:pPr>
              <w:pStyle w:val="Compact"/>
              <w:spacing w:before="20" w:after="20" w:line="240" w:lineRule="auto"/>
              <w:keepNext/>
            </w:pPr>
            <w:r>
              <w:rPr>
                <w:sz w:val="14"/>
                <w:szCs w:val="14"/>
              </w:rPr>
              <w:t xml:space="preserve">Binary, 0/1</w:t>
            </w:r>
          </w:p>
        </w:tc>
        <w:tc>
          <w:tcPr>
            <w:tcW w:type="dxa" w:w="1382"/>
          </w:tcPr>
          <w:p>
            <w:pPr>
              <w:pStyle w:val="Compact"/>
              <w:spacing w:before="20" w:after="20" w:line="240" w:lineRule="auto"/>
              <w:keepNext/>
            </w:pPr>
            <w:r>
              <w:rPr>
                <w:sz w:val="14"/>
                <w:szCs w:val="14"/>
              </w:rPr>
              <w:t xml:space="preserve">Binary logit</w:t>
            </w:r>
          </w:p>
        </w:tc>
        <w:tc>
          <w:tcPr>
            <w:tcW w:type="dxa" w:w="1551"/>
          </w:tcPr>
          <w:p>
            <w:pPr>
              <w:pStyle w:val="Compact"/>
              <w:spacing w:before="20" w:after="20" w:line="240" w:lineRule="auto"/>
              <w:keepNext/>
            </w:pPr>
            <w:r>
              <w:rPr>
                <w:sz w:val="14"/>
                <w:szCs w:val="14"/>
              </w:rPr>
              <w:t xml:space="preserve">Odds ratio (OR)</w:t>
            </w:r>
          </w:p>
        </w:tc>
        <w:tc>
          <w:tcPr>
            <w:tcW w:type="dxa" w:w="1416"/>
          </w:tcPr>
          <w:p>
            <w:pPr>
              <w:pStyle w:val="Compact"/>
              <w:spacing w:before="20" w:after="20" w:line="240" w:lineRule="auto"/>
              <w:keepNext/>
            </w:pPr>
            <w:r>
              <w:rPr>
                <w:sz w:val="14"/>
                <w:szCs w:val="14"/>
              </w:rPr>
              <w:t xml:space="preserve">Supplementary analysis for RQ1 and RQ2</w:t>
            </w:r>
          </w:p>
        </w:tc>
      </w:tr>
      <w:tr>
        <w:trPr>
          <w:cantSplit/>
        </w:trPr>
        <w:tc>
          <w:tcPr>
            <w:tcW w:type="dxa" w:w="1820"/>
          </w:tcPr>
          <w:p>
            <w:pPr>
              <w:pStyle w:val="Compact"/>
              <w:spacing w:before="20" w:after="20" w:line="240" w:lineRule="auto"/>
              <w:keepNext/>
            </w:pPr>
            <w:r>
              <w:rPr>
                <w:sz w:val="14"/>
                <w:szCs w:val="14"/>
              </w:rPr>
              <w:t xml:space="preserve">To which of the three co-classification types does an application belong?</w:t>
            </w:r>
          </w:p>
        </w:tc>
        <w:tc>
          <w:tcPr>
            <w:tcW w:type="dxa" w:w="1382"/>
          </w:tcPr>
          <w:p>
            <w:pPr>
              <w:pStyle w:val="Compact"/>
              <w:spacing w:before="20" w:after="20" w:line="240" w:lineRule="auto"/>
              <w:keepNext/>
            </w:pPr>
            <w:r>
              <w:rPr>
                <w:sz w:val="14"/>
                <w:szCs w:val="14"/>
              </w:rPr>
              <w:t xml:space="preserve">tech_cat</w:t>
            </w:r>
          </w:p>
        </w:tc>
        <w:tc>
          <w:tcPr>
            <w:tcW w:type="dxa" w:w="1517"/>
          </w:tcPr>
          <w:p>
            <w:pPr>
              <w:pStyle w:val="Compact"/>
              <w:spacing w:before="20" w:after="20" w:line="240" w:lineRule="auto"/>
              <w:keepNext/>
            </w:pPr>
            <w:r>
              <w:rPr>
                <w:sz w:val="14"/>
                <w:szCs w:val="14"/>
              </w:rPr>
              <w:t xml:space="preserve">Unordered, 3 categories</w:t>
            </w:r>
          </w:p>
        </w:tc>
        <w:tc>
          <w:tcPr>
            <w:tcW w:type="dxa" w:w="1382"/>
          </w:tcPr>
          <w:p>
            <w:pPr>
              <w:pStyle w:val="Compact"/>
              <w:spacing w:before="20" w:after="20" w:line="240" w:lineRule="auto"/>
              <w:keepNext/>
            </w:pPr>
            <w:r>
              <w:rPr>
                <w:sz w:val="14"/>
                <w:szCs w:val="14"/>
              </w:rPr>
              <w:t xml:space="preserve">Multinomial logit (base = bonding-only)</w:t>
            </w:r>
          </w:p>
        </w:tc>
        <w:tc>
          <w:tcPr>
            <w:tcW w:type="dxa" w:w="1551"/>
          </w:tcPr>
          <w:p>
            <w:pPr>
              <w:pStyle w:val="Compact"/>
              <w:spacing w:before="20" w:after="20" w:line="240" w:lineRule="auto"/>
              <w:keepNext/>
            </w:pPr>
            <w:r>
              <w:rPr>
                <w:sz w:val="14"/>
                <w:szCs w:val="14"/>
              </w:rPr>
              <w:t xml:space="preserve">Relative risk ratio (RRR)</w:t>
            </w:r>
          </w:p>
        </w:tc>
        <w:tc>
          <w:tcPr>
            <w:tcW w:type="dxa" w:w="1416"/>
          </w:tcPr>
          <w:p>
            <w:pPr>
              <w:pStyle w:val="Compact"/>
              <w:spacing w:before="20" w:after="20" w:line="240" w:lineRule="auto"/>
              <w:keepNext/>
            </w:pPr>
            <w:r>
              <w:rPr>
                <w:sz w:val="14"/>
                <w:szCs w:val="14"/>
              </w:rPr>
              <w:t xml:space="preserve">RQ1 and RQ2</w:t>
            </w:r>
          </w:p>
        </w:tc>
      </w:tr>
      <w:tr>
        <w:trPr>
          <w:cantSplit/>
        </w:trPr>
        <w:tc>
          <w:tcPr>
            <w:tcW w:type="dxa" w:w="1820"/>
          </w:tcPr>
          <w:p>
            <w:pPr>
              <w:pStyle w:val="Compact"/>
              <w:spacing w:before="20" w:after="20" w:line="240" w:lineRule="auto"/>
              <w:keepNext/>
            </w:pPr>
            <w:r>
              <w:rPr>
                <w:sz w:val="14"/>
                <w:szCs w:val="14"/>
              </w:rPr>
              <w:t xml:space="preserve">Does an application with bonding symbols also carry fabrication-process symbols?</w:t>
            </w:r>
          </w:p>
        </w:tc>
        <w:tc>
          <w:tcPr>
            <w:tcW w:type="dxa" w:w="1382"/>
          </w:tcPr>
          <w:p>
            <w:pPr>
              <w:pStyle w:val="Compact"/>
              <w:spacing w:before="20" w:after="20" w:line="240" w:lineRule="auto"/>
              <w:keepNext/>
            </w:pPr>
            <w:r>
              <w:rPr>
                <w:sz w:val="14"/>
                <w:szCs w:val="14"/>
              </w:rPr>
              <w:t xml:space="preserve">Integrated or not (applications with H01L24 symbols)</w:t>
            </w:r>
          </w:p>
        </w:tc>
        <w:tc>
          <w:tcPr>
            <w:tcW w:type="dxa" w:w="1517"/>
          </w:tcPr>
          <w:p>
            <w:pPr>
              <w:pStyle w:val="Compact"/>
              <w:spacing w:before="20" w:after="20" w:line="240" w:lineRule="auto"/>
              <w:keepNext/>
            </w:pPr>
            <w:r>
              <w:rPr>
                <w:sz w:val="14"/>
                <w:szCs w:val="14"/>
              </w:rPr>
              <w:t xml:space="preserve">Binary, 0/1</w:t>
            </w:r>
          </w:p>
        </w:tc>
        <w:tc>
          <w:tcPr>
            <w:tcW w:type="dxa" w:w="1382"/>
          </w:tcPr>
          <w:p>
            <w:pPr>
              <w:pStyle w:val="Compact"/>
              <w:spacing w:before="20" w:after="20" w:line="240" w:lineRule="auto"/>
              <w:keepNext/>
            </w:pPr>
            <w:r>
              <w:rPr>
                <w:sz w:val="14"/>
                <w:szCs w:val="14"/>
              </w:rPr>
              <w:t xml:space="preserve">Binary logit (core technology × filing period)</w:t>
            </w:r>
          </w:p>
        </w:tc>
        <w:tc>
          <w:tcPr>
            <w:tcW w:type="dxa" w:w="1551"/>
          </w:tcPr>
          <w:p>
            <w:pPr>
              <w:pStyle w:val="Compact"/>
              <w:spacing w:before="20" w:after="20" w:line="240" w:lineRule="auto"/>
              <w:keepNext/>
            </w:pPr>
            <w:r>
              <w:rPr>
                <w:sz w:val="14"/>
                <w:szCs w:val="14"/>
              </w:rPr>
              <w:t xml:space="preserve">Period-specific odds ratio (OR)</w:t>
            </w:r>
          </w:p>
        </w:tc>
        <w:tc>
          <w:tcPr>
            <w:tcW w:type="dxa" w:w="1416"/>
          </w:tcPr>
          <w:p>
            <w:pPr>
              <w:pStyle w:val="Compact"/>
              <w:spacing w:before="20" w:after="20" w:line="240" w:lineRule="auto"/>
              <w:keepNext/>
            </w:pPr>
            <w:r>
              <w:rPr>
                <w:sz w:val="14"/>
                <w:szCs w:val="14"/>
              </w:rPr>
              <w:t xml:space="preserve">RQ3</w:t>
            </w:r>
          </w:p>
        </w:tc>
      </w:tr>
    </w:tbl>
    <w:p>
      <w:pPr>
        <w:pStyle w:val="BodyText"/>
      </w:pPr>
      <w:r>
        <w:rPr>
          <w:b/>
          <w:bCs/>
        </w:rPr>
        <w:t xml:space="preserve">Fabrication-process classification model: Binary logit (supplementary analysis).</w:t>
      </w:r>
      <w:r>
        <w:t xml:space="preserve"> </w:t>
      </w:r>
      <w:r>
        <w:t xml:space="preserve">The variable has_process equals 1 if an application carries at least one symbol of the H01L21 (fabrication-process classification) class and 0 otherwise. The 425 integrated and 165 process-only applications take the value 1, and the 338 bonding-only applications take the value 0. Because the dependent variable has only two states, the model is estimated as a binary logit that constrains probabilities to lie between 0 and 1 (log[P/(1 − P)] = β₀ + β₁·breadth + β₂·yc + Σγ</w:t>
      </w:r>
      <w:r>
        <w:rPr>
          <w:vertAlign w:val="subscript"/>
        </w:rPr>
        <w:t xml:space="preserve">k</w:t>
      </w:r>
      <w:r>
        <w:t xml:space="preserve">·ccode</w:t>
      </w:r>
      <w:r>
        <w:rPr>
          <w:vertAlign w:val="subscript"/>
        </w:rPr>
        <w:t xml:space="preserve">k</w:t>
      </w:r>
      <w:r>
        <w:t xml:space="preserve">), and the results are reported as odds ratios (ORs). An OR is a multiplier of the odds, not of the probability. For example, an OR of 1.5 means that a one-unit increase in an explanatory variable multiplies the odds of having a fabrication-process classification by 1.5; it should not be interpreted as a 50% higher probability. This model is a supplementary analysis that groups integrated and process-only applications as applications with a fabrication-process classification to examine in what kinds of applications fabrication-process classifications are generally observed; it is not the main analysis.</w:t>
      </w:r>
    </w:p>
    <w:p>
      <w:pPr>
        <w:pStyle w:val="BodyText"/>
      </w:pPr>
      <w:r>
        <w:rPr>
          <w:b/>
          <w:bCs/>
        </w:rPr>
        <w:t xml:space="preserve">Co-classification type model: Multinomial logit.</w:t>
      </w:r>
      <w:r>
        <w:t xml:space="preserve"> </w:t>
      </w:r>
      <w:r>
        <w:t xml:space="preserve">Because the three categories of tech_cat represent different CPC configurations rather than an order of magnitude, a multinomial logit (McFadden, 1974) is used instead of an ordered logit. With bonding-only as the base category, the relative likelihood of the integrated type, in which a fabrication-process classification appears together with bonding, and that of the process-only type, in which only fabrication processes appear without a bonding classification, can each be estimated relative to applications carrying only bonding symbols. The results are reported as relative risk ratios (RRRs) for integrated versus bonding-only and for process-only versus bonding-only. An RRR of 1.4 means that a one-unit increase in an explanatory variable multiplies the relative risk of the given type versus bonding-only by 1.4; it does not mean that the absolute probability of that type changes by the same proportion. This model is the main model for analyzing the relationship between technological scope and the integrated type and that between filing year and the process-only type.</w:t>
      </w:r>
    </w:p>
    <w:p>
      <w:pPr>
        <w:pStyle w:val="BodyText"/>
      </w:pPr>
      <w:r>
        <w:rPr>
          <w:b/>
          <w:bCs/>
        </w:rPr>
        <w:t xml:space="preserve">Interpretive constraint of including technological scope in the logit models.</w:t>
      </w:r>
      <w:r>
        <w:t xml:space="preserve"> </w:t>
      </w:r>
      <w:r>
        <w:t xml:space="preserve">Technological scope and the co-classification type are derived from the same H01L21 and H01L24 CPC information. Because an integrated application must carry at least one symbol from each class, its minimum breadth is two, whereas that of a single-class type is one. Sensitivity to this difference in minimums is checked with the type-minimum-adjusted CPC scope (breadth_adj) of Section 4.3, but because this indicator also uses type information, its use is limited to exploratory robustness analysis.</w:t>
      </w:r>
    </w:p>
    <w:p>
      <w:pPr>
        <w:pStyle w:val="BodyText"/>
      </w:pPr>
      <w:r>
        <w:rPr>
          <w:b/>
          <w:bCs/>
        </w:rPr>
        <w:t xml:space="preserve">Core technology model: Binary logit.</w:t>
      </w:r>
      <w:r>
        <w:t xml:space="preserve"> </w:t>
      </w:r>
      <w:r>
        <w:t xml:space="preserve">Because the core technologies are bonding symbols, process-only applications cannot, by definition, contain them. The core technology model is therefore a binary logit estimated on the 763 applications carrying H01L24 symbols (425 integrated and 338 bonding-only), with integrated status as the dependent variable. The model analyzes which of the applications carrying bonding symbols also carry fabrication-process symbols, and it uses the same sample as the alternative-exclusion sensitivity analysis in Appendix A. The model is log[P/(1 − P)] = β₀ + β₁·core + Σδ</w:t>
      </w:r>
      <w:r>
        <w:rPr>
          <w:vertAlign w:val="subscript"/>
        </w:rPr>
        <w:t xml:space="preserve">t</w:t>
      </w:r>
      <w:r>
        <w:t xml:space="preserve">·period</w:t>
      </w:r>
      <w:r>
        <w:rPr>
          <w:vertAlign w:val="subscript"/>
        </w:rPr>
        <w:t xml:space="preserve">t</w:t>
      </w:r>
      <w:r>
        <w:t xml:space="preserve"> </w:t>
      </w:r>
      <w:r>
        <w:t xml:space="preserve">+ Σθ</w:t>
      </w:r>
      <w:r>
        <w:rPr>
          <w:vertAlign w:val="subscript"/>
        </w:rPr>
        <w:t xml:space="preserve">t</w:t>
      </w:r>
      <w:r>
        <w:t xml:space="preserve">·(core × period</w:t>
      </w:r>
      <w:r>
        <w:rPr>
          <w:vertAlign w:val="subscript"/>
        </w:rPr>
        <w:t xml:space="preserve">t</w:t>
      </w:r>
      <w:r>
        <w:t xml:space="preserve">) + Σγ</w:t>
      </w:r>
      <w:r>
        <w:rPr>
          <w:vertAlign w:val="subscript"/>
        </w:rPr>
        <w:t xml:space="preserve">k</w:t>
      </w:r>
      <w:r>
        <w:t xml:space="preserve">·ccode</w:t>
      </w:r>
      <w:r>
        <w:rPr>
          <w:vertAlign w:val="subscript"/>
        </w:rPr>
        <w:t xml:space="preserve">k</w:t>
      </w:r>
      <w:r>
        <w:t xml:space="preserve">. The odds ratio of the core technologies is exp(β₁) for applications filed in 1968–2014 and exp(β₁ + θ</w:t>
      </w:r>
      <w:r>
        <w:rPr>
          <w:vertAlign w:val="subscript"/>
        </w:rPr>
        <w:t xml:space="preserve">t</w:t>
      </w:r>
      <w:r>
        <w:t xml:space="preserve">) for 2015–2019 and 2020–2024, and exp(θ</w:t>
      </w:r>
      <w:r>
        <w:rPr>
          <w:vertAlign w:val="subscript"/>
        </w:rPr>
        <w:t xml:space="preserve">t</w:t>
      </w:r>
      <w:r>
        <w:t xml:space="preserve">) is the ratio of the odds ratio in each period to that in 1968–2014. If applications containing the core technologies initially had an integrated-type advantage that later diminished, exp(β₁) would exceed 1 and θ</w:t>
      </w:r>
      <w:r>
        <w:rPr>
          <w:vertAlign w:val="subscript"/>
        </w:rPr>
        <w:t xml:space="preserve">t</w:t>
      </w:r>
      <w:r>
        <w:t xml:space="preserve"> </w:t>
      </w:r>
      <w:r>
        <w:t xml:space="preserve">would be negative. The 95% confidence intervals of the period-specific odds ratios are calculated from the standard error of the sum of the two coefficients, and the standard errors are estimated to be robust to heteroskedasticity. Filing year is divided into three periods rather than entered linearly in order to approximate the stages of the technology cycle (Lee et al., 2017). The results of controlling for the number of bonding symbols other than the core symbols are presented in Section 5.4.</w:t>
      </w:r>
    </w:p>
    <w:p>
      <w:pPr>
        <w:pStyle w:val="BodyText"/>
      </w:pPr>
      <w:r>
        <w:rPr>
          <w:b/>
          <w:bCs/>
        </w:rPr>
        <w:t xml:space="preserve">Supplementary indicators of convergence.</w:t>
      </w:r>
      <w:r>
        <w:t xml:space="preserve"> </w:t>
      </w:r>
      <w:r>
        <w:t xml:space="preserve">To examine shifts in the center of convergence at a broader level than individual symbols, two indicators are calculated for each period. First, the extent to which each of the three fabrication-process domains of Section 4.2 (wafer fabrication, processing apparatus, and packaging-stage processes) is assigned to the same application as bonding symbols (H01L24), that is, their coupling strength, is measured with the Jaccard coefficient (Jaccard, 1912). The Jaccard coefficient is the number of applications carrying symbols of both domains divided by the number of applications carrying symbols of either; unlike a simple co-occurrence frequency, it corrects for differences in the number of applications across domains. Second, period-specific technology networks are constructed in the same way as the regression data network of Section 4.4; symbols with a large connection strength are regarded as hubs that are most frequently assigned together with other symbols, and symbols with high betweenness centrality are regarded as linking symbols that connect different symbols. Betweenness centrality is the extent to which a symbol lies on the shortest paths between other pairs of symbols (Freeman, 1977) and is calculated without considering link weights.</w:t>
      </w:r>
    </w:p>
    <w:p>
      <w:pPr>
        <w:pStyle w:val="BodyText"/>
      </w:pPr>
      <w:r>
        <w:rPr>
          <w:b/>
          <w:bCs/>
        </w:rPr>
        <w:t xml:space="preserve">Predicted probabilities.</w:t>
      </w:r>
      <w:r>
        <w:t xml:space="preserve"> </w:t>
      </w:r>
      <w:r>
        <w:t xml:space="preserve">Because ORs and RRRs are ratio measures, they do not convey intuitively the magnitude of actual changes in probability. For the multinomial logit, average predicted probabilities are therefore also presented; these are obtained by varying only the explanatory variable of interest (technological scope or filing year) while holding the other variables at each application’s observed values and averaging over the whole sample (Sections 5.1 and 5.2). For the core technology model, the share of integrated applications by period and by the presence of the core technologies is also presented (Section 5.3).</w:t>
      </w:r>
    </w:p>
    <w:p>
      <w:pPr>
        <w:pStyle w:val="BodyText"/>
      </w:pPr>
      <w:r>
        <w:rPr>
          <w:b/>
          <w:bCs/>
        </w:rPr>
        <w:t xml:space="preserve">Robustness and principles of interpretation.</w:t>
      </w:r>
      <w:r>
        <w:t xml:space="preserve"> </w:t>
      </w:r>
      <w:r>
        <w:t xml:space="preserve">Four alternative specifications address specific concerns: the</w:t>
      </w:r>
      <w:r>
        <w:t xml:space="preserve"> </w:t>
      </w:r>
      <w:r>
        <w:rPr>
          <w:i/>
          <w:iCs/>
        </w:rPr>
        <w:t xml:space="preserve">hybrid bonding</w:t>
      </w:r>
      <w:r>
        <w:t xml:space="preserve"> </w:t>
      </w:r>
      <w:r>
        <w:t xml:space="preserve">sample checks whether the results depend on the broad sample that includes precursor technologies; the sample excluding irrelevant uses, whether other meanings of the search terms distort the results; the narrow fabrication-process definition, whether the results are sensitive to how the boundary of H01L21 is drawn; and the same-title deduplicated sample, the influence of repeated or similar inventions. For the core technology model, a model that controls for the number of bonding symbols other than the core symbols and a definition that restricts the core technologies to the most strongly linked pair of core symbols (24/08 and 24/80) are added. The</w:t>
      </w:r>
      <w:r>
        <w:t xml:space="preserve"> </w:t>
      </w:r>
      <w:r>
        <w:rPr>
          <w:i/>
          <w:iCs/>
        </w:rPr>
        <w:t xml:space="preserve">hybrid bonding</w:t>
      </w:r>
      <w:r>
        <w:t xml:space="preserve"> </w:t>
      </w:r>
      <w:r>
        <w:t xml:space="preserve">sample is not used for the core technology model because it contains only 12 bonding applications without the core technologies up to 2019. To address the possibility that observations are not independent because applications with the same title recur at several offices, significance is recalculated with cluster-robust standard errors that treat each title as a cluster; in this approach, the coefficients are unchanged, and only the standard errors differ. Regarding the independence of irrelevant alternatives (IIA) assumed by the multinomial logit, Appendix A presents, instead of a formal test, an alternative-exclusion sensitivity analysis that excludes the process-only type, estimates a binary logit of integrated versus bonding-only, and checks whether the substantive interpretation holds. The results are interpreted at the 5% significance level, but not on the basis of a single p-value alone; rather, the consistency of the direction, effect size, and significance of the coefficients across the baseline model, the alternative samples and definitions, and the clustered standard errors is assessed comprehensively. A p-value of 0.05 or greater does not prove the absence of an effect but indicates a lack of clear evidence at the 5% level, and 95% confidence intervals (CIs) are presented for the key effect ratios. All coefficients are interpreted not as causal effects but as conditional associations that control for the observed variables.</w:t>
      </w:r>
    </w:p>
    <w:bookmarkEnd w:id="35"/>
    <w:bookmarkEnd w:id="36"/>
    <w:bookmarkStart w:id="47" w:name="results"/>
    <w:p>
      <w:pPr>
        <w:pStyle w:val="Heading2"/>
      </w:pPr>
      <w:r>
        <w:t xml:space="preserve">5. Results</w:t>
      </w:r>
    </w:p>
    <w:p>
      <w:pPr>
        <w:pStyle w:val="FirstParagraph"/>
      </w:pPr>
      <w:r>
        <w:t xml:space="preserve">This section presents the results in the order of the three research questions (Sections 5.1–5.3) and tests their robustness in Section 5.4.</w:t>
      </w:r>
    </w:p>
    <w:bookmarkStart w:id="40" w:name="Xd727a7326cb1bbe950c917b99ca0d276632cbb0"/>
    <w:p>
      <w:pPr>
        <w:pStyle w:val="Heading3"/>
      </w:pPr>
      <w:r>
        <w:t xml:space="preserve">5.1 Level and types of technology convergence (RQ1)</w:t>
      </w:r>
    </w:p>
    <w:p>
      <w:pPr>
        <w:pStyle w:val="FirstParagraph"/>
      </w:pPr>
      <w:r>
        <w:t xml:space="preserve">This subsection first examines to what extent cross-stage convergence occurs and what forms it takes. Of all 928 applications, the integrated type accounted for the largest share, with 425 applications (45.8%), and it still accounted for 37.2% of the 908 applications under the narrow definition that excludes packaging-stage processes from fabrication processes (Section 5.4). In other words, the convergence of the two process stages is not an exceptional phenomenon in patents related to hybrid bonding.</w:t>
      </w:r>
    </w:p>
    <w:p>
      <w:pPr>
        <w:pStyle w:val="BodyText"/>
      </w:pPr>
      <w:r>
        <w:t xml:space="preserve">To identify the patents in which this convergence appears, Table 7 first presents the results of a binary logit of whether an application carries fabrication-process symbols (H01L21). Technological scope showed a strong positive association with carrying fabrication-process symbols: each additional CPC subgroup increased the odds of carrying a fabrication-process symbol by about 27% (OR 1.267, p &lt; 0.01). The area under the receiver operating characteristic (ROC) curve (AUC), an indicator of the model’s discriminatory power, is 0.707, at the lower end of the acceptable range according to the criteria of Hosmer et al. (2013). The coefficient of filing year is discussed in Section 5.2.</w:t>
      </w:r>
    </w:p>
    <w:p>
      <w:pPr>
        <w:pStyle w:val="BodyText"/>
        <w:keepNext/>
      </w:pPr>
      <w:r>
        <w:rPr>
          <w:b/>
          <w:bCs/>
          <w:sz w:val="20"/>
          <w:szCs w:val="20"/>
        </w:rPr>
        <w:t xml:space="preserve">Table 7.</w:t>
      </w:r>
      <w:r>
        <w:rPr>
          <w:sz w:val="20"/>
          <w:szCs w:val="20"/>
        </w:rPr>
        <w:t xml:space="preserve"> </w:t>
      </w:r>
      <w:r>
        <w:rPr>
          <w:sz w:val="20"/>
          <w:szCs w:val="20"/>
        </w:rPr>
        <w:t xml:space="preserve">Binary logit of fabrication-process classification (dependent variable has_process; N = 928; seven filing office dummies included (coefficients omitted); log-likelihood −547.6; likelihood ratio χ²(9) = 122.0, p &lt; 0.001; McFadden pseudo-R² = 0.100; Akaike information criterion (AIC) 1,115.1; AUC 0.707; standard errors (SEs) of the logit coefficients in parentheses;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888"/>
        <w:gridCol w:w="1204"/>
        <w:gridCol w:w="2016"/>
        <w:gridCol w:w="960"/>
      </w:tblGrid>
      <w:tr>
        <w:trPr>
          <w:tblHeader w:val="on"/>
          <w:cantSplit/>
        </w:trPr>
        <w:tc>
          <w:tcPr>
            <w:tcW w:type="dxa" w:w="4888"/>
            <w:tcBorders>
              <w:bottom w:val="single" w:sz="4" w:space="0" w:color="000000"/>
            </w:tcBorders>
          </w:tcPr>
          <w:p>
            <w:pPr>
              <w:pStyle w:val="Compact"/>
              <w:spacing w:before="20" w:after="20" w:line="240" w:lineRule="auto"/>
              <w:keepNext/>
            </w:pPr>
          </w:p>
        </w:tc>
        <w:tc>
          <w:tcPr>
            <w:tcW w:type="dxa" w:w="1204"/>
            <w:tcBorders>
              <w:bottom w:val="single" w:sz="4" w:space="0" w:color="000000"/>
            </w:tcBorders>
          </w:tcPr>
          <w:p>
            <w:pPr>
              <w:pStyle w:val="Compact"/>
              <w:spacing w:before="20" w:after="20" w:line="240" w:lineRule="auto"/>
              <w:jc w:val="center"/>
              <w:keepNext/>
            </w:pPr>
            <w:r>
              <w:rPr>
                <w:sz w:val="18"/>
                <w:szCs w:val="18"/>
              </w:rPr>
              <w:t xml:space="preserve">Odds ratio</w:t>
            </w:r>
          </w:p>
        </w:tc>
        <w:tc>
          <w:tcPr>
            <w:tcW w:type="dxa" w:w="2016"/>
            <w:tcBorders>
              <w:bottom w:val="single" w:sz="4" w:space="0" w:color="000000"/>
            </w:tcBorders>
          </w:tcPr>
          <w:p>
            <w:pPr>
              <w:pStyle w:val="Compact"/>
              <w:spacing w:before="20" w:after="20" w:line="240" w:lineRule="auto"/>
              <w:jc w:val="center"/>
              <w:keepNext/>
            </w:pPr>
            <w:r>
              <w:rPr>
                <w:sz w:val="18"/>
                <w:szCs w:val="18"/>
              </w:rPr>
              <w:t xml:space="preserve">SE (logit coefficient)</w:t>
            </w:r>
          </w:p>
        </w:tc>
        <w:tc>
          <w:tcPr>
            <w:tcW w:type="dxa" w:w="960"/>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4888"/>
          </w:tcPr>
          <w:p>
            <w:pPr>
              <w:pStyle w:val="Compact"/>
              <w:spacing w:before="20" w:after="20" w:line="240" w:lineRule="auto"/>
              <w:keepNext/>
            </w:pPr>
            <w:r>
              <w:rPr>
                <w:sz w:val="18"/>
                <w:szCs w:val="18"/>
              </w:rPr>
              <w:t xml:space="preserve">Technological scope (breadth)</w:t>
            </w:r>
          </w:p>
        </w:tc>
        <w:tc>
          <w:tcPr>
            <w:tcW w:type="dxa" w:w="1204"/>
          </w:tcPr>
          <w:p>
            <w:pPr>
              <w:pStyle w:val="Compact"/>
              <w:spacing w:before="20" w:after="20" w:line="240" w:lineRule="auto"/>
              <w:jc w:val="center"/>
              <w:keepNext/>
            </w:pPr>
            <w:r>
              <w:rPr>
                <w:sz w:val="18"/>
                <w:szCs w:val="18"/>
              </w:rPr>
              <w:t xml:space="preserve">1.267***</w:t>
            </w:r>
          </w:p>
        </w:tc>
        <w:tc>
          <w:tcPr>
            <w:tcW w:type="dxa" w:w="2016"/>
          </w:tcPr>
          <w:p>
            <w:pPr>
              <w:pStyle w:val="Compact"/>
              <w:spacing w:before="20" w:after="20" w:line="240" w:lineRule="auto"/>
              <w:jc w:val="center"/>
              <w:keepNext/>
            </w:pPr>
            <w:r>
              <w:rPr>
                <w:sz w:val="18"/>
                <w:szCs w:val="18"/>
              </w:rPr>
              <w:t xml:space="preserve">(0.027)</w:t>
            </w:r>
          </w:p>
        </w:tc>
        <w:tc>
          <w:tcPr>
            <w:tcW w:type="dxa" w:w="960"/>
          </w:tcPr>
          <w:p>
            <w:pPr>
              <w:pStyle w:val="Compact"/>
              <w:spacing w:before="20" w:after="20" w:line="240" w:lineRule="auto"/>
              <w:jc w:val="center"/>
              <w:keepNext/>
            </w:pPr>
            <w:r>
              <w:rPr>
                <w:sz w:val="18"/>
                <w:szCs w:val="18"/>
              </w:rPr>
              <w:t xml:space="preserve">&lt;0.001</w:t>
            </w:r>
          </w:p>
        </w:tc>
      </w:tr>
      <w:tr>
        <w:trPr>
          <w:cantSplit/>
        </w:trPr>
        <w:tc>
          <w:tcPr>
            <w:tcW w:type="dxa" w:w="4888"/>
          </w:tcPr>
          <w:p>
            <w:pPr>
              <w:pStyle w:val="Compact"/>
              <w:spacing w:before="20" w:after="20" w:line="240" w:lineRule="auto"/>
              <w:keepNext/>
            </w:pPr>
            <w:r>
              <w:rPr>
                <w:sz w:val="18"/>
                <w:szCs w:val="18"/>
              </w:rPr>
              <w:t xml:space="preserve">Filing year (yc)</w:t>
            </w:r>
          </w:p>
        </w:tc>
        <w:tc>
          <w:tcPr>
            <w:tcW w:type="dxa" w:w="1204"/>
          </w:tcPr>
          <w:p>
            <w:pPr>
              <w:pStyle w:val="Compact"/>
              <w:spacing w:before="20" w:after="20" w:line="240" w:lineRule="auto"/>
              <w:jc w:val="center"/>
              <w:keepNext/>
            </w:pPr>
            <w:r>
              <w:rPr>
                <w:sz w:val="18"/>
                <w:szCs w:val="18"/>
              </w:rPr>
              <w:t xml:space="preserve">0.946***</w:t>
            </w:r>
          </w:p>
        </w:tc>
        <w:tc>
          <w:tcPr>
            <w:tcW w:type="dxa" w:w="2016"/>
          </w:tcPr>
          <w:p>
            <w:pPr>
              <w:pStyle w:val="Compact"/>
              <w:spacing w:before="20" w:after="20" w:line="240" w:lineRule="auto"/>
              <w:jc w:val="center"/>
              <w:keepNext/>
            </w:pPr>
            <w:r>
              <w:rPr>
                <w:sz w:val="18"/>
                <w:szCs w:val="18"/>
              </w:rPr>
              <w:t xml:space="preserve">(0.011)</w:t>
            </w:r>
          </w:p>
        </w:tc>
        <w:tc>
          <w:tcPr>
            <w:tcW w:type="dxa" w:w="960"/>
          </w:tcPr>
          <w:p>
            <w:pPr>
              <w:pStyle w:val="Compact"/>
              <w:spacing w:before="20" w:after="20" w:line="240" w:lineRule="auto"/>
              <w:jc w:val="center"/>
              <w:keepNext/>
            </w:pPr>
            <w:r>
              <w:rPr>
                <w:sz w:val="18"/>
                <w:szCs w:val="18"/>
              </w:rPr>
              <w:t xml:space="preserve">&lt;0.001</w:t>
            </w:r>
          </w:p>
        </w:tc>
      </w:tr>
    </w:tbl>
    <w:p>
      <w:pPr>
        <w:pStyle w:val="BodyText"/>
      </w:pPr>
      <w:r>
        <w:t xml:space="preserve">Next, Table 8 reports the results of the multinomial logit as relative risk ratios of the integrated and process-only types, with bonding-only as the base category; this is the main analysis of which patents cross the boundary. Figure 5 shows the predicted probabilities of the three types from this model as technological scope and filing year vary (with the other variables held at each application’s observed values and then averaged).</w:t>
      </w:r>
    </w:p>
    <w:p>
      <w:pPr>
        <w:pStyle w:val="BodyText"/>
      </w:pPr>
      <w:r>
        <w:rPr>
          <w:b/>
          <w:bCs/>
        </w:rPr>
        <w:t xml:space="preserve">Applications that include more diverse technical elements (CPC subgroups) in the fabrication-process and bonding domains were more likely to be integrated.</w:t>
      </w:r>
      <w:r>
        <w:t xml:space="preserve"> </w:t>
      </w:r>
      <w:r>
        <w:t xml:space="preserve">With each additional CPC subgroup, the relative risk of being integrated rather than bonding-only increased by about 40% (RRR 1.403, p &lt; 0.01), and that of being process-only decreased by about 10% (RRR 0.905, p &lt; 0.05). Substantively, the predicted probabilities for an application with a technological scope of 3 are 0.26 for integrated, 0.50 for bonding-only, and 0.24 for process-only, whereas those for an application with a technological scope of 8 are 0.68 for integrated, 0.24 for bonding-only, and 0.08 for process-only (Figure 5, left). In other words, applications with a broad scope tend to span the two domains, and those with a narrow scope tend to remain within one domain. This reflects a compositional characteristic: integrated patents contain more CPC subgroups within the two classes.</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en_v64.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Figure 5.</w:t>
      </w:r>
      <w:r>
        <w:rPr>
          <w:sz w:val="20"/>
          <w:szCs w:val="20"/>
        </w:rPr>
        <w:t xml:space="preserve"> </w:t>
      </w:r>
      <w:r>
        <w:rPr>
          <w:sz w:val="20"/>
          <w:szCs w:val="20"/>
        </w:rPr>
        <w:t xml:space="preserve">Predicted probabilities of the co-classification types by technological scope (left) and filing year (right) (multinomial logit; other variables held at each application’s observed values and then averaged).</w:t>
      </w:r>
    </w:p>
    <w:p>
      <w:pPr>
        <w:pStyle w:val="BodyText"/>
        <w:keepNext/>
      </w:pPr>
      <w:r>
        <w:rPr>
          <w:b/>
          <w:bCs/>
          <w:sz w:val="20"/>
          <w:szCs w:val="20"/>
        </w:rPr>
        <w:t xml:space="preserve">Table 8.</w:t>
      </w:r>
      <w:r>
        <w:rPr>
          <w:sz w:val="20"/>
          <w:szCs w:val="20"/>
        </w:rPr>
        <w:t xml:space="preserve"> </w:t>
      </w:r>
      <w:r>
        <w:rPr>
          <w:sz w:val="20"/>
          <w:szCs w:val="20"/>
        </w:rPr>
        <w:t xml:space="preserve">Multinomial logit of the co-classification type (base category = bonding-only; N = 928; seven filing office dummies included (coefficients omitted); log-likelihood −774.5; likelihood ratio χ²(18) = 367.4, p &lt; 0.001; McFadden pseudo-R² = 0.192; AIC 1,589.0; standard errors (SEs) of the logit coefficients in parentheses;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21"/>
        <w:gridCol w:w="1076"/>
        <w:gridCol w:w="1240"/>
        <w:gridCol w:w="663"/>
        <w:gridCol w:w="1270"/>
        <w:gridCol w:w="1240"/>
        <w:gridCol w:w="663"/>
      </w:tblGrid>
      <w:tr>
        <w:trPr>
          <w:tblHeader w:val="on"/>
          <w:cantSplit/>
        </w:trPr>
        <w:tc>
          <w:tcPr>
            <w:tcW w:type="dxa" w:w="2921"/>
            <w:tcBorders>
              <w:bottom w:val="single" w:sz="4" w:space="0" w:color="000000"/>
            </w:tcBorders>
          </w:tcPr>
          <w:p>
            <w:pPr>
              <w:pStyle w:val="Compact"/>
              <w:spacing w:before="20" w:after="20" w:line="240" w:lineRule="auto"/>
              <w:keepNext/>
            </w:pPr>
          </w:p>
        </w:tc>
        <w:tc>
          <w:tcPr>
            <w:tcW w:type="dxa" w:w="1076"/>
            <w:tcBorders>
              <w:bottom w:val="single" w:sz="4" w:space="0" w:color="000000"/>
            </w:tcBorders>
          </w:tcPr>
          <w:p>
            <w:pPr>
              <w:pStyle w:val="Compact"/>
              <w:spacing w:before="20" w:after="20" w:line="240" w:lineRule="auto"/>
              <w:jc w:val="center"/>
              <w:keepNext/>
            </w:pPr>
            <w:r>
              <w:rPr>
                <w:sz w:val="13"/>
                <w:szCs w:val="13"/>
              </w:rPr>
              <w:t xml:space="preserve">Integrated RRR</w:t>
            </w:r>
          </w:p>
        </w:tc>
        <w:tc>
          <w:tcPr>
            <w:tcW w:type="dxa" w:w="1240"/>
            <w:tcBorders>
              <w:bottom w:val="single" w:sz="4" w:space="0" w:color="000000"/>
            </w:tcBorders>
          </w:tcPr>
          <w:p>
            <w:pPr>
              <w:pStyle w:val="Compact"/>
              <w:spacing w:before="20" w:after="20" w:line="240" w:lineRule="auto"/>
              <w:jc w:val="center"/>
              <w:keepNext/>
            </w:pPr>
            <w:r>
              <w:rPr>
                <w:sz w:val="13"/>
                <w:szCs w:val="13"/>
              </w:rPr>
              <w:t xml:space="preserve">SE (logit coefficient)</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c>
          <w:tcPr>
            <w:tcW w:type="dxa" w:w="1270"/>
            <w:tcBorders>
              <w:bottom w:val="single" w:sz="4" w:space="0" w:color="000000"/>
            </w:tcBorders>
          </w:tcPr>
          <w:p>
            <w:pPr>
              <w:pStyle w:val="Compact"/>
              <w:spacing w:before="20" w:after="20" w:line="240" w:lineRule="auto"/>
              <w:jc w:val="center"/>
              <w:keepNext/>
            </w:pPr>
            <w:r>
              <w:rPr>
                <w:sz w:val="13"/>
                <w:szCs w:val="13"/>
              </w:rPr>
              <w:t xml:space="preserve">Process-only RRR</w:t>
            </w:r>
          </w:p>
        </w:tc>
        <w:tc>
          <w:tcPr>
            <w:tcW w:type="dxa" w:w="1240"/>
            <w:tcBorders>
              <w:bottom w:val="single" w:sz="4" w:space="0" w:color="000000"/>
            </w:tcBorders>
          </w:tcPr>
          <w:p>
            <w:pPr>
              <w:pStyle w:val="Compact"/>
              <w:spacing w:before="20" w:after="20" w:line="240" w:lineRule="auto"/>
              <w:jc w:val="center"/>
              <w:keepNext/>
            </w:pPr>
            <w:r>
              <w:rPr>
                <w:sz w:val="13"/>
                <w:szCs w:val="13"/>
              </w:rPr>
              <w:t xml:space="preserve">SE (logit coefficient)</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2921"/>
          </w:tcPr>
          <w:p>
            <w:pPr>
              <w:pStyle w:val="Compact"/>
              <w:spacing w:before="20" w:after="20" w:line="240" w:lineRule="auto"/>
              <w:keepNext/>
            </w:pPr>
            <w:r>
              <w:rPr>
                <w:sz w:val="13"/>
                <w:szCs w:val="13"/>
              </w:rPr>
              <w:t xml:space="preserve">Technological scope (breadth)</w:t>
            </w:r>
          </w:p>
        </w:tc>
        <w:tc>
          <w:tcPr>
            <w:tcW w:type="dxa" w:w="1076"/>
          </w:tcPr>
          <w:p>
            <w:pPr>
              <w:pStyle w:val="Compact"/>
              <w:spacing w:before="20" w:after="20" w:line="240" w:lineRule="auto"/>
              <w:jc w:val="center"/>
              <w:keepNext/>
            </w:pPr>
            <w:r>
              <w:rPr>
                <w:sz w:val="13"/>
                <w:szCs w:val="13"/>
              </w:rPr>
              <w:t xml:space="preserve">1.403***</w:t>
            </w:r>
          </w:p>
        </w:tc>
        <w:tc>
          <w:tcPr>
            <w:tcW w:type="dxa" w:w="1240"/>
          </w:tcPr>
          <w:p>
            <w:pPr>
              <w:pStyle w:val="Compact"/>
              <w:spacing w:before="20" w:after="20" w:line="240" w:lineRule="auto"/>
              <w:jc w:val="center"/>
              <w:keepNext/>
            </w:pPr>
            <w:r>
              <w:rPr>
                <w:sz w:val="13"/>
                <w:szCs w:val="13"/>
              </w:rPr>
              <w:t xml:space="preserve">(0.031)</w:t>
            </w:r>
          </w:p>
        </w:tc>
        <w:tc>
          <w:tcPr>
            <w:tcW w:type="dxa" w:w="663"/>
          </w:tcPr>
          <w:p>
            <w:pPr>
              <w:pStyle w:val="Compact"/>
              <w:spacing w:before="20" w:after="20" w:line="240" w:lineRule="auto"/>
              <w:jc w:val="center"/>
              <w:keepNext/>
            </w:pPr>
            <w:r>
              <w:rPr>
                <w:sz w:val="13"/>
                <w:szCs w:val="13"/>
              </w:rPr>
              <w:t xml:space="preserve">&lt;0.001</w:t>
            </w:r>
          </w:p>
        </w:tc>
        <w:tc>
          <w:tcPr>
            <w:tcW w:type="dxa" w:w="1270"/>
          </w:tcPr>
          <w:p>
            <w:pPr>
              <w:pStyle w:val="Compact"/>
              <w:spacing w:before="20" w:after="20" w:line="240" w:lineRule="auto"/>
              <w:jc w:val="center"/>
              <w:keepNext/>
            </w:pPr>
            <w:r>
              <w:rPr>
                <w:sz w:val="13"/>
                <w:szCs w:val="13"/>
              </w:rPr>
              <w:t xml:space="preserve">0.905**</w:t>
            </w:r>
          </w:p>
        </w:tc>
        <w:tc>
          <w:tcPr>
            <w:tcW w:type="dxa" w:w="1240"/>
          </w:tcPr>
          <w:p>
            <w:pPr>
              <w:pStyle w:val="Compact"/>
              <w:spacing w:before="20" w:after="20" w:line="240" w:lineRule="auto"/>
              <w:jc w:val="center"/>
              <w:keepNext/>
            </w:pPr>
            <w:r>
              <w:rPr>
                <w:sz w:val="13"/>
                <w:szCs w:val="13"/>
              </w:rPr>
              <w:t xml:space="preserve">(0.048)</w:t>
            </w:r>
          </w:p>
        </w:tc>
        <w:tc>
          <w:tcPr>
            <w:tcW w:type="dxa" w:w="663"/>
          </w:tcPr>
          <w:p>
            <w:pPr>
              <w:pStyle w:val="Compact"/>
              <w:spacing w:before="20" w:after="20" w:line="240" w:lineRule="auto"/>
              <w:jc w:val="center"/>
              <w:keepNext/>
            </w:pPr>
            <w:r>
              <w:rPr>
                <w:sz w:val="13"/>
                <w:szCs w:val="13"/>
              </w:rPr>
              <w:t xml:space="preserve">0.039</w:t>
            </w:r>
          </w:p>
        </w:tc>
      </w:tr>
      <w:tr>
        <w:trPr>
          <w:cantSplit/>
        </w:trPr>
        <w:tc>
          <w:tcPr>
            <w:tcW w:type="dxa" w:w="2921"/>
          </w:tcPr>
          <w:p>
            <w:pPr>
              <w:pStyle w:val="Compact"/>
              <w:spacing w:before="20" w:after="20" w:line="240" w:lineRule="auto"/>
              <w:keepNext/>
            </w:pPr>
            <w:r>
              <w:rPr>
                <w:sz w:val="13"/>
                <w:szCs w:val="13"/>
              </w:rPr>
              <w:t xml:space="preserve">Filing year (yc)</w:t>
            </w:r>
          </w:p>
        </w:tc>
        <w:tc>
          <w:tcPr>
            <w:tcW w:type="dxa" w:w="1076"/>
          </w:tcPr>
          <w:p>
            <w:pPr>
              <w:pStyle w:val="Compact"/>
              <w:spacing w:before="20" w:after="20" w:line="240" w:lineRule="auto"/>
              <w:jc w:val="center"/>
              <w:keepNext/>
            </w:pPr>
            <w:r>
              <w:rPr>
                <w:sz w:val="13"/>
                <w:szCs w:val="13"/>
              </w:rPr>
              <w:t xml:space="preserve">0.993</w:t>
            </w:r>
          </w:p>
        </w:tc>
        <w:tc>
          <w:tcPr>
            <w:tcW w:type="dxa" w:w="1240"/>
          </w:tcPr>
          <w:p>
            <w:pPr>
              <w:pStyle w:val="Compact"/>
              <w:spacing w:before="20" w:after="20" w:line="240" w:lineRule="auto"/>
              <w:jc w:val="center"/>
              <w:keepNext/>
            </w:pPr>
            <w:r>
              <w:rPr>
                <w:sz w:val="13"/>
                <w:szCs w:val="13"/>
              </w:rPr>
              <w:t xml:space="preserve">(0.015)</w:t>
            </w:r>
          </w:p>
        </w:tc>
        <w:tc>
          <w:tcPr>
            <w:tcW w:type="dxa" w:w="663"/>
          </w:tcPr>
          <w:p>
            <w:pPr>
              <w:pStyle w:val="Compact"/>
              <w:spacing w:before="20" w:after="20" w:line="240" w:lineRule="auto"/>
              <w:jc w:val="center"/>
              <w:keepNext/>
            </w:pPr>
            <w:r>
              <w:rPr>
                <w:sz w:val="13"/>
                <w:szCs w:val="13"/>
              </w:rPr>
              <w:t xml:space="preserve">0.654</w:t>
            </w:r>
          </w:p>
        </w:tc>
        <w:tc>
          <w:tcPr>
            <w:tcW w:type="dxa" w:w="1270"/>
          </w:tcPr>
          <w:p>
            <w:pPr>
              <w:pStyle w:val="Compact"/>
              <w:spacing w:before="20" w:after="20" w:line="240" w:lineRule="auto"/>
              <w:jc w:val="center"/>
              <w:keepNext/>
            </w:pPr>
            <w:r>
              <w:rPr>
                <w:sz w:val="13"/>
                <w:szCs w:val="13"/>
              </w:rPr>
              <w:t xml:space="preserve">0.913***</w:t>
            </w:r>
          </w:p>
        </w:tc>
        <w:tc>
          <w:tcPr>
            <w:tcW w:type="dxa" w:w="1240"/>
          </w:tcPr>
          <w:p>
            <w:pPr>
              <w:pStyle w:val="Compact"/>
              <w:spacing w:before="20" w:after="20" w:line="240" w:lineRule="auto"/>
              <w:jc w:val="center"/>
              <w:keepNext/>
            </w:pPr>
            <w:r>
              <w:rPr>
                <w:sz w:val="13"/>
                <w:szCs w:val="13"/>
              </w:rPr>
              <w:t xml:space="preserve">(0.015)</w:t>
            </w:r>
          </w:p>
        </w:tc>
        <w:tc>
          <w:tcPr>
            <w:tcW w:type="dxa" w:w="663"/>
          </w:tcPr>
          <w:p>
            <w:pPr>
              <w:pStyle w:val="Compact"/>
              <w:spacing w:before="20" w:after="20" w:line="240" w:lineRule="auto"/>
              <w:jc w:val="center"/>
              <w:keepNext/>
            </w:pPr>
            <w:r>
              <w:rPr>
                <w:sz w:val="13"/>
                <w:szCs w:val="13"/>
              </w:rPr>
              <w:t xml:space="preserve">&lt;0.001</w:t>
            </w:r>
          </w:p>
        </w:tc>
      </w:tr>
    </w:tbl>
    <w:bookmarkEnd w:id="40"/>
    <w:bookmarkStart w:id="44" w:name="Xc34b45c0abd4be9e5ae9180a963e38a9406b418"/>
    <w:p>
      <w:pPr>
        <w:pStyle w:val="Heading3"/>
      </w:pPr>
      <w:r>
        <w:t xml:space="preserve">5.2 Temporal change in technology convergence (RQ2)</w:t>
      </w:r>
    </w:p>
    <w:p>
      <w:pPr>
        <w:pStyle w:val="FirstParagraph"/>
      </w:pPr>
      <w:r>
        <w:t xml:space="preserve">The level of convergence identified in Section 5.1 differed considerably over time. Table 9 and Figure 6 show the distribution of types across three periods defined in light of the concentration of filings. The years 1968–2014 were grouped into a single period because filings were so sparse that the 47 years produced fewer applications (179) than the following five years (209), and the years from 2015 onward were divided into five-year periods, 2015–2019 and 2020–2024. The share of process-only applications declined steadily from 43.6% in 1968–2014 to 14.8% in 2015–2019 and 10.4% in 2020–2024. The integrated share rose sharply from 31.3% to 62.2% and then fell to 44.3%, whereas the bonding-only share, 25.1% and 23.0% in the first two periods, rose to 45.4%. This evolution of convergence can be interpreted as consisting of three phases. Up to 2014, process-only applications were the most common; in 2015–2019, the integrated share peaked at 62.2%, and the technologies of the two process stages were most often included together in a single invention. In 2020–2024, the integrated share declined, and the bonding-only share (45.4%) rose to a level similar to that of the integrated type (44.3%). Hereafter, the three phases are referred to as the formation phase, the diffusion phase, and the reconfiguration phase, respectively.</w:t>
      </w:r>
    </w:p>
    <w:p>
      <w:pPr>
        <w:pStyle w:val="BodyText"/>
        <w:keepNext/>
      </w:pPr>
      <w:r>
        <w:rPr>
          <w:b/>
          <w:bCs/>
          <w:sz w:val="20"/>
          <w:szCs w:val="20"/>
        </w:rPr>
        <w:t xml:space="preserve">Table 9.</w:t>
      </w:r>
      <w:r>
        <w:rPr>
          <w:sz w:val="20"/>
          <w:szCs w:val="20"/>
        </w:rPr>
        <w:t xml:space="preserve"> </w:t>
      </w:r>
      <w:r>
        <w:rPr>
          <w:sz w:val="20"/>
          <w:szCs w:val="20"/>
        </w:rPr>
        <w:t xml:space="preserve">Distribution of co-classification types in the three filing periods (N = 928; row shares in parentheses; the first period, 1968–2014, is longer than the two later periods).</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82"/>
        <w:gridCol w:w="1569"/>
        <w:gridCol w:w="1312"/>
        <w:gridCol w:w="1569"/>
        <w:gridCol w:w="461"/>
        <w:gridCol w:w="2979"/>
      </w:tblGrid>
      <w:tr>
        <w:trPr>
          <w:tblHeader w:val="on"/>
          <w:cantSplit/>
        </w:trPr>
        <w:tc>
          <w:tcPr>
            <w:tcW w:type="dxa" w:w="1182"/>
            <w:tcBorders>
              <w:bottom w:val="single" w:sz="4" w:space="0" w:color="000000"/>
            </w:tcBorders>
          </w:tcPr>
          <w:p>
            <w:pPr>
              <w:pStyle w:val="Compact"/>
              <w:spacing w:before="20" w:after="20" w:line="240" w:lineRule="auto"/>
              <w:keepNext/>
            </w:pPr>
            <w:r>
              <w:rPr>
                <w:sz w:val="13"/>
                <w:szCs w:val="13"/>
              </w:rPr>
              <w:t xml:space="preserve">Filing period</w:t>
            </w:r>
          </w:p>
        </w:tc>
        <w:tc>
          <w:tcPr>
            <w:tcW w:type="dxa" w:w="1569"/>
            <w:tcBorders>
              <w:bottom w:val="single" w:sz="4" w:space="0" w:color="000000"/>
            </w:tcBorders>
          </w:tcPr>
          <w:p>
            <w:pPr>
              <w:pStyle w:val="Compact"/>
              <w:spacing w:before="20" w:after="20" w:line="240" w:lineRule="auto"/>
              <w:keepNext/>
            </w:pPr>
            <w:r>
              <w:rPr>
                <w:sz w:val="13"/>
                <w:szCs w:val="13"/>
              </w:rPr>
              <w:t xml:space="preserve">Bonding-only</w:t>
            </w:r>
          </w:p>
        </w:tc>
        <w:tc>
          <w:tcPr>
            <w:tcW w:type="dxa" w:w="1312"/>
            <w:tcBorders>
              <w:bottom w:val="single" w:sz="4" w:space="0" w:color="000000"/>
            </w:tcBorders>
          </w:tcPr>
          <w:p>
            <w:pPr>
              <w:pStyle w:val="Compact"/>
              <w:spacing w:before="20" w:after="20" w:line="240" w:lineRule="auto"/>
              <w:keepNext/>
            </w:pPr>
            <w:r>
              <w:rPr>
                <w:sz w:val="13"/>
                <w:szCs w:val="13"/>
              </w:rPr>
              <w:t xml:space="preserve">Integrated</w:t>
            </w:r>
          </w:p>
        </w:tc>
        <w:tc>
          <w:tcPr>
            <w:tcW w:type="dxa" w:w="1569"/>
            <w:tcBorders>
              <w:bottom w:val="single" w:sz="4" w:space="0" w:color="000000"/>
            </w:tcBorders>
          </w:tcPr>
          <w:p>
            <w:pPr>
              <w:pStyle w:val="Compact"/>
              <w:spacing w:before="20" w:after="20" w:line="240" w:lineRule="auto"/>
              <w:keepNext/>
            </w:pPr>
            <w:r>
              <w:rPr>
                <w:sz w:val="13"/>
                <w:szCs w:val="13"/>
              </w:rPr>
              <w:t xml:space="preserve">Process-only</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2979"/>
            <w:tcBorders>
              <w:bottom w:val="single" w:sz="4" w:space="0" w:color="000000"/>
            </w:tcBorders>
          </w:tcPr>
          <w:p>
            <w:pPr>
              <w:pStyle w:val="Compact"/>
              <w:spacing w:before="20" w:after="20" w:line="240" w:lineRule="auto"/>
              <w:jc w:val="right"/>
              <w:keepNext/>
            </w:pPr>
            <w:r>
              <w:rPr>
                <w:sz w:val="13"/>
                <w:szCs w:val="13"/>
              </w:rPr>
              <w:t xml:space="preserve">With fabrication-process classification (%)</w:t>
            </w:r>
          </w:p>
        </w:tc>
      </w:tr>
      <w:tr>
        <w:trPr>
          <w:cantSplit/>
        </w:trPr>
        <w:tc>
          <w:tcPr>
            <w:tcW w:type="dxa" w:w="1182"/>
          </w:tcPr>
          <w:p>
            <w:pPr>
              <w:pStyle w:val="Compact"/>
              <w:spacing w:before="20" w:after="20" w:line="240" w:lineRule="auto"/>
              <w:keepNext/>
            </w:pPr>
            <w:r>
              <w:rPr>
                <w:sz w:val="13"/>
                <w:szCs w:val="13"/>
              </w:rPr>
              <w:t xml:space="preserve">1968–2014</w:t>
            </w:r>
          </w:p>
        </w:tc>
        <w:tc>
          <w:tcPr>
            <w:tcW w:type="dxa" w:w="1569"/>
          </w:tcPr>
          <w:p>
            <w:pPr>
              <w:pStyle w:val="Compact"/>
              <w:spacing w:before="20" w:after="20" w:line="240" w:lineRule="auto"/>
              <w:keepNext/>
            </w:pPr>
            <w:r>
              <w:rPr>
                <w:sz w:val="13"/>
                <w:szCs w:val="13"/>
              </w:rPr>
              <w:t xml:space="preserve">45 (25.1%)</w:t>
            </w:r>
          </w:p>
        </w:tc>
        <w:tc>
          <w:tcPr>
            <w:tcW w:type="dxa" w:w="1312"/>
          </w:tcPr>
          <w:p>
            <w:pPr>
              <w:pStyle w:val="Compact"/>
              <w:spacing w:before="20" w:after="20" w:line="240" w:lineRule="auto"/>
              <w:keepNext/>
            </w:pPr>
            <w:r>
              <w:rPr>
                <w:sz w:val="13"/>
                <w:szCs w:val="13"/>
              </w:rPr>
              <w:t xml:space="preserve">56 (31.3%)</w:t>
            </w:r>
          </w:p>
        </w:tc>
        <w:tc>
          <w:tcPr>
            <w:tcW w:type="dxa" w:w="1569"/>
          </w:tcPr>
          <w:p>
            <w:pPr>
              <w:pStyle w:val="Compact"/>
              <w:spacing w:before="20" w:after="20" w:line="240" w:lineRule="auto"/>
              <w:keepNext/>
            </w:pPr>
            <w:r>
              <w:rPr>
                <w:sz w:val="13"/>
                <w:szCs w:val="13"/>
              </w:rPr>
              <w:t xml:space="preserve">78 (43.6%)</w:t>
            </w:r>
          </w:p>
        </w:tc>
        <w:tc>
          <w:tcPr>
            <w:tcW w:type="dxa" w:w="461"/>
          </w:tcPr>
          <w:p>
            <w:pPr>
              <w:pStyle w:val="Compact"/>
              <w:spacing w:before="20" w:after="20" w:line="240" w:lineRule="auto"/>
              <w:jc w:val="right"/>
              <w:keepNext/>
            </w:pPr>
            <w:r>
              <w:rPr>
                <w:sz w:val="13"/>
                <w:szCs w:val="13"/>
              </w:rPr>
              <w:t xml:space="preserve">179</w:t>
            </w:r>
          </w:p>
        </w:tc>
        <w:tc>
          <w:tcPr>
            <w:tcW w:type="dxa" w:w="2979"/>
          </w:tcPr>
          <w:p>
            <w:pPr>
              <w:pStyle w:val="Compact"/>
              <w:spacing w:before="20" w:after="20" w:line="240" w:lineRule="auto"/>
              <w:jc w:val="right"/>
              <w:keepNext/>
            </w:pPr>
            <w:r>
              <w:rPr>
                <w:sz w:val="13"/>
                <w:szCs w:val="13"/>
              </w:rPr>
              <w:t xml:space="preserve">74.9</w:t>
            </w:r>
          </w:p>
        </w:tc>
      </w:tr>
      <w:tr>
        <w:trPr>
          <w:cantSplit/>
        </w:trPr>
        <w:tc>
          <w:tcPr>
            <w:tcW w:type="dxa" w:w="1182"/>
          </w:tcPr>
          <w:p>
            <w:pPr>
              <w:pStyle w:val="Compact"/>
              <w:spacing w:before="20" w:after="20" w:line="240" w:lineRule="auto"/>
              <w:keepNext/>
            </w:pPr>
            <w:r>
              <w:rPr>
                <w:sz w:val="13"/>
                <w:szCs w:val="13"/>
              </w:rPr>
              <w:t xml:space="preserve">2015–2019</w:t>
            </w:r>
          </w:p>
        </w:tc>
        <w:tc>
          <w:tcPr>
            <w:tcW w:type="dxa" w:w="1569"/>
          </w:tcPr>
          <w:p>
            <w:pPr>
              <w:pStyle w:val="Compact"/>
              <w:spacing w:before="20" w:after="20" w:line="240" w:lineRule="auto"/>
              <w:keepNext/>
            </w:pPr>
            <w:r>
              <w:rPr>
                <w:sz w:val="13"/>
                <w:szCs w:val="13"/>
              </w:rPr>
              <w:t xml:space="preserve">48 (23.0%)</w:t>
            </w:r>
          </w:p>
        </w:tc>
        <w:tc>
          <w:tcPr>
            <w:tcW w:type="dxa" w:w="1312"/>
          </w:tcPr>
          <w:p>
            <w:pPr>
              <w:pStyle w:val="Compact"/>
              <w:spacing w:before="20" w:after="20" w:line="240" w:lineRule="auto"/>
              <w:keepNext/>
            </w:pPr>
            <w:r>
              <w:rPr>
                <w:sz w:val="13"/>
                <w:szCs w:val="13"/>
              </w:rPr>
              <w:t xml:space="preserve">130 (62.2%)</w:t>
            </w:r>
          </w:p>
        </w:tc>
        <w:tc>
          <w:tcPr>
            <w:tcW w:type="dxa" w:w="1569"/>
          </w:tcPr>
          <w:p>
            <w:pPr>
              <w:pStyle w:val="Compact"/>
              <w:spacing w:before="20" w:after="20" w:line="240" w:lineRule="auto"/>
              <w:keepNext/>
            </w:pPr>
            <w:r>
              <w:rPr>
                <w:sz w:val="13"/>
                <w:szCs w:val="13"/>
              </w:rPr>
              <w:t xml:space="preserve">31 (14.8%)</w:t>
            </w:r>
          </w:p>
        </w:tc>
        <w:tc>
          <w:tcPr>
            <w:tcW w:type="dxa" w:w="461"/>
          </w:tcPr>
          <w:p>
            <w:pPr>
              <w:pStyle w:val="Compact"/>
              <w:spacing w:before="20" w:after="20" w:line="240" w:lineRule="auto"/>
              <w:jc w:val="right"/>
              <w:keepNext/>
            </w:pPr>
            <w:r>
              <w:rPr>
                <w:sz w:val="13"/>
                <w:szCs w:val="13"/>
              </w:rPr>
              <w:t xml:space="preserve">209</w:t>
            </w:r>
          </w:p>
        </w:tc>
        <w:tc>
          <w:tcPr>
            <w:tcW w:type="dxa" w:w="2979"/>
          </w:tcPr>
          <w:p>
            <w:pPr>
              <w:pStyle w:val="Compact"/>
              <w:spacing w:before="20" w:after="20" w:line="240" w:lineRule="auto"/>
              <w:jc w:val="right"/>
              <w:keepNext/>
            </w:pPr>
            <w:r>
              <w:rPr>
                <w:sz w:val="13"/>
                <w:szCs w:val="13"/>
              </w:rPr>
              <w:t xml:space="preserve">77.0</w:t>
            </w:r>
          </w:p>
        </w:tc>
      </w:tr>
      <w:tr>
        <w:trPr>
          <w:cantSplit/>
        </w:trPr>
        <w:tc>
          <w:tcPr>
            <w:tcW w:type="dxa" w:w="1182"/>
          </w:tcPr>
          <w:p>
            <w:pPr>
              <w:pStyle w:val="Compact"/>
              <w:spacing w:before="20" w:after="20" w:line="240" w:lineRule="auto"/>
              <w:keepNext/>
            </w:pPr>
            <w:r>
              <w:rPr>
                <w:sz w:val="13"/>
                <w:szCs w:val="13"/>
              </w:rPr>
              <w:t xml:space="preserve">2020–2024</w:t>
            </w:r>
          </w:p>
        </w:tc>
        <w:tc>
          <w:tcPr>
            <w:tcW w:type="dxa" w:w="1569"/>
          </w:tcPr>
          <w:p>
            <w:pPr>
              <w:pStyle w:val="Compact"/>
              <w:spacing w:before="20" w:after="20" w:line="240" w:lineRule="auto"/>
              <w:keepNext/>
            </w:pPr>
            <w:r>
              <w:rPr>
                <w:sz w:val="13"/>
                <w:szCs w:val="13"/>
              </w:rPr>
              <w:t xml:space="preserve">245 (45.4%)</w:t>
            </w:r>
          </w:p>
        </w:tc>
        <w:tc>
          <w:tcPr>
            <w:tcW w:type="dxa" w:w="1312"/>
          </w:tcPr>
          <w:p>
            <w:pPr>
              <w:pStyle w:val="Compact"/>
              <w:spacing w:before="20" w:after="20" w:line="240" w:lineRule="auto"/>
              <w:keepNext/>
            </w:pPr>
            <w:r>
              <w:rPr>
                <w:sz w:val="13"/>
                <w:szCs w:val="13"/>
              </w:rPr>
              <w:t xml:space="preserve">239 (44.3%)</w:t>
            </w:r>
          </w:p>
        </w:tc>
        <w:tc>
          <w:tcPr>
            <w:tcW w:type="dxa" w:w="1569"/>
          </w:tcPr>
          <w:p>
            <w:pPr>
              <w:pStyle w:val="Compact"/>
              <w:spacing w:before="20" w:after="20" w:line="240" w:lineRule="auto"/>
              <w:keepNext/>
            </w:pPr>
            <w:r>
              <w:rPr>
                <w:sz w:val="13"/>
                <w:szCs w:val="13"/>
              </w:rPr>
              <w:t xml:space="preserve">56 (10.4%)</w:t>
            </w:r>
          </w:p>
        </w:tc>
        <w:tc>
          <w:tcPr>
            <w:tcW w:type="dxa" w:w="461"/>
          </w:tcPr>
          <w:p>
            <w:pPr>
              <w:pStyle w:val="Compact"/>
              <w:spacing w:before="20" w:after="20" w:line="240" w:lineRule="auto"/>
              <w:jc w:val="right"/>
              <w:keepNext/>
            </w:pPr>
            <w:r>
              <w:rPr>
                <w:sz w:val="13"/>
                <w:szCs w:val="13"/>
              </w:rPr>
              <w:t xml:space="preserve">540</w:t>
            </w:r>
          </w:p>
        </w:tc>
        <w:tc>
          <w:tcPr>
            <w:tcW w:type="dxa" w:w="2979"/>
          </w:tcPr>
          <w:p>
            <w:pPr>
              <w:pStyle w:val="Compact"/>
              <w:spacing w:before="20" w:after="20" w:line="240" w:lineRule="auto"/>
              <w:jc w:val="right"/>
              <w:keepNext/>
            </w:pPr>
            <w:r>
              <w:rPr>
                <w:sz w:val="13"/>
                <w:szCs w:val="13"/>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en_v64.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Figure 6.</w:t>
      </w:r>
      <w:r>
        <w:rPr>
          <w:sz w:val="20"/>
          <w:szCs w:val="20"/>
        </w:rPr>
        <w:t xml:space="preserve"> </w:t>
      </w:r>
      <w:r>
        <w:rPr>
          <w:sz w:val="20"/>
          <w:szCs w:val="20"/>
        </w:rPr>
        <w:t xml:space="preserve">Composition of co-classification types in the three filing periods (N = 928; the first period, 1968–2014, is longer than the two later periods).</w:t>
      </w:r>
    </w:p>
    <w:p>
      <w:pPr>
        <w:pStyle w:val="BodyText"/>
      </w:pPr>
      <w:r>
        <w:rPr>
          <w:b/>
          <w:bCs/>
        </w:rPr>
        <w:t xml:space="preserve">The more recent the filing year, the more likely patents were to be classified as bonding-only rather than process-only.</w:t>
      </w:r>
      <w:r>
        <w:t xml:space="preserve"> </w:t>
      </w:r>
      <w:r>
        <w:t xml:space="preserve">In the multinomial logit of Table 8, the relative risk of the process-only type decreased by about 8.7% per year (RRR 0.913, p &lt; 0.01), whereas the relative risk of the integrated type showed no significant linear trend over the entire period (RRR 0.993). The predicted probability of being process-only was 0.27 for applications filed in 2010 but 0.12 for those filed in 2022; over the same period, that of being bonding-only increased from 0.31 to 0.40, whereas that of being integrated barely changed, from 0.43 to 0.47 (Figure 5, right). In the binary logit of Table 7 as well, the odds ratio of filing year was less than 1 (annual OR 0.946, p &lt; 0.01), so more recent applications had lower odds of carrying fabrication-process symbols, and this decrease stems mainly from the decline of the process-only type. The same pattern is confirmed in a multinomial logit that includes period dummies instead of a linear year term. Relative to 1968–2014, the relative risk of the process-only type fell to 0.273 in 2015–2019 and 0.101 in 2020–2024 (both p &lt; 0.01), whereas that of the integrated type rose to 1.707 (p = 0.09) and then fell to 0.762 (not significant), so neither estimate was significant at the 5% level. In the 2010–2024 sample (applications filed in 2010 or later; N = 830), the year coefficient was significantly less than 1 for the integrated type as well (RRR 0.934, p &lt; 0.05), and the same held for the narrow fabrication-process definition and the sample excluding irrelevant uses (Appendix A). These results show that the center of gravity of filings shifted from fabrication processes toward bonding.</w:t>
      </w:r>
    </w:p>
    <w:p>
      <w:pPr>
        <w:pStyle w:val="BodyText"/>
      </w:pPr>
      <w:r>
        <w:t xml:space="preserve">Meanwhile, the association between technological scope and the integrated type persisted in all three phases. When the model is estimated separately for each period, the RRR of technological scope for the integrated type was 1.179 in the formation phase, 1.513 in the diffusion phase, and 1.414 in the reconfiguration phase, all significant at the 1% level (for the first period, filing office dummies were excluded from the estimation because many filing office cells were empty). In other words, although the share of convergence and the center of gravity of filings changed from phase to phase, the characteristic that boundary-spanning patents include more diverse technical elements persisted in all three phases.</w:t>
      </w:r>
    </w:p>
    <w:bookmarkEnd w:id="44"/>
    <w:bookmarkStart w:id="45" w:name="Xb8dc82f28108ad0e5c1029548bc751db0380ec4"/>
    <w:p>
      <w:pPr>
        <w:pStyle w:val="Heading3"/>
      </w:pPr>
      <w:r>
        <w:t xml:space="preserve">5.3 Shift in the structural center of technology convergence (RQ3)</w:t>
      </w:r>
    </w:p>
    <w:p>
      <w:pPr>
        <w:pStyle w:val="FirstParagraph"/>
      </w:pPr>
      <w:r>
        <w:t xml:space="preserve">To understand how the phase-by-phase changes identified in Section 5.2 relate to the structure of convergence, this subsection analyzes, by period, the extent to which bonding applications containing the core technologies also carry fabrication-process symbols and the changes in the fabrication-process domains that combine with bonding symbols. Table 10 presents the results of the core technology model.</w:t>
      </w:r>
    </w:p>
    <w:p>
      <w:pPr>
        <w:pStyle w:val="BodyText"/>
      </w:pPr>
      <w:r>
        <w:rPr>
          <w:b/>
          <w:bCs/>
        </w:rPr>
        <w:t xml:space="preserve">Bonding applications containing the core technologies were initially far more likely to be integrated than bonding applications without them, but this difference diminished among more recent filings.</w:t>
      </w:r>
      <w:r>
        <w:t xml:space="preserve"> </w:t>
      </w:r>
      <w:r>
        <w:t xml:space="preserve">In the formation phase (1968–2014), 79.6% of the bonding applications containing the core technologies were integrated, compared with only 27.7% of those without them, and the odds ratio of the core technologies, controlling for filing office, was 11.071 (p &lt; 0.01). In the diffusion phase (2015–2019), applications containing the core technologies were still more often classified as integrated (77.1% vs. 57.9%; OR 2.452, p &lt; 0.05), but the odds ratio decreased to 0.221 times that of 1968–2014 (p &lt; 0.05). In the reconfiguration phase (2020–2024), the integrated share of applications containing the core technologies fell to 48.4% and did not differ significantly from that of applications without them (56.9%; OR 0.658, p = 0.15). The odds ratio in this period was 0.059 times that of 1968–2014 (p &lt; 0.01). In short, the tendency of applications containing the core technologies to cross the boundary more often was pronounced in the formation phase but was not observed in the reconfiguration phase.</w:t>
      </w:r>
    </w:p>
    <w:p>
      <w:pPr>
        <w:pStyle w:val="BodyText"/>
        <w:keepNext/>
      </w:pPr>
      <w:r>
        <w:rPr>
          <w:b/>
          <w:bCs/>
          <w:sz w:val="20"/>
          <w:szCs w:val="20"/>
        </w:rPr>
        <w:t xml:space="preserve">Table 10.</w:t>
      </w:r>
      <w:r>
        <w:rPr>
          <w:sz w:val="20"/>
          <w:szCs w:val="20"/>
        </w:rPr>
        <w:t xml:space="preserve"> </w:t>
      </w:r>
      <w:r>
        <w:rPr>
          <w:sz w:val="20"/>
          <w:szCs w:val="20"/>
        </w:rPr>
        <w:t xml:space="preserve">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45"/>
        <w:gridCol w:w="2189"/>
        <w:gridCol w:w="2356"/>
        <w:gridCol w:w="1768"/>
        <w:gridCol w:w="1151"/>
        <w:gridCol w:w="663"/>
      </w:tblGrid>
      <w:tr>
        <w:trPr>
          <w:tblHeader w:val="on"/>
          <w:cantSplit/>
        </w:trPr>
        <w:tc>
          <w:tcPr>
            <w:tcW w:type="dxa" w:w="945"/>
            <w:tcBorders>
              <w:bottom w:val="single" w:sz="4" w:space="0" w:color="000000"/>
            </w:tcBorders>
          </w:tcPr>
          <w:p>
            <w:pPr>
              <w:pStyle w:val="Compact"/>
              <w:spacing w:before="20" w:after="20" w:line="240" w:lineRule="auto"/>
              <w:keepNext/>
            </w:pPr>
            <w:r>
              <w:rPr>
                <w:sz w:val="13"/>
                <w:szCs w:val="13"/>
              </w:rPr>
              <w:t xml:space="preserve">Filing period</w:t>
            </w:r>
          </w:p>
        </w:tc>
        <w:tc>
          <w:tcPr>
            <w:tcW w:type="dxa" w:w="2189"/>
            <w:tcBorders>
              <w:bottom w:val="single" w:sz="4" w:space="0" w:color="000000"/>
            </w:tcBorders>
          </w:tcPr>
          <w:p>
            <w:pPr>
              <w:pStyle w:val="Compact"/>
              <w:spacing w:before="20" w:after="20" w:line="240" w:lineRule="auto"/>
              <w:keepNext/>
            </w:pPr>
            <w:r>
              <w:rPr>
                <w:sz w:val="13"/>
                <w:szCs w:val="13"/>
              </w:rPr>
              <w:t xml:space="preserve">With core technologies: integrated/N (%)</w:t>
            </w:r>
          </w:p>
        </w:tc>
        <w:tc>
          <w:tcPr>
            <w:tcW w:type="dxa" w:w="2356"/>
            <w:tcBorders>
              <w:bottom w:val="single" w:sz="4" w:space="0" w:color="000000"/>
            </w:tcBorders>
          </w:tcPr>
          <w:p>
            <w:pPr>
              <w:pStyle w:val="Compact"/>
              <w:spacing w:before="20" w:after="20" w:line="240" w:lineRule="auto"/>
              <w:keepNext/>
            </w:pPr>
            <w:r>
              <w:rPr>
                <w:sz w:val="13"/>
                <w:szCs w:val="13"/>
              </w:rPr>
              <w:t xml:space="preserve">Without core technologies: integrated/N (%)</w:t>
            </w:r>
          </w:p>
        </w:tc>
        <w:tc>
          <w:tcPr>
            <w:tcW w:type="dxa" w:w="1768"/>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151"/>
            <w:tcBorders>
              <w:bottom w:val="single" w:sz="4" w:space="0" w:color="000000"/>
            </w:tcBorders>
          </w:tcPr>
          <w:p>
            <w:pPr>
              <w:pStyle w:val="Compact"/>
              <w:spacing w:before="20" w:after="20" w:line="240" w:lineRule="auto"/>
              <w:jc w:val="center"/>
              <w:keepNext/>
            </w:pPr>
            <w:r>
              <w:rPr>
                <w:sz w:val="13"/>
                <w:szCs w:val="13"/>
              </w:rPr>
              <w:t xml:space="preserve">95% CI</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945"/>
          </w:tcPr>
          <w:p>
            <w:pPr>
              <w:pStyle w:val="Compact"/>
              <w:spacing w:before="20" w:after="20" w:line="240" w:lineRule="auto"/>
              <w:keepNext/>
            </w:pPr>
            <w:r>
              <w:rPr>
                <w:sz w:val="13"/>
                <w:szCs w:val="13"/>
              </w:rPr>
              <w:t xml:space="preserve">1968–2014</w:t>
            </w:r>
          </w:p>
        </w:tc>
        <w:tc>
          <w:tcPr>
            <w:tcW w:type="dxa" w:w="2189"/>
          </w:tcPr>
          <w:p>
            <w:pPr>
              <w:pStyle w:val="Compact"/>
              <w:spacing w:before="20" w:after="20" w:line="240" w:lineRule="auto"/>
              <w:keepNext/>
            </w:pPr>
            <w:r>
              <w:rPr>
                <w:sz w:val="13"/>
                <w:szCs w:val="13"/>
              </w:rPr>
              <w:t xml:space="preserve">43/54 (79.6)</w:t>
            </w:r>
          </w:p>
        </w:tc>
        <w:tc>
          <w:tcPr>
            <w:tcW w:type="dxa" w:w="2356"/>
          </w:tcPr>
          <w:p>
            <w:pPr>
              <w:pStyle w:val="Compact"/>
              <w:spacing w:before="20" w:after="20" w:line="240" w:lineRule="auto"/>
              <w:keepNext/>
            </w:pPr>
            <w:r>
              <w:rPr>
                <w:sz w:val="13"/>
                <w:szCs w:val="13"/>
              </w:rPr>
              <w:t xml:space="preserve">13/47 (27.7)</w:t>
            </w:r>
          </w:p>
        </w:tc>
        <w:tc>
          <w:tcPr>
            <w:tcW w:type="dxa" w:w="1768"/>
          </w:tcPr>
          <w:p>
            <w:pPr>
              <w:pStyle w:val="Compact"/>
              <w:spacing w:before="20" w:after="20" w:line="240" w:lineRule="auto"/>
              <w:jc w:val="center"/>
              <w:keepNext/>
            </w:pPr>
            <w:r>
              <w:rPr>
                <w:sz w:val="13"/>
                <w:szCs w:val="13"/>
              </w:rPr>
              <w:t xml:space="preserve">11.071***</w:t>
            </w:r>
          </w:p>
        </w:tc>
        <w:tc>
          <w:tcPr>
            <w:tcW w:type="dxa" w:w="1151"/>
          </w:tcPr>
          <w:p>
            <w:pPr>
              <w:pStyle w:val="Compact"/>
              <w:spacing w:before="20" w:after="20" w:line="240" w:lineRule="auto"/>
              <w:jc w:val="center"/>
              <w:keepNext/>
            </w:pPr>
            <w:r>
              <w:rPr>
                <w:sz w:val="13"/>
                <w:szCs w:val="13"/>
              </w:rPr>
              <w:t xml:space="preserve">4.211–29.107</w:t>
            </w:r>
          </w:p>
        </w:tc>
        <w:tc>
          <w:tcPr>
            <w:tcW w:type="dxa" w:w="663"/>
          </w:tcPr>
          <w:p>
            <w:pPr>
              <w:pStyle w:val="Compact"/>
              <w:spacing w:before="20" w:after="20" w:line="240" w:lineRule="auto"/>
              <w:jc w:val="center"/>
              <w:keepNext/>
            </w:pPr>
            <w:r>
              <w:rPr>
                <w:sz w:val="13"/>
                <w:szCs w:val="13"/>
              </w:rPr>
              <w:t xml:space="preserve">&lt;0.001</w:t>
            </w:r>
          </w:p>
        </w:tc>
      </w:tr>
      <w:tr>
        <w:trPr>
          <w:cantSplit/>
        </w:trPr>
        <w:tc>
          <w:tcPr>
            <w:tcW w:type="dxa" w:w="945"/>
          </w:tcPr>
          <w:p>
            <w:pPr>
              <w:pStyle w:val="Compact"/>
              <w:spacing w:before="20" w:after="20" w:line="240" w:lineRule="auto"/>
              <w:keepNext/>
            </w:pPr>
            <w:r>
              <w:rPr>
                <w:sz w:val="13"/>
                <w:szCs w:val="13"/>
              </w:rPr>
              <w:t xml:space="preserve">2015–2019</w:t>
            </w:r>
          </w:p>
        </w:tc>
        <w:tc>
          <w:tcPr>
            <w:tcW w:type="dxa" w:w="2189"/>
          </w:tcPr>
          <w:p>
            <w:pPr>
              <w:pStyle w:val="Compact"/>
              <w:spacing w:before="20" w:after="20" w:line="240" w:lineRule="auto"/>
              <w:keepNext/>
            </w:pPr>
            <w:r>
              <w:rPr>
                <w:sz w:val="13"/>
                <w:szCs w:val="13"/>
              </w:rPr>
              <w:t xml:space="preserve">108/140 (77.1)</w:t>
            </w:r>
          </w:p>
        </w:tc>
        <w:tc>
          <w:tcPr>
            <w:tcW w:type="dxa" w:w="2356"/>
          </w:tcPr>
          <w:p>
            <w:pPr>
              <w:pStyle w:val="Compact"/>
              <w:spacing w:before="20" w:after="20" w:line="240" w:lineRule="auto"/>
              <w:keepNext/>
            </w:pPr>
            <w:r>
              <w:rPr>
                <w:sz w:val="13"/>
                <w:szCs w:val="13"/>
              </w:rPr>
              <w:t xml:space="preserve">22/38 (57.9)</w:t>
            </w:r>
          </w:p>
        </w:tc>
        <w:tc>
          <w:tcPr>
            <w:tcW w:type="dxa" w:w="1768"/>
          </w:tcPr>
          <w:p>
            <w:pPr>
              <w:pStyle w:val="Compact"/>
              <w:spacing w:before="20" w:after="20" w:line="240" w:lineRule="auto"/>
              <w:jc w:val="center"/>
              <w:keepNext/>
            </w:pPr>
            <w:r>
              <w:rPr>
                <w:sz w:val="13"/>
                <w:szCs w:val="13"/>
              </w:rPr>
              <w:t xml:space="preserve">2.452**</w:t>
            </w:r>
          </w:p>
        </w:tc>
        <w:tc>
          <w:tcPr>
            <w:tcW w:type="dxa" w:w="1151"/>
          </w:tcPr>
          <w:p>
            <w:pPr>
              <w:pStyle w:val="Compact"/>
              <w:spacing w:before="20" w:after="20" w:line="240" w:lineRule="auto"/>
              <w:jc w:val="center"/>
              <w:keepNext/>
            </w:pPr>
            <w:r>
              <w:rPr>
                <w:sz w:val="13"/>
                <w:szCs w:val="13"/>
              </w:rPr>
              <w:t xml:space="preserve">1.158–5.194</w:t>
            </w:r>
          </w:p>
        </w:tc>
        <w:tc>
          <w:tcPr>
            <w:tcW w:type="dxa" w:w="663"/>
          </w:tcPr>
          <w:p>
            <w:pPr>
              <w:pStyle w:val="Compact"/>
              <w:spacing w:before="20" w:after="20" w:line="240" w:lineRule="auto"/>
              <w:jc w:val="center"/>
              <w:keepNext/>
            </w:pPr>
            <w:r>
              <w:rPr>
                <w:sz w:val="13"/>
                <w:szCs w:val="13"/>
              </w:rPr>
              <w:t xml:space="preserve">0.019</w:t>
            </w:r>
          </w:p>
        </w:tc>
      </w:tr>
      <w:tr>
        <w:trPr>
          <w:cantSplit/>
        </w:trPr>
        <w:tc>
          <w:tcPr>
            <w:tcW w:type="dxa" w:w="945"/>
          </w:tcPr>
          <w:p>
            <w:pPr>
              <w:pStyle w:val="Compact"/>
              <w:spacing w:before="20" w:after="20" w:line="240" w:lineRule="auto"/>
              <w:keepNext/>
            </w:pPr>
            <w:r>
              <w:rPr>
                <w:sz w:val="13"/>
                <w:szCs w:val="13"/>
              </w:rPr>
              <w:t xml:space="preserve">2020–2024</w:t>
            </w:r>
          </w:p>
        </w:tc>
        <w:tc>
          <w:tcPr>
            <w:tcW w:type="dxa" w:w="2189"/>
          </w:tcPr>
          <w:p>
            <w:pPr>
              <w:pStyle w:val="Compact"/>
              <w:spacing w:before="20" w:after="20" w:line="240" w:lineRule="auto"/>
              <w:keepNext/>
            </w:pPr>
            <w:r>
              <w:rPr>
                <w:sz w:val="13"/>
                <w:szCs w:val="13"/>
              </w:rPr>
              <w:t xml:space="preserve">206/426 (48.4)</w:t>
            </w:r>
          </w:p>
        </w:tc>
        <w:tc>
          <w:tcPr>
            <w:tcW w:type="dxa" w:w="2356"/>
          </w:tcPr>
          <w:p>
            <w:pPr>
              <w:pStyle w:val="Compact"/>
              <w:spacing w:before="20" w:after="20" w:line="240" w:lineRule="auto"/>
              <w:keepNext/>
            </w:pPr>
            <w:r>
              <w:rPr>
                <w:sz w:val="13"/>
                <w:szCs w:val="13"/>
              </w:rPr>
              <w:t xml:space="preserve">33/58 (56.9)</w:t>
            </w:r>
          </w:p>
        </w:tc>
        <w:tc>
          <w:tcPr>
            <w:tcW w:type="dxa" w:w="1768"/>
          </w:tcPr>
          <w:p>
            <w:pPr>
              <w:pStyle w:val="Compact"/>
              <w:spacing w:before="20" w:after="20" w:line="240" w:lineRule="auto"/>
              <w:jc w:val="center"/>
              <w:keepNext/>
            </w:pPr>
            <w:r>
              <w:rPr>
                <w:sz w:val="13"/>
                <w:szCs w:val="13"/>
              </w:rPr>
              <w:t xml:space="preserve">0.658</w:t>
            </w:r>
          </w:p>
        </w:tc>
        <w:tc>
          <w:tcPr>
            <w:tcW w:type="dxa" w:w="1151"/>
          </w:tcPr>
          <w:p>
            <w:pPr>
              <w:pStyle w:val="Compact"/>
              <w:spacing w:before="20" w:after="20" w:line="240" w:lineRule="auto"/>
              <w:jc w:val="center"/>
              <w:keepNext/>
            </w:pPr>
            <w:r>
              <w:rPr>
                <w:sz w:val="13"/>
                <w:szCs w:val="13"/>
              </w:rPr>
              <w:t xml:space="preserve">0.374–1.160</w:t>
            </w:r>
          </w:p>
        </w:tc>
        <w:tc>
          <w:tcPr>
            <w:tcW w:type="dxa" w:w="663"/>
          </w:tcPr>
          <w:p>
            <w:pPr>
              <w:pStyle w:val="Compact"/>
              <w:spacing w:before="20" w:after="20" w:line="240" w:lineRule="auto"/>
              <w:jc w:val="center"/>
              <w:keepNext/>
            </w:pPr>
            <w:r>
              <w:rPr>
                <w:sz w:val="13"/>
                <w:szCs w:val="13"/>
              </w:rPr>
              <w:t xml:space="preserve">0.148</w:t>
            </w:r>
          </w:p>
        </w:tc>
      </w:tr>
    </w:tbl>
    <w:p>
      <w:pPr>
        <w:pStyle w:val="BodyText"/>
      </w:pPr>
      <w:r>
        <w:rPr>
          <w:i/>
          <w:iCs/>
          <w:sz w:val="20"/>
          <w:szCs w:val="20"/>
        </w:rPr>
        <w:t xml:space="preserve">Note:</w:t>
      </w:r>
      <w:r>
        <w:rPr>
          <w:sz w:val="20"/>
          <w:szCs w:val="20"/>
        </w:rPr>
        <w:t xml:space="preserve"> </w:t>
      </w:r>
      <w:r>
        <w:rPr>
          <w:sz w:val="20"/>
          <w:szCs w:val="20"/>
        </w:rPr>
        <w:t xml:space="preserve">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test of the two interactions gives χ²(2) = 26.43 (p &lt; 0.001), and the McFadden pseudo-R² is 0.069.</w:t>
      </w:r>
    </w:p>
    <w:p>
      <w:pPr>
        <w:pStyle w:val="BodyText"/>
      </w:pPr>
      <w:r>
        <w:t xml:space="preserve">This narrowing reflects movements in opposite directions: the integrated share of bonding applications without the core technologies rose from 27.7% to 57.9% and 56.9%, whereas that of applications containing them fell from 79.6% and 77.1% to 48.4%. Over the same periods, the share of applications containing the core technologies among bonding applications rose from 53.5% to 78.7% and 88.0%, which suggests that invention concentrated on a single core design. The fabrication-process symbols assigned together with the core technologies also differed across periods. In integrated applications containing the core technologies, the most frequent H01L21 symbols were the joining of semiconductor bodies (21/187; 22 applications) and through-substrate vias (21/76898; 21 applications) in 2015–2019 and support using temporary substrates (21/6835; 48 applications) and temporary substrates used as encapsulation process aids (21/568; 43 applications) in 2020–2024. The latter two symbols concern processes for supporting dies and completing them as packages rather than the bonding principle itself. Taken together, these results suggest that inventions containing the core technologies initially incorporated fabrication-process knowledge far more often than other bonding inventions, that this difference is no longer observed in recent filings, and that the fabrication processes assigned together with the core technologies have shifted to peripheral processes such as die support and encapsulation.</w:t>
      </w:r>
    </w:p>
    <w:p>
      <w:pPr>
        <w:pStyle w:val="BodyText"/>
      </w:pPr>
      <w:r>
        <w:t xml:space="preserve">This shift is also evident beyond individual symbols, in the fabrication-process domains as a whole and in the structure of the technology network (Table 11). Measured by the Jaccard coefficient with bonding symbols, coupling with wafer fabrication peaked in the diffusion phase and then dropped sharply (0.306 in the formation phase, 0.598 in the diffusion phase, and 0.159 in the reconfiguration phase), whereas processing apparatus (0.046, 0.059, and 0.176) and packaging-stage processes (0.194, 0.234, and 0.268) rose steadily. From the diffusion phase to the reconfiguration phase, the number of applications in which each domain’s symbols were assigned together with bonding symbols decreased from 119 to 82 for wafer fabrication but increased from 11 to 89 for processing apparatus and from 43 to 139 for packaging-stage processes. Consequently, the fabrication-process domain most strongly coupled with bonding changed from wafer fabrication in the formation and diffusion phases to packaging-stage processes in the reconfiguration phase. In the technology network, the hubs and the linking symbols showed different patterns. The three symbols with the greatest connection strength were core symbols (24/80, 24/08, and 24/05) in all three periods, so the core technologies retained their position as hubs. By contrast, the symbol with the highest betweenness centrality in the entire network in the formation and diffusion phases was the joining of semiconductor bodies (21/187), and wafer fabrication symbols accounted for 53.6% and 42.5%, respectively, of total betweenness centrality. In the reconfiguration phase, this share fell to 9.0%, processing apparatus symbols accounted for 26.1%, and the five fabrication-process symbols with the highest betweenness centrality were four processing apparatus symbols (21/67121, apparatus for making assemblies such as package structures; 21/67766, mechanical parts of transfer devices; 21/67092, apparatus for mechanical treatment; and 21/6835, support using temporary substrates) and one packaging-stage process symbol (21/50). The same pattern held when betweenness centrality was recalculated with the reciprocals of the link weights as distances. In short, while the core technologies remained at the center of the network, the links connecting bonding and fabrication processes shifted from wafer fabrication to processing apparatus and packaging-stage processes.</w:t>
      </w:r>
    </w:p>
    <w:p>
      <w:pPr>
        <w:pStyle w:val="BodyText"/>
        <w:keepNext/>
      </w:pPr>
      <w:r>
        <w:rPr>
          <w:b/>
          <w:bCs/>
          <w:sz w:val="20"/>
          <w:szCs w:val="20"/>
        </w:rPr>
        <w:t xml:space="preserve">Table 11.</w:t>
      </w:r>
      <w:r>
        <w:rPr>
          <w:sz w:val="20"/>
          <w:szCs w:val="20"/>
        </w:rPr>
        <w:t xml:space="preserve"> </w:t>
      </w:r>
      <w:r>
        <w:rPr>
          <w:sz w:val="20"/>
          <w:szCs w:val="20"/>
        </w:rPr>
        <w:t xml:space="preserve">Coupling strength between the fabrication-process domains and bonding symbols, and hubs and linking symbols of the technology network, by period (N = 928; the numbers in parentheses after the Jaccard coefficients are the numbers of applications carrying both the domain’s symbols and bonding symbols).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23"/>
        <w:gridCol w:w="2015"/>
        <w:gridCol w:w="2015"/>
        <w:gridCol w:w="2015"/>
      </w:tblGrid>
      <w:tr>
        <w:trPr>
          <w:tblHeader w:val="on"/>
          <w:cantSplit/>
        </w:trPr>
        <w:tc>
          <w:tcPr>
            <w:tcW w:type="dxa" w:w="3023"/>
            <w:tcBorders>
              <w:bottom w:val="single" w:sz="4" w:space="0" w:color="000000"/>
            </w:tcBorders>
          </w:tcPr>
          <w:p>
            <w:pPr>
              <w:pStyle w:val="Compact"/>
              <w:spacing w:before="20" w:after="20" w:line="240" w:lineRule="auto"/>
              <w:keepNext/>
            </w:pPr>
            <w:r>
              <w:rPr>
                <w:sz w:val="18"/>
                <w:szCs w:val="18"/>
              </w:rPr>
              <w:t xml:space="preserve">Indicator</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Formation (1968–2014)</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Diffusion (2015–2019)</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Reconfiguration (2020–2024)</w:t>
            </w:r>
          </w:p>
        </w:tc>
      </w:tr>
      <w:tr>
        <w:trPr>
          <w:cantSplit/>
        </w:trPr>
        <w:tc>
          <w:tcPr>
            <w:tcW w:type="dxa" w:w="3023"/>
          </w:tcPr>
          <w:p>
            <w:pPr>
              <w:pStyle w:val="Compact"/>
              <w:spacing w:before="20" w:after="20" w:line="240" w:lineRule="auto"/>
              <w:keepNext/>
            </w:pPr>
            <w:r>
              <w:rPr>
                <w:sz w:val="18"/>
                <w:szCs w:val="18"/>
              </w:rPr>
              <w:t xml:space="preserve">Jaccard with bonding symbols: wafer fabrication</w:t>
            </w:r>
          </w:p>
        </w:tc>
        <w:tc>
          <w:tcPr>
            <w:tcW w:type="dxa" w:w="2015"/>
          </w:tcPr>
          <w:p>
            <w:pPr>
              <w:pStyle w:val="Compact"/>
              <w:spacing w:before="20" w:after="20" w:line="240" w:lineRule="auto"/>
              <w:jc w:val="center"/>
              <w:keepNext/>
            </w:pPr>
            <w:r>
              <w:rPr>
                <w:sz w:val="18"/>
                <w:szCs w:val="18"/>
              </w:rPr>
              <w:t xml:space="preserve">0.306 (52)</w:t>
            </w:r>
          </w:p>
        </w:tc>
        <w:tc>
          <w:tcPr>
            <w:tcW w:type="dxa" w:w="2015"/>
          </w:tcPr>
          <w:p>
            <w:pPr>
              <w:pStyle w:val="Compact"/>
              <w:spacing w:before="20" w:after="20" w:line="240" w:lineRule="auto"/>
              <w:jc w:val="center"/>
              <w:keepNext/>
            </w:pPr>
            <w:r>
              <w:rPr>
                <w:sz w:val="18"/>
                <w:szCs w:val="18"/>
              </w:rPr>
              <w:t xml:space="preserve">0.598 (119)</w:t>
            </w:r>
          </w:p>
        </w:tc>
        <w:tc>
          <w:tcPr>
            <w:tcW w:type="dxa" w:w="2015"/>
          </w:tcPr>
          <w:p>
            <w:pPr>
              <w:pStyle w:val="Compact"/>
              <w:spacing w:before="20" w:after="20" w:line="240" w:lineRule="auto"/>
              <w:jc w:val="center"/>
              <w:keepNext/>
            </w:pPr>
            <w:r>
              <w:rPr>
                <w:sz w:val="18"/>
                <w:szCs w:val="18"/>
              </w:rPr>
              <w:t xml:space="preserve">0.159 (82)</w:t>
            </w:r>
          </w:p>
        </w:tc>
      </w:tr>
      <w:tr>
        <w:trPr>
          <w:cantSplit/>
        </w:trPr>
        <w:tc>
          <w:tcPr>
            <w:tcW w:type="dxa" w:w="3023"/>
          </w:tcPr>
          <w:p>
            <w:pPr>
              <w:pStyle w:val="Compact"/>
              <w:spacing w:before="20" w:after="20" w:line="240" w:lineRule="auto"/>
              <w:keepNext/>
            </w:pPr>
            <w:r>
              <w:rPr>
                <w:sz w:val="18"/>
                <w:szCs w:val="18"/>
              </w:rPr>
              <w:t xml:space="preserve">Jaccard with bonding symbols: processing apparatus</w:t>
            </w:r>
          </w:p>
        </w:tc>
        <w:tc>
          <w:tcPr>
            <w:tcW w:type="dxa" w:w="2015"/>
          </w:tcPr>
          <w:p>
            <w:pPr>
              <w:pStyle w:val="Compact"/>
              <w:spacing w:before="20" w:after="20" w:line="240" w:lineRule="auto"/>
              <w:jc w:val="center"/>
              <w:keepNext/>
            </w:pPr>
            <w:r>
              <w:rPr>
                <w:sz w:val="18"/>
                <w:szCs w:val="18"/>
              </w:rPr>
              <w:t xml:space="preserve">0.046 (5)</w:t>
            </w:r>
          </w:p>
        </w:tc>
        <w:tc>
          <w:tcPr>
            <w:tcW w:type="dxa" w:w="2015"/>
          </w:tcPr>
          <w:p>
            <w:pPr>
              <w:pStyle w:val="Compact"/>
              <w:spacing w:before="20" w:after="20" w:line="240" w:lineRule="auto"/>
              <w:jc w:val="center"/>
              <w:keepNext/>
            </w:pPr>
            <w:r>
              <w:rPr>
                <w:sz w:val="18"/>
                <w:szCs w:val="18"/>
              </w:rPr>
              <w:t xml:space="preserve">0.059 (11)</w:t>
            </w:r>
          </w:p>
        </w:tc>
        <w:tc>
          <w:tcPr>
            <w:tcW w:type="dxa" w:w="2015"/>
          </w:tcPr>
          <w:p>
            <w:pPr>
              <w:pStyle w:val="Compact"/>
              <w:spacing w:before="20" w:after="20" w:line="240" w:lineRule="auto"/>
              <w:jc w:val="center"/>
              <w:keepNext/>
            </w:pPr>
            <w:r>
              <w:rPr>
                <w:sz w:val="18"/>
                <w:szCs w:val="18"/>
              </w:rPr>
              <w:t xml:space="preserve">0.176 (89)</w:t>
            </w:r>
          </w:p>
        </w:tc>
      </w:tr>
      <w:tr>
        <w:trPr>
          <w:cantSplit/>
        </w:trPr>
        <w:tc>
          <w:tcPr>
            <w:tcW w:type="dxa" w:w="3023"/>
          </w:tcPr>
          <w:p>
            <w:pPr>
              <w:pStyle w:val="Compact"/>
              <w:spacing w:before="20" w:after="20" w:line="240" w:lineRule="auto"/>
              <w:keepNext/>
            </w:pPr>
            <w:r>
              <w:rPr>
                <w:sz w:val="18"/>
                <w:szCs w:val="18"/>
              </w:rPr>
              <w:t xml:space="preserve">Jaccard with bonding symbols: packaging-stage processes</w:t>
            </w:r>
          </w:p>
        </w:tc>
        <w:tc>
          <w:tcPr>
            <w:tcW w:type="dxa" w:w="2015"/>
          </w:tcPr>
          <w:p>
            <w:pPr>
              <w:pStyle w:val="Compact"/>
              <w:spacing w:before="20" w:after="20" w:line="240" w:lineRule="auto"/>
              <w:jc w:val="center"/>
              <w:keepNext/>
            </w:pPr>
            <w:r>
              <w:rPr>
                <w:sz w:val="18"/>
                <w:szCs w:val="18"/>
              </w:rPr>
              <w:t xml:space="preserve">0.194 (21)</w:t>
            </w:r>
          </w:p>
        </w:tc>
        <w:tc>
          <w:tcPr>
            <w:tcW w:type="dxa" w:w="2015"/>
          </w:tcPr>
          <w:p>
            <w:pPr>
              <w:pStyle w:val="Compact"/>
              <w:spacing w:before="20" w:after="20" w:line="240" w:lineRule="auto"/>
              <w:jc w:val="center"/>
              <w:keepNext/>
            </w:pPr>
            <w:r>
              <w:rPr>
                <w:sz w:val="18"/>
                <w:szCs w:val="18"/>
              </w:rPr>
              <w:t xml:space="preserve">0.234 (43)</w:t>
            </w:r>
          </w:p>
        </w:tc>
        <w:tc>
          <w:tcPr>
            <w:tcW w:type="dxa" w:w="2015"/>
          </w:tcPr>
          <w:p>
            <w:pPr>
              <w:pStyle w:val="Compact"/>
              <w:spacing w:before="20" w:after="20" w:line="240" w:lineRule="auto"/>
              <w:jc w:val="center"/>
              <w:keepNext/>
            </w:pPr>
            <w:r>
              <w:rPr>
                <w:sz w:val="18"/>
                <w:szCs w:val="18"/>
              </w:rPr>
              <w:t xml:space="preserve">0.268 (139)</w:t>
            </w:r>
          </w:p>
        </w:tc>
      </w:tr>
      <w:tr>
        <w:trPr>
          <w:cantSplit/>
        </w:trPr>
        <w:tc>
          <w:tcPr>
            <w:tcW w:type="dxa" w:w="3023"/>
          </w:tcPr>
          <w:p>
            <w:pPr>
              <w:pStyle w:val="Compact"/>
              <w:spacing w:before="20" w:after="20" w:line="240" w:lineRule="auto"/>
              <w:keepNext/>
            </w:pPr>
            <w:r>
              <w:rPr>
                <w:sz w:val="18"/>
                <w:szCs w:val="18"/>
              </w:rPr>
              <w:t xml:space="preserve">Share of betweenness centrality (%): wafer fabrication</w:t>
            </w:r>
          </w:p>
        </w:tc>
        <w:tc>
          <w:tcPr>
            <w:tcW w:type="dxa" w:w="2015"/>
          </w:tcPr>
          <w:p>
            <w:pPr>
              <w:pStyle w:val="Compact"/>
              <w:spacing w:before="20" w:after="20" w:line="240" w:lineRule="auto"/>
              <w:jc w:val="center"/>
              <w:keepNext/>
            </w:pPr>
            <w:r>
              <w:rPr>
                <w:sz w:val="18"/>
                <w:szCs w:val="18"/>
              </w:rPr>
              <w:t xml:space="preserve">53.6</w:t>
            </w:r>
          </w:p>
        </w:tc>
        <w:tc>
          <w:tcPr>
            <w:tcW w:type="dxa" w:w="2015"/>
          </w:tcPr>
          <w:p>
            <w:pPr>
              <w:pStyle w:val="Compact"/>
              <w:spacing w:before="20" w:after="20" w:line="240" w:lineRule="auto"/>
              <w:jc w:val="center"/>
              <w:keepNext/>
            </w:pPr>
            <w:r>
              <w:rPr>
                <w:sz w:val="18"/>
                <w:szCs w:val="18"/>
              </w:rPr>
              <w:t xml:space="preserve">42.5</w:t>
            </w:r>
          </w:p>
        </w:tc>
        <w:tc>
          <w:tcPr>
            <w:tcW w:type="dxa" w:w="2015"/>
          </w:tcPr>
          <w:p>
            <w:pPr>
              <w:pStyle w:val="Compact"/>
              <w:spacing w:before="20" w:after="20" w:line="240" w:lineRule="auto"/>
              <w:jc w:val="center"/>
              <w:keepNext/>
            </w:pPr>
            <w:r>
              <w:rPr>
                <w:sz w:val="18"/>
                <w:szCs w:val="18"/>
              </w:rPr>
              <w:t xml:space="preserve">9.0</w:t>
            </w:r>
          </w:p>
        </w:tc>
      </w:tr>
      <w:tr>
        <w:trPr>
          <w:cantSplit/>
        </w:trPr>
        <w:tc>
          <w:tcPr>
            <w:tcW w:type="dxa" w:w="3023"/>
          </w:tcPr>
          <w:p>
            <w:pPr>
              <w:pStyle w:val="Compact"/>
              <w:spacing w:before="20" w:after="20" w:line="240" w:lineRule="auto"/>
              <w:keepNext/>
            </w:pPr>
            <w:r>
              <w:rPr>
                <w:sz w:val="18"/>
                <w:szCs w:val="18"/>
              </w:rPr>
              <w:t xml:space="preserve">Share of betweenness centrality (%): processing apparatus</w:t>
            </w:r>
          </w:p>
        </w:tc>
        <w:tc>
          <w:tcPr>
            <w:tcW w:type="dxa" w:w="2015"/>
          </w:tcPr>
          <w:p>
            <w:pPr>
              <w:pStyle w:val="Compact"/>
              <w:spacing w:before="20" w:after="20" w:line="240" w:lineRule="auto"/>
              <w:jc w:val="center"/>
              <w:keepNext/>
            </w:pPr>
            <w:r>
              <w:rPr>
                <w:sz w:val="18"/>
                <w:szCs w:val="18"/>
              </w:rPr>
              <w:t xml:space="preserve">0.0</w:t>
            </w:r>
          </w:p>
        </w:tc>
        <w:tc>
          <w:tcPr>
            <w:tcW w:type="dxa" w:w="2015"/>
          </w:tcPr>
          <w:p>
            <w:pPr>
              <w:pStyle w:val="Compact"/>
              <w:spacing w:before="20" w:after="20" w:line="240" w:lineRule="auto"/>
              <w:jc w:val="center"/>
              <w:keepNext/>
            </w:pPr>
            <w:r>
              <w:rPr>
                <w:sz w:val="18"/>
                <w:szCs w:val="18"/>
              </w:rPr>
              <w:t xml:space="preserve">1.8</w:t>
            </w:r>
          </w:p>
        </w:tc>
        <w:tc>
          <w:tcPr>
            <w:tcW w:type="dxa" w:w="2015"/>
          </w:tcPr>
          <w:p>
            <w:pPr>
              <w:pStyle w:val="Compact"/>
              <w:spacing w:before="20" w:after="20" w:line="240" w:lineRule="auto"/>
              <w:jc w:val="center"/>
              <w:keepNext/>
            </w:pPr>
            <w:r>
              <w:rPr>
                <w:sz w:val="18"/>
                <w:szCs w:val="18"/>
              </w:rPr>
              <w:t xml:space="preserve">26.1</w:t>
            </w:r>
          </w:p>
        </w:tc>
      </w:tr>
      <w:tr>
        <w:trPr>
          <w:cantSplit/>
        </w:trPr>
        <w:tc>
          <w:tcPr>
            <w:tcW w:type="dxa" w:w="3023"/>
          </w:tcPr>
          <w:p>
            <w:pPr>
              <w:pStyle w:val="Compact"/>
              <w:spacing w:before="20" w:after="20" w:line="240" w:lineRule="auto"/>
              <w:keepNext/>
            </w:pPr>
            <w:r>
              <w:rPr>
                <w:sz w:val="18"/>
                <w:szCs w:val="18"/>
              </w:rPr>
              <w:t xml:space="preserve">Share of betweenness centrality (%): packaging-stage processes</w:t>
            </w:r>
          </w:p>
        </w:tc>
        <w:tc>
          <w:tcPr>
            <w:tcW w:type="dxa" w:w="2015"/>
          </w:tcPr>
          <w:p>
            <w:pPr>
              <w:pStyle w:val="Compact"/>
              <w:spacing w:before="20" w:after="20" w:line="240" w:lineRule="auto"/>
              <w:jc w:val="center"/>
              <w:keepNext/>
            </w:pPr>
            <w:r>
              <w:rPr>
                <w:sz w:val="18"/>
                <w:szCs w:val="18"/>
              </w:rPr>
              <w:t xml:space="preserve">0.3</w:t>
            </w:r>
          </w:p>
        </w:tc>
        <w:tc>
          <w:tcPr>
            <w:tcW w:type="dxa" w:w="2015"/>
          </w:tcPr>
          <w:p>
            <w:pPr>
              <w:pStyle w:val="Compact"/>
              <w:spacing w:before="20" w:after="20" w:line="240" w:lineRule="auto"/>
              <w:jc w:val="center"/>
              <w:keepNext/>
            </w:pPr>
            <w:r>
              <w:rPr>
                <w:sz w:val="18"/>
                <w:szCs w:val="18"/>
              </w:rPr>
              <w:t xml:space="preserve">0.6</w:t>
            </w:r>
          </w:p>
        </w:tc>
        <w:tc>
          <w:tcPr>
            <w:tcW w:type="dxa" w:w="2015"/>
          </w:tcPr>
          <w:p>
            <w:pPr>
              <w:pStyle w:val="Compact"/>
              <w:spacing w:before="20" w:after="20" w:line="240" w:lineRule="auto"/>
              <w:jc w:val="center"/>
              <w:keepNext/>
            </w:pPr>
            <w:r>
              <w:rPr>
                <w:sz w:val="18"/>
                <w:szCs w:val="18"/>
              </w:rPr>
              <w:t xml:space="preserve">7.3</w:t>
            </w:r>
          </w:p>
        </w:tc>
      </w:tr>
      <w:tr>
        <w:trPr>
          <w:cantSplit/>
        </w:trPr>
        <w:tc>
          <w:tcPr>
            <w:tcW w:type="dxa" w:w="3023"/>
          </w:tcPr>
          <w:p>
            <w:pPr>
              <w:pStyle w:val="Compact"/>
              <w:spacing w:before="20" w:after="20" w:line="240" w:lineRule="auto"/>
              <w:keepNext/>
            </w:pPr>
            <w:r>
              <w:rPr>
                <w:sz w:val="18"/>
                <w:szCs w:val="18"/>
              </w:rPr>
              <w:t xml:space="preserve">Share of betweenness centrality (%): bonding symbols (H01L24)</w:t>
            </w:r>
          </w:p>
        </w:tc>
        <w:tc>
          <w:tcPr>
            <w:tcW w:type="dxa" w:w="2015"/>
          </w:tcPr>
          <w:p>
            <w:pPr>
              <w:pStyle w:val="Compact"/>
              <w:spacing w:before="20" w:after="20" w:line="240" w:lineRule="auto"/>
              <w:jc w:val="center"/>
              <w:keepNext/>
            </w:pPr>
            <w:r>
              <w:rPr>
                <w:sz w:val="18"/>
                <w:szCs w:val="18"/>
              </w:rPr>
              <w:t xml:space="preserve">46.1</w:t>
            </w:r>
          </w:p>
        </w:tc>
        <w:tc>
          <w:tcPr>
            <w:tcW w:type="dxa" w:w="2015"/>
          </w:tcPr>
          <w:p>
            <w:pPr>
              <w:pStyle w:val="Compact"/>
              <w:spacing w:before="20" w:after="20" w:line="240" w:lineRule="auto"/>
              <w:jc w:val="center"/>
              <w:keepNext/>
            </w:pPr>
            <w:r>
              <w:rPr>
                <w:sz w:val="18"/>
                <w:szCs w:val="18"/>
              </w:rPr>
              <w:t xml:space="preserve">55.1</w:t>
            </w:r>
          </w:p>
        </w:tc>
        <w:tc>
          <w:tcPr>
            <w:tcW w:type="dxa" w:w="2015"/>
          </w:tcPr>
          <w:p>
            <w:pPr>
              <w:pStyle w:val="Compact"/>
              <w:spacing w:before="20" w:after="20" w:line="240" w:lineRule="auto"/>
              <w:jc w:val="center"/>
              <w:keepNext/>
            </w:pPr>
            <w:r>
              <w:rPr>
                <w:sz w:val="18"/>
                <w:szCs w:val="18"/>
              </w:rPr>
              <w:t xml:space="preserve">57.6</w:t>
            </w:r>
          </w:p>
        </w:tc>
      </w:tr>
      <w:tr>
        <w:trPr>
          <w:cantSplit/>
        </w:trPr>
        <w:tc>
          <w:tcPr>
            <w:tcW w:type="dxa" w:w="3023"/>
          </w:tcPr>
          <w:p>
            <w:pPr>
              <w:pStyle w:val="Compact"/>
              <w:spacing w:before="20" w:after="20" w:line="240" w:lineRule="auto"/>
              <w:keepNext/>
            </w:pPr>
            <w:r>
              <w:rPr>
                <w:sz w:val="18"/>
                <w:szCs w:val="18"/>
              </w:rPr>
              <w:t xml:space="preserve">Hubs: top three symbols by connection strength</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24/08, 24/80, 24/05</w:t>
            </w:r>
          </w:p>
        </w:tc>
      </w:tr>
      <w:tr>
        <w:trPr>
          <w:cantSplit/>
        </w:trPr>
        <w:tc>
          <w:tcPr>
            <w:tcW w:type="dxa" w:w="3023"/>
          </w:tcPr>
          <w:p>
            <w:pPr>
              <w:pStyle w:val="Compact"/>
              <w:spacing w:before="20" w:after="20" w:line="240" w:lineRule="auto"/>
              <w:keepNext/>
            </w:pPr>
            <w:r>
              <w:rPr>
                <w:sz w:val="18"/>
                <w:szCs w:val="18"/>
              </w:rPr>
              <w:t xml:space="preserve">Linking symbols: fabrication-process symbols with the highest betweenness centrality</w:t>
            </w:r>
          </w:p>
        </w:tc>
        <w:tc>
          <w:tcPr>
            <w:tcW w:type="dxa" w:w="2015"/>
          </w:tcPr>
          <w:p>
            <w:pPr>
              <w:pStyle w:val="Compact"/>
              <w:spacing w:before="20" w:after="20" w:line="240" w:lineRule="auto"/>
              <w:jc w:val="center"/>
              <w:keepNext/>
            </w:pPr>
            <w:r>
              <w:rPr>
                <w:sz w:val="18"/>
                <w:szCs w:val="18"/>
              </w:rPr>
              <w:t xml:space="preserve">21/187, 21/76251</w:t>
            </w:r>
          </w:p>
        </w:tc>
        <w:tc>
          <w:tcPr>
            <w:tcW w:type="dxa" w:w="2015"/>
          </w:tcPr>
          <w:p>
            <w:pPr>
              <w:pStyle w:val="Compact"/>
              <w:spacing w:before="20" w:after="20" w:line="240" w:lineRule="auto"/>
              <w:jc w:val="center"/>
              <w:keepNext/>
            </w:pPr>
            <w:r>
              <w:rPr>
                <w:sz w:val="18"/>
                <w:szCs w:val="18"/>
              </w:rPr>
              <w:t xml:space="preserve">21/187, 21/2007</w:t>
            </w:r>
          </w:p>
        </w:tc>
        <w:tc>
          <w:tcPr>
            <w:tcW w:type="dxa" w:w="2015"/>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Note:</w:t>
      </w:r>
      <w:r>
        <w:rPr>
          <w:sz w:val="20"/>
          <w:szCs w:val="20"/>
        </w:rPr>
        <w:t xml:space="preserve"> </w:t>
      </w:r>
      <w:r>
        <w:rPr>
          <w:sz w:val="20"/>
          <w:szCs w:val="20"/>
        </w:rPr>
        <w:t xml:space="preserve">The Jaccard coefficient is the number of applications carrying both the domain’s symbols and bonding symbols divided by the number of applications carrying either. The share of betweenness centrality is the sum of the betweenness centralities of each domain’s symbols as a percentage of the network total in each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bookmarkEnd w:id="45"/>
    <w:bookmarkStart w:id="46" w:name="robustness-checks"/>
    <w:p>
      <w:pPr>
        <w:pStyle w:val="Heading3"/>
      </w:pPr>
      <w:r>
        <w:t xml:space="preserve">5.4 Robustness checks</w:t>
      </w:r>
    </w:p>
    <w:p>
      <w:pPr>
        <w:pStyle w:val="FirstParagraph"/>
      </w:pPr>
      <w:r>
        <w:t xml:space="preserve">To check whether these results depend on the sample and variable definitions, the models were re-estimated with alternative samples and variable definitions. Table 12 compares the key coefficients of the multinomial logit, and Table 13 compares the period-specific odds ratios of the core technology model; the main coefficients and standard errors of the multinomial logit re-estimations are presented in Appendix A.</w:t>
      </w:r>
    </w:p>
    <w:p>
      <w:pPr>
        <w:pStyle w:val="BodyText"/>
        <w:keepNext/>
      </w:pPr>
      <w:r>
        <w:rPr>
          <w:b/>
          <w:bCs/>
          <w:sz w:val="20"/>
          <w:szCs w:val="20"/>
        </w:rPr>
        <w:t xml:space="preserve">Table 12.</w:t>
      </w:r>
      <w:r>
        <w:rPr>
          <w:sz w:val="20"/>
          <w:szCs w:val="20"/>
        </w:rPr>
        <w:t xml:space="preserve"> </w:t>
      </w:r>
      <w:r>
        <w:rPr>
          <w:sz w:val="20"/>
          <w:szCs w:val="20"/>
        </w:rPr>
        <w:t xml:space="preserve">Comparison of the re-estimation results of the multinomial logit (multinomial logit RRRs, base category = bonding-only; filing office dummies included;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709"/>
        <w:gridCol w:w="523"/>
        <w:gridCol w:w="1744"/>
        <w:gridCol w:w="2093"/>
      </w:tblGrid>
      <w:tr>
        <w:trPr>
          <w:tblHeader w:val="on"/>
          <w:cantSplit/>
        </w:trPr>
        <w:tc>
          <w:tcPr>
            <w:tcW w:type="dxa" w:w="4709"/>
            <w:tcBorders>
              <w:bottom w:val="single" w:sz="4" w:space="0" w:color="000000"/>
            </w:tcBorders>
          </w:tcPr>
          <w:p>
            <w:pPr>
              <w:pStyle w:val="Compact"/>
              <w:spacing w:before="20" w:after="20" w:line="240" w:lineRule="auto"/>
              <w:keepNext/>
            </w:pPr>
            <w:r>
              <w:rPr>
                <w:sz w:val="16"/>
                <w:szCs w:val="16"/>
              </w:rPr>
              <w:t xml:space="preserve">Sample or variable</w:t>
            </w:r>
          </w:p>
        </w:tc>
        <w:tc>
          <w:tcPr>
            <w:tcW w:type="dxa" w:w="523"/>
            <w:tcBorders>
              <w:bottom w:val="single" w:sz="4" w:space="0" w:color="000000"/>
            </w:tcBorders>
          </w:tcPr>
          <w:p>
            <w:pPr>
              <w:pStyle w:val="Compact"/>
              <w:spacing w:before="20" w:after="20" w:line="240" w:lineRule="auto"/>
              <w:jc w:val="right"/>
              <w:keepNext/>
            </w:pPr>
            <w:r>
              <w:rPr>
                <w:sz w:val="16"/>
                <w:szCs w:val="16"/>
              </w:rPr>
              <w:t xml:space="preserve">N</w:t>
            </w:r>
          </w:p>
        </w:tc>
        <w:tc>
          <w:tcPr>
            <w:tcW w:type="dxa" w:w="1744"/>
            <w:tcBorders>
              <w:bottom w:val="single" w:sz="4" w:space="0" w:color="000000"/>
            </w:tcBorders>
          </w:tcPr>
          <w:p>
            <w:pPr>
              <w:pStyle w:val="Compact"/>
              <w:spacing w:before="20" w:after="20" w:line="240" w:lineRule="auto"/>
              <w:keepNext/>
            </w:pPr>
            <w:r>
              <w:rPr>
                <w:sz w:val="16"/>
                <w:szCs w:val="16"/>
              </w:rPr>
              <w:t xml:space="preserve">Scope → integrated</w:t>
            </w:r>
          </w:p>
        </w:tc>
        <w:tc>
          <w:tcPr>
            <w:tcW w:type="dxa" w:w="2093"/>
            <w:tcBorders>
              <w:bottom w:val="single" w:sz="4" w:space="0" w:color="000000"/>
            </w:tcBorders>
          </w:tcPr>
          <w:p>
            <w:pPr>
              <w:pStyle w:val="Compact"/>
              <w:spacing w:before="20" w:after="20" w:line="240" w:lineRule="auto"/>
              <w:keepNext/>
            </w:pPr>
            <w:r>
              <w:rPr>
                <w:sz w:val="16"/>
                <w:szCs w:val="16"/>
              </w:rPr>
              <w:t xml:space="preserve">Year → process-only</w:t>
            </w:r>
          </w:p>
        </w:tc>
      </w:tr>
      <w:tr>
        <w:trPr>
          <w:cantSplit/>
        </w:trPr>
        <w:tc>
          <w:tcPr>
            <w:tcW w:type="dxa" w:w="4709"/>
          </w:tcPr>
          <w:p>
            <w:pPr>
              <w:pStyle w:val="Compact"/>
              <w:spacing w:before="20" w:after="20" w:line="240" w:lineRule="auto"/>
              <w:keepNext/>
            </w:pPr>
            <w:r>
              <w:rPr>
                <w:sz w:val="16"/>
                <w:szCs w:val="16"/>
              </w:rPr>
              <w:t xml:space="preserve">Baseline (Table 8)</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Baseline + standard errors clustered by title</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Same-title deduplication (one application per title)</w:t>
            </w:r>
          </w:p>
        </w:tc>
        <w:tc>
          <w:tcPr>
            <w:tcW w:type="dxa" w:w="523"/>
          </w:tcPr>
          <w:p>
            <w:pPr>
              <w:pStyle w:val="Compact"/>
              <w:spacing w:before="20" w:after="20" w:line="240" w:lineRule="auto"/>
              <w:jc w:val="right"/>
              <w:keepNext/>
            </w:pPr>
            <w:r>
              <w:rPr>
                <w:sz w:val="16"/>
                <w:szCs w:val="16"/>
              </w:rPr>
              <w:t xml:space="preserve">473</w:t>
            </w:r>
          </w:p>
        </w:tc>
        <w:tc>
          <w:tcPr>
            <w:tcW w:type="dxa" w:w="1744"/>
          </w:tcPr>
          <w:p>
            <w:pPr>
              <w:pStyle w:val="Compact"/>
              <w:spacing w:before="20" w:after="20" w:line="240" w:lineRule="auto"/>
              <w:keepNext/>
            </w:pPr>
            <w:r>
              <w:rPr>
                <w:sz w:val="16"/>
                <w:szCs w:val="16"/>
              </w:rPr>
              <w:t xml:space="preserve">1.295***</w:t>
            </w:r>
          </w:p>
        </w:tc>
        <w:tc>
          <w:tcPr>
            <w:tcW w:type="dxa" w:w="2093"/>
          </w:tcPr>
          <w:p>
            <w:pPr>
              <w:pStyle w:val="Compact"/>
              <w:spacing w:before="20" w:after="20" w:line="240" w:lineRule="auto"/>
              <w:keepNext/>
            </w:pPr>
            <w:r>
              <w:rPr>
                <w:sz w:val="16"/>
                <w:szCs w:val="16"/>
              </w:rPr>
              <w:t xml:space="preserve">0.935***</w:t>
            </w:r>
          </w:p>
        </w:tc>
      </w:tr>
      <w:tr>
        <w:trPr>
          <w:cantSplit/>
        </w:trPr>
        <w:tc>
          <w:tcPr>
            <w:tcW w:type="dxa" w:w="4709"/>
          </w:tcPr>
          <w:p>
            <w:pPr>
              <w:pStyle w:val="Compact"/>
              <w:spacing w:before="20" w:after="20" w:line="240" w:lineRule="auto"/>
              <w:keepNext/>
            </w:pPr>
            <w:r>
              <w:rPr>
                <w:sz w:val="16"/>
                <w:szCs w:val="16"/>
              </w:rPr>
              <w:t xml:space="preserve">Narrow fabrication-process definition (packaging-stage processes excluded)</w:t>
            </w:r>
          </w:p>
        </w:tc>
        <w:tc>
          <w:tcPr>
            <w:tcW w:type="dxa" w:w="523"/>
          </w:tcPr>
          <w:p>
            <w:pPr>
              <w:pStyle w:val="Compact"/>
              <w:spacing w:before="20" w:after="20" w:line="240" w:lineRule="auto"/>
              <w:jc w:val="right"/>
              <w:keepNext/>
            </w:pPr>
            <w:r>
              <w:rPr>
                <w:sz w:val="16"/>
                <w:szCs w:val="16"/>
              </w:rPr>
              <w:t xml:space="preserve">908</w:t>
            </w:r>
          </w:p>
        </w:tc>
        <w:tc>
          <w:tcPr>
            <w:tcW w:type="dxa" w:w="1744"/>
          </w:tcPr>
          <w:p>
            <w:pPr>
              <w:pStyle w:val="Compact"/>
              <w:spacing w:before="20" w:after="20" w:line="240" w:lineRule="auto"/>
              <w:keepNext/>
            </w:pPr>
            <w:r>
              <w:rPr>
                <w:sz w:val="16"/>
                <w:szCs w:val="16"/>
              </w:rPr>
              <w:t xml:space="preserve">1.352***</w:t>
            </w:r>
          </w:p>
        </w:tc>
        <w:tc>
          <w:tcPr>
            <w:tcW w:type="dxa" w:w="2093"/>
          </w:tcPr>
          <w:p>
            <w:pPr>
              <w:pStyle w:val="Compact"/>
              <w:spacing w:before="20" w:after="20" w:line="240" w:lineRule="auto"/>
              <w:keepNext/>
            </w:pPr>
            <w:r>
              <w:rPr>
                <w:sz w:val="16"/>
                <w:szCs w:val="16"/>
              </w:rPr>
              <w:t xml:space="preserve">0.898***</w:t>
            </w:r>
          </w:p>
        </w:tc>
      </w:tr>
      <w:tr>
        <w:trPr>
          <w:cantSplit/>
        </w:trPr>
        <w:tc>
          <w:tcPr>
            <w:tcW w:type="dxa" w:w="4709"/>
          </w:tcPr>
          <w:p>
            <w:pPr>
              <w:pStyle w:val="Compact"/>
              <w:spacing w:before="20" w:after="20" w:line="240" w:lineRule="auto"/>
              <w:keepNext/>
            </w:pPr>
            <w:r>
              <w:rPr>
                <w:sz w:val="16"/>
                <w:szCs w:val="16"/>
              </w:rPr>
              <w:t xml:space="preserve">Irrelevant uses excluded (68 applications)</w:t>
            </w:r>
          </w:p>
        </w:tc>
        <w:tc>
          <w:tcPr>
            <w:tcW w:type="dxa" w:w="523"/>
          </w:tcPr>
          <w:p>
            <w:pPr>
              <w:pStyle w:val="Compact"/>
              <w:spacing w:before="20" w:after="20" w:line="240" w:lineRule="auto"/>
              <w:jc w:val="right"/>
              <w:keepNext/>
            </w:pPr>
            <w:r>
              <w:rPr>
                <w:sz w:val="16"/>
                <w:szCs w:val="16"/>
              </w:rPr>
              <w:t xml:space="preserve">860</w:t>
            </w:r>
          </w:p>
        </w:tc>
        <w:tc>
          <w:tcPr>
            <w:tcW w:type="dxa" w:w="1744"/>
          </w:tcPr>
          <w:p>
            <w:pPr>
              <w:pStyle w:val="Compact"/>
              <w:spacing w:before="20" w:after="20" w:line="240" w:lineRule="auto"/>
              <w:keepNext/>
            </w:pPr>
            <w:r>
              <w:rPr>
                <w:sz w:val="16"/>
                <w:szCs w:val="16"/>
              </w:rPr>
              <w:t xml:space="preserve">1.384***</w:t>
            </w:r>
          </w:p>
        </w:tc>
        <w:tc>
          <w:tcPr>
            <w:tcW w:type="dxa" w:w="2093"/>
          </w:tcPr>
          <w:p>
            <w:pPr>
              <w:pStyle w:val="Compact"/>
              <w:spacing w:before="20" w:after="20" w:line="240" w:lineRule="auto"/>
              <w:keepNext/>
            </w:pPr>
            <w:r>
              <w:rPr>
                <w:sz w:val="16"/>
                <w:szCs w:val="16"/>
              </w:rPr>
              <w:t xml:space="preserve">0.820***</w:t>
            </w:r>
          </w:p>
        </w:tc>
      </w:tr>
      <w:tr>
        <w:trPr>
          <w:cantSplit/>
        </w:trPr>
        <w:tc>
          <w:tcPr>
            <w:tcW w:type="dxa" w:w="4709"/>
          </w:tcPr>
          <w:p>
            <w:pPr>
              <w:pStyle w:val="Compact"/>
              <w:spacing w:before="20" w:after="20" w:line="240" w:lineRule="auto"/>
              <w:keepNext/>
            </w:pPr>
            <w:r>
              <w:rPr>
                <w:i/>
                <w:iCs/>
                <w:sz w:val="16"/>
                <w:szCs w:val="16"/>
              </w:rPr>
              <w:t xml:space="preserve">hybrid bonding</w:t>
            </w:r>
            <w:r>
              <w:rPr>
                <w:sz w:val="16"/>
                <w:szCs w:val="16"/>
              </w:rPr>
              <w:t xml:space="preserve"> </w:t>
            </w:r>
            <w:r>
              <w:rPr>
                <w:sz w:val="16"/>
                <w:szCs w:val="16"/>
              </w:rPr>
              <w:t xml:space="preserve">sample (title-based)</w:t>
            </w:r>
          </w:p>
        </w:tc>
        <w:tc>
          <w:tcPr>
            <w:tcW w:type="dxa" w:w="523"/>
          </w:tcPr>
          <w:p>
            <w:pPr>
              <w:pStyle w:val="Compact"/>
              <w:spacing w:before="20" w:after="20" w:line="240" w:lineRule="auto"/>
              <w:jc w:val="right"/>
              <w:keepNext/>
            </w:pPr>
            <w:r>
              <w:rPr>
                <w:sz w:val="16"/>
                <w:szCs w:val="16"/>
              </w:rPr>
              <w:t xml:space="preserve">467</w:t>
            </w:r>
          </w:p>
        </w:tc>
        <w:tc>
          <w:tcPr>
            <w:tcW w:type="dxa" w:w="1744"/>
          </w:tcPr>
          <w:p>
            <w:pPr>
              <w:pStyle w:val="Compact"/>
              <w:spacing w:before="20" w:after="20" w:line="240" w:lineRule="auto"/>
              <w:keepNext/>
            </w:pPr>
            <w:r>
              <w:rPr>
                <w:sz w:val="16"/>
                <w:szCs w:val="16"/>
              </w:rPr>
              <w:t xml:space="preserve">1.485***</w:t>
            </w:r>
          </w:p>
        </w:tc>
        <w:tc>
          <w:tcPr>
            <w:tcW w:type="dxa" w:w="2093"/>
          </w:tcPr>
          <w:p>
            <w:pPr>
              <w:pStyle w:val="Compact"/>
              <w:spacing w:before="20" w:after="20" w:line="240" w:lineRule="auto"/>
              <w:keepNext/>
            </w:pPr>
            <w:r>
              <w:rPr>
                <w:sz w:val="16"/>
                <w:szCs w:val="16"/>
              </w:rPr>
              <w:t xml:space="preserve">1.029</w:t>
            </w:r>
          </w:p>
        </w:tc>
      </w:tr>
    </w:tbl>
    <w:p>
      <w:pPr>
        <w:pStyle w:val="BodyText"/>
      </w:pPr>
      <w:r>
        <w:rPr>
          <w:i/>
          <w:iCs/>
          <w:sz w:val="20"/>
          <w:szCs w:val="20"/>
        </w:rPr>
        <w:t xml:space="preserve">Note:</w:t>
      </w:r>
      <w:r>
        <w:rPr>
          <w:sz w:val="20"/>
          <w:szCs w:val="20"/>
        </w:rPr>
        <w:t xml:space="preserve"> </w:t>
      </w:r>
      <w:r>
        <w:rPr>
          <w:sz w:val="20"/>
          <w:szCs w:val="20"/>
        </w:rPr>
        <w:t xml:space="preserve">In the clustered standard error row, the point estimates are identical to the baseline, and only the significance is based on clustering by title. The standard errors, the remaining coefficients, and the exploratory results for the type-minimum-adjusted CPC scope (breadth_adj) are presented in Appendix A.</w:t>
      </w:r>
    </w:p>
    <w:p>
      <w:pPr>
        <w:pStyle w:val="BodyText"/>
      </w:pPr>
      <w:r>
        <w:rPr>
          <w:b/>
          <w:bCs/>
        </w:rPr>
        <w:t xml:space="preserve">Independence of observations.</w:t>
      </w:r>
      <w:r>
        <w:t xml:space="preserve"> </w:t>
      </w:r>
      <w:r>
        <w:t xml:space="preserve">Even when the standard errors were recalculated with applications of the same title grouped into one cluster, both coefficients in Table 12 remained significant at the 1% level. The only coefficient that lost significance was scope → process-only (RRR 0.905, p = 0.29).</w:t>
      </w:r>
    </w:p>
    <w:p>
      <w:pPr>
        <w:pStyle w:val="BodyText"/>
      </w:pPr>
      <w:r>
        <w:rPr>
          <w:b/>
          <w:bCs/>
        </w:rPr>
        <w:t xml:space="preserve">Mechanical component of scope.</w:t>
      </w:r>
      <w:r>
        <w:t xml:space="preserve"> </w:t>
      </w:r>
      <w:r>
        <w:t xml:space="preserve">Because an integrated application by definition carries at least one symbol from each class, its scope cannot be less than two. The positive association observed for the baseline breadth may therefore partly reflect this difference in the minimum number of CPC symbols by type. When the models were re-estimated with the type-minimum-adjusted CPC scope (breadth_adj, Section 4.3), which subtracts one symbol for each class an application carries, the RRR for the integrated type decreased from 1.403 to 1.262, but its direction was maintained (Appendix A). This means that the additional CPC diversity beyond the minimum composition of each type is also associated with the integrated type.</w:t>
      </w:r>
    </w:p>
    <w:p>
      <w:pPr>
        <w:pStyle w:val="BodyText"/>
      </w:pPr>
      <w:r>
        <w:rPr>
          <w:b/>
          <w:bCs/>
        </w:rPr>
        <w:t xml:space="preserve">Same-title duplicates.</w:t>
      </w:r>
      <w:r>
        <w:t xml:space="preserve"> </w:t>
      </w:r>
      <w:r>
        <w:t xml:space="preserve">Keeping only the earliest application among applications with the same title leaves a sample of 473 applications. In this sample as well, the key coefficients of technological scope and filing year both remained significant at the 1% level.</w:t>
      </w:r>
    </w:p>
    <w:p>
      <w:pPr>
        <w:pStyle w:val="BodyText"/>
      </w:pPr>
      <w:r>
        <w:rPr>
          <w:b/>
          <w:bCs/>
        </w:rPr>
        <w:t xml:space="preserve">Definition of fabrication processes.</w:t>
      </w:r>
      <w:r>
        <w:t xml:space="preserve"> </w:t>
      </w:r>
      <w:r>
        <w:t xml:space="preserve">As noted in Section 4.2, H01L21 (fabrication-process classification) also includes packaging-stage fabrication processes. When a narrow definition that excludes these from fabrication processes is applied (excluding 20 applications with no remaining symbols, N = 908), the applications carrying fabrication-process symbols fall to 52.0% of all 928 applications, and the type distribution of the 908 applications changes to 46.8% bonding-only, 37.2% integrated, and 16.0% process-only, making the bonding-only type the most common. Thus, the descriptive finding that the integrated type is the most common depends on the definition, but even under the narrow definition, more than one-third of applications carry symbols of both domains, and the signs and significance of the two key coefficients remain unchanged.</w:t>
      </w:r>
    </w:p>
    <w:p>
      <w:pPr>
        <w:pStyle w:val="BodyText"/>
      </w:pPr>
      <w:r>
        <w:rPr>
          <w:b/>
          <w:bCs/>
        </w:rPr>
        <w:t xml:space="preserve">Precision of the search terms.</w:t>
      </w:r>
      <w:r>
        <w:t xml:space="preserve"> </w:t>
      </w:r>
      <w:r>
        <w:t xml:space="preserve">In the sample excluding the 68 irrelevant uses (N = 860), the type distribution is 47.4% integrated, 35.3% bonding-only, and 17.2% process-only, and all key coefficients are maintained. In the</w:t>
      </w:r>
      <w:r>
        <w:t xml:space="preserve"> </w:t>
      </w:r>
      <w:r>
        <w:rPr>
          <w:i/>
          <w:iCs/>
        </w:rPr>
        <w:t xml:space="preserve">hybrid bonding</w:t>
      </w:r>
      <w:r>
        <w:t xml:space="preserve"> </w:t>
      </w:r>
      <w:r>
        <w:t xml:space="preserve">sample (N = 467), the distribution is 49.5% integrated, 38.3% bonding-only, and 12.2% process-only, and the RRR of technological scope for the integrated type (1.485) remains significant at the 1% level. The year coefficient for the process-only type, however, is not significant in this sample (RRR 1.029), which contains only 30 applications filed up to 2014. A likely reason is that the decline of the process-only type largely reflects a transition from wafer bonding process applications filed when</w:t>
      </w:r>
      <w:r>
        <w:t xml:space="preserve"> </w:t>
      </w:r>
      <w:r>
        <w:rPr>
          <w:i/>
          <w:iCs/>
        </w:rPr>
        <w:t xml:space="preserve">direct bonding</w:t>
      </w:r>
      <w:r>
        <w:t xml:space="preserve"> </w:t>
      </w:r>
      <w:r>
        <w:t xml:space="preserve">was the prevailing term to structural applications filed in the</w:t>
      </w:r>
      <w:r>
        <w:t xml:space="preserve"> </w:t>
      </w:r>
      <w:r>
        <w:rPr>
          <w:i/>
          <w:iCs/>
        </w:rPr>
        <w:t xml:space="preserve">hybrid bonding</w:t>
      </w:r>
      <w:r>
        <w:t xml:space="preserve"> </w:t>
      </w:r>
      <w:r>
        <w:t xml:space="preserve">era, and this sample cannot adequately capture the earlier period.</w:t>
      </w:r>
    </w:p>
    <w:p>
      <w:pPr>
        <w:pStyle w:val="BodyText"/>
      </w:pPr>
      <w:r>
        <w:rPr>
          <w:b/>
          <w:bCs/>
        </w:rPr>
        <w:t xml:space="preserve">Core technology model.</w:t>
      </w:r>
      <w:r>
        <w:t xml:space="preserve"> </w:t>
      </w:r>
      <w:r>
        <w:t xml:space="preserve">To check whether the results of the core technology analysis are due to a particular sample or variable definition, the baseline model (Table 10) was re-estimated in six ways. The model that controls for the number of bonding symbols other than the core symbols checks whether the association of the core technologies merely reflects a characteristic of applications that carry many bonding symbols, and the model that restricts the core technologies to 24/08 and 24/80 checks whether the same results hold when the scope of the core technologies is narrowed. The remaining four check the independence of observations, same-title duplicates, the definition of fabrication processes, and irrelevant uses of the search terms in the same way as for the multinomial logit in Table 12. In all seven estimations in Table 13, the odds ratio for 1968–2014 is significantly greater than 1, the odds ratio for 2020–2024 does not differ significantly from 1, and the ratio between the two (last column) is significantly less than 1. Even when the number of bonding symbols other than the core symbols is controlled for (with its own OR of 1.100, p &lt; 0.01), the period-specific ORs follow the same pattern (8.768, 2.377, and 0.684). The results are weakest in the sample excluding irrelevant uses. In this sample, the odds ratio for 1968–2014 decreases to 3.981 because 28 of the 51 irrelevant applications carrying bonding symbols were applications without the core technologies filed up to 2014, 25 of which were bonding-only. Nevertheless, the odds ratio for 1968–2014 (p &lt; 0.05) and the 2020–2024 interaction (0.185, p &lt; 0.05) are significant in this sample. However, because the odds ratio for 2015–2019 loses significance with the clustered standard errors and in the sample excluding irrelevant uses, this study does not determine conclusively whether the advantage of the core technologies ceased to be significant in the diffusion phase or in the reconfiguration phase.</w:t>
      </w:r>
    </w:p>
    <w:p>
      <w:pPr>
        <w:pStyle w:val="BodyText"/>
        <w:keepNext/>
      </w:pPr>
      <w:r>
        <w:rPr>
          <w:b/>
          <w:bCs/>
          <w:sz w:val="20"/>
          <w:szCs w:val="20"/>
        </w:rPr>
        <w:t xml:space="preserve">Table 13.</w:t>
      </w:r>
      <w:r>
        <w:rPr>
          <w:sz w:val="20"/>
          <w:szCs w:val="20"/>
        </w:rPr>
        <w:t xml:space="preserve"> </w:t>
      </w:r>
      <w:r>
        <w:rPr>
          <w:sz w:val="20"/>
          <w:szCs w:val="20"/>
        </w:rPr>
        <w:t xml:space="preserve">Comparison of the re-estimation results of the core technology model (applications with H01L24 symbols; period-specific odds ratios of the core technologies; the last column is the 2020–2024 interaction, i.e., the multiple relative to 1968–2014; filing office dummies included;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532"/>
        <w:gridCol w:w="461"/>
        <w:gridCol w:w="1186"/>
        <w:gridCol w:w="1186"/>
        <w:gridCol w:w="1186"/>
        <w:gridCol w:w="1521"/>
      </w:tblGrid>
      <w:tr>
        <w:trPr>
          <w:tblHeader w:val="on"/>
          <w:cantSplit/>
        </w:trPr>
        <w:tc>
          <w:tcPr>
            <w:tcW w:type="dxa" w:w="3532"/>
            <w:tcBorders>
              <w:bottom w:val="single" w:sz="4" w:space="0" w:color="000000"/>
            </w:tcBorders>
          </w:tcPr>
          <w:p>
            <w:pPr>
              <w:pStyle w:val="Compact"/>
              <w:spacing w:before="20" w:after="20" w:line="240" w:lineRule="auto"/>
              <w:keepNext/>
            </w:pPr>
            <w:r>
              <w:rPr>
                <w:sz w:val="13"/>
                <w:szCs w:val="13"/>
              </w:rPr>
              <w:t xml:space="preserve">Sample or variable</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1968–2014</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21"/>
            <w:tcBorders>
              <w:bottom w:val="single" w:sz="4" w:space="0" w:color="000000"/>
            </w:tcBorders>
          </w:tcPr>
          <w:p>
            <w:pPr>
              <w:pStyle w:val="Compact"/>
              <w:spacing w:before="20" w:after="20" w:line="240" w:lineRule="auto"/>
              <w:jc w:val="center"/>
              <w:keepNext/>
            </w:pPr>
            <w:r>
              <w:rPr>
                <w:sz w:val="13"/>
                <w:szCs w:val="13"/>
              </w:rPr>
              <w:t xml:space="preserve">2020–2024 interaction</w:t>
            </w:r>
          </w:p>
        </w:tc>
      </w:tr>
      <w:tr>
        <w:trPr>
          <w:cantSplit/>
        </w:trPr>
        <w:tc>
          <w:tcPr>
            <w:tcW w:type="dxa" w:w="3532"/>
          </w:tcPr>
          <w:p>
            <w:pPr>
              <w:pStyle w:val="Compact"/>
              <w:spacing w:before="20" w:after="20" w:line="240" w:lineRule="auto"/>
              <w:keepNext/>
            </w:pPr>
            <w:r>
              <w:rPr>
                <w:sz w:val="13"/>
                <w:szCs w:val="13"/>
              </w:rPr>
              <w:t xml:space="preserve">Baseline (Table 10)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Number of non-core bonding symbols controlled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8.768***</w:t>
            </w:r>
          </w:p>
        </w:tc>
        <w:tc>
          <w:tcPr>
            <w:tcW w:type="dxa" w:w="1186"/>
          </w:tcPr>
          <w:p>
            <w:pPr>
              <w:pStyle w:val="Compact"/>
              <w:spacing w:before="20" w:after="20" w:line="240" w:lineRule="auto"/>
              <w:jc w:val="center"/>
              <w:keepNext/>
            </w:pPr>
            <w:r>
              <w:rPr>
                <w:sz w:val="13"/>
                <w:szCs w:val="13"/>
              </w:rPr>
              <w:t xml:space="preserve">2.377**</w:t>
            </w:r>
          </w:p>
        </w:tc>
        <w:tc>
          <w:tcPr>
            <w:tcW w:type="dxa" w:w="1186"/>
          </w:tcPr>
          <w:p>
            <w:pPr>
              <w:pStyle w:val="Compact"/>
              <w:spacing w:before="20" w:after="20" w:line="240" w:lineRule="auto"/>
              <w:jc w:val="center"/>
              <w:keepNext/>
            </w:pPr>
            <w:r>
              <w:rPr>
                <w:sz w:val="13"/>
                <w:szCs w:val="13"/>
              </w:rPr>
              <w:t xml:space="preserve">0.684</w:t>
            </w:r>
          </w:p>
        </w:tc>
        <w:tc>
          <w:tcPr>
            <w:tcW w:type="dxa" w:w="1521"/>
          </w:tcPr>
          <w:p>
            <w:pPr>
              <w:pStyle w:val="Compact"/>
              <w:spacing w:before="20" w:after="20" w:line="240" w:lineRule="auto"/>
              <w:jc w:val="center"/>
              <w:keepNext/>
            </w:pPr>
            <w:r>
              <w:rPr>
                <w:sz w:val="13"/>
                <w:szCs w:val="13"/>
              </w:rPr>
              <w:t xml:space="preserve">0.078***</w:t>
            </w:r>
          </w:p>
        </w:tc>
      </w:tr>
      <w:tr>
        <w:trPr>
          <w:cantSplit/>
        </w:trPr>
        <w:tc>
          <w:tcPr>
            <w:tcW w:type="dxa" w:w="3532"/>
          </w:tcPr>
          <w:p>
            <w:pPr>
              <w:pStyle w:val="Compact"/>
              <w:spacing w:before="20" w:after="20" w:line="240" w:lineRule="auto"/>
              <w:keepNext/>
            </w:pPr>
            <w:r>
              <w:rPr>
                <w:sz w:val="13"/>
                <w:szCs w:val="13"/>
              </w:rPr>
              <w:t xml:space="preserve">Baseline + standard errors clustered by title</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Same-title deduplication (one application per title)</w:t>
            </w:r>
          </w:p>
        </w:tc>
        <w:tc>
          <w:tcPr>
            <w:tcW w:type="dxa" w:w="461"/>
          </w:tcPr>
          <w:p>
            <w:pPr>
              <w:pStyle w:val="Compact"/>
              <w:spacing w:before="20" w:after="20" w:line="240" w:lineRule="auto"/>
              <w:jc w:val="right"/>
              <w:keepNext/>
            </w:pPr>
            <w:r>
              <w:rPr>
                <w:sz w:val="13"/>
                <w:szCs w:val="13"/>
              </w:rPr>
              <w:t xml:space="preserve">361</w:t>
            </w:r>
          </w:p>
        </w:tc>
        <w:tc>
          <w:tcPr>
            <w:tcW w:type="dxa" w:w="1186"/>
          </w:tcPr>
          <w:p>
            <w:pPr>
              <w:pStyle w:val="Compact"/>
              <w:spacing w:before="20" w:after="20" w:line="240" w:lineRule="auto"/>
              <w:jc w:val="center"/>
              <w:keepNext/>
            </w:pPr>
            <w:r>
              <w:rPr>
                <w:sz w:val="13"/>
                <w:szCs w:val="13"/>
              </w:rPr>
              <w:t xml:space="preserve">6.191***</w:t>
            </w:r>
          </w:p>
        </w:tc>
        <w:tc>
          <w:tcPr>
            <w:tcW w:type="dxa" w:w="1186"/>
          </w:tcPr>
          <w:p>
            <w:pPr>
              <w:pStyle w:val="Compact"/>
              <w:spacing w:before="20" w:after="20" w:line="240" w:lineRule="auto"/>
              <w:jc w:val="center"/>
              <w:keepNext/>
            </w:pPr>
            <w:r>
              <w:rPr>
                <w:sz w:val="13"/>
                <w:szCs w:val="13"/>
              </w:rPr>
              <w:t xml:space="preserve">4.433***</w:t>
            </w:r>
          </w:p>
        </w:tc>
        <w:tc>
          <w:tcPr>
            <w:tcW w:type="dxa" w:w="1186"/>
          </w:tcPr>
          <w:p>
            <w:pPr>
              <w:pStyle w:val="Compact"/>
              <w:spacing w:before="20" w:after="20" w:line="240" w:lineRule="auto"/>
              <w:jc w:val="center"/>
              <w:keepNext/>
            </w:pPr>
            <w:r>
              <w:rPr>
                <w:sz w:val="13"/>
                <w:szCs w:val="13"/>
              </w:rPr>
              <w:t xml:space="preserve">0.814</w:t>
            </w:r>
          </w:p>
        </w:tc>
        <w:tc>
          <w:tcPr>
            <w:tcW w:type="dxa" w:w="1521"/>
          </w:tcPr>
          <w:p>
            <w:pPr>
              <w:pStyle w:val="Compact"/>
              <w:spacing w:before="20" w:after="20" w:line="240" w:lineRule="auto"/>
              <w:jc w:val="center"/>
              <w:keepNext/>
            </w:pPr>
            <w:r>
              <w:rPr>
                <w:sz w:val="13"/>
                <w:szCs w:val="13"/>
              </w:rPr>
              <w:t xml:space="preserve">0.131***</w:t>
            </w:r>
          </w:p>
        </w:tc>
      </w:tr>
      <w:tr>
        <w:trPr>
          <w:cantSplit/>
        </w:trPr>
        <w:tc>
          <w:tcPr>
            <w:tcW w:type="dxa" w:w="3532"/>
          </w:tcPr>
          <w:p>
            <w:pPr>
              <w:pStyle w:val="Compact"/>
              <w:spacing w:before="20" w:after="20" w:line="240" w:lineRule="auto"/>
              <w:keepNext/>
            </w:pPr>
            <w:r>
              <w:rPr>
                <w:sz w:val="13"/>
                <w:szCs w:val="13"/>
              </w:rPr>
              <w:t xml:space="preserve">Narrow fabrication-process definition (packaging-stage processes excluded)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15.334***</w:t>
            </w:r>
          </w:p>
        </w:tc>
        <w:tc>
          <w:tcPr>
            <w:tcW w:type="dxa" w:w="1186"/>
          </w:tcPr>
          <w:p>
            <w:pPr>
              <w:pStyle w:val="Compact"/>
              <w:spacing w:before="20" w:after="20" w:line="240" w:lineRule="auto"/>
              <w:jc w:val="center"/>
              <w:keepNext/>
            </w:pPr>
            <w:r>
              <w:rPr>
                <w:sz w:val="13"/>
                <w:szCs w:val="13"/>
              </w:rPr>
              <w:t xml:space="preserve">3.185***</w:t>
            </w:r>
          </w:p>
        </w:tc>
        <w:tc>
          <w:tcPr>
            <w:tcW w:type="dxa" w:w="1186"/>
          </w:tcPr>
          <w:p>
            <w:pPr>
              <w:pStyle w:val="Compact"/>
              <w:spacing w:before="20" w:after="20" w:line="240" w:lineRule="auto"/>
              <w:jc w:val="center"/>
              <w:keepNext/>
            </w:pPr>
            <w:r>
              <w:rPr>
                <w:sz w:val="13"/>
                <w:szCs w:val="13"/>
              </w:rPr>
              <w:t xml:space="preserve">0.771</w:t>
            </w:r>
          </w:p>
        </w:tc>
        <w:tc>
          <w:tcPr>
            <w:tcW w:type="dxa" w:w="1521"/>
          </w:tcPr>
          <w:p>
            <w:pPr>
              <w:pStyle w:val="Compact"/>
              <w:spacing w:before="20" w:after="20" w:line="240" w:lineRule="auto"/>
              <w:jc w:val="center"/>
              <w:keepNext/>
            </w:pPr>
            <w:r>
              <w:rPr>
                <w:sz w:val="13"/>
                <w:szCs w:val="13"/>
              </w:rPr>
              <w:t xml:space="preserve">0.050***</w:t>
            </w:r>
          </w:p>
        </w:tc>
      </w:tr>
      <w:tr>
        <w:trPr>
          <w:cantSplit/>
        </w:trPr>
        <w:tc>
          <w:tcPr>
            <w:tcW w:type="dxa" w:w="3532"/>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712</w:t>
            </w:r>
          </w:p>
        </w:tc>
        <w:tc>
          <w:tcPr>
            <w:tcW w:type="dxa" w:w="1186"/>
          </w:tcPr>
          <w:p>
            <w:pPr>
              <w:pStyle w:val="Compact"/>
              <w:spacing w:before="20" w:after="20" w:line="240" w:lineRule="auto"/>
              <w:jc w:val="center"/>
              <w:keepNext/>
            </w:pPr>
            <w:r>
              <w:rPr>
                <w:sz w:val="13"/>
                <w:szCs w:val="13"/>
              </w:rPr>
              <w:t xml:space="preserve">3.981**</w:t>
            </w:r>
          </w:p>
        </w:tc>
        <w:tc>
          <w:tcPr>
            <w:tcW w:type="dxa" w:w="1186"/>
          </w:tcPr>
          <w:p>
            <w:pPr>
              <w:pStyle w:val="Compact"/>
              <w:spacing w:before="20" w:after="20" w:line="240" w:lineRule="auto"/>
              <w:jc w:val="center"/>
              <w:keepNext/>
            </w:pPr>
            <w:r>
              <w:rPr>
                <w:sz w:val="13"/>
                <w:szCs w:val="13"/>
              </w:rPr>
              <w:t xml:space="preserve">1.817</w:t>
            </w:r>
          </w:p>
        </w:tc>
        <w:tc>
          <w:tcPr>
            <w:tcW w:type="dxa" w:w="1186"/>
          </w:tcPr>
          <w:p>
            <w:pPr>
              <w:pStyle w:val="Compact"/>
              <w:spacing w:before="20" w:after="20" w:line="240" w:lineRule="auto"/>
              <w:jc w:val="center"/>
              <w:keepNext/>
            </w:pPr>
            <w:r>
              <w:rPr>
                <w:sz w:val="13"/>
                <w:szCs w:val="13"/>
              </w:rPr>
              <w:t xml:space="preserve">0.738</w:t>
            </w:r>
          </w:p>
        </w:tc>
        <w:tc>
          <w:tcPr>
            <w:tcW w:type="dxa" w:w="1521"/>
          </w:tcPr>
          <w:p>
            <w:pPr>
              <w:pStyle w:val="Compact"/>
              <w:spacing w:before="20" w:after="20" w:line="240" w:lineRule="auto"/>
              <w:jc w:val="center"/>
              <w:keepNext/>
            </w:pPr>
            <w:r>
              <w:rPr>
                <w:sz w:val="13"/>
                <w:szCs w:val="13"/>
              </w:rPr>
              <w:t xml:space="preserve">0.185**</w:t>
            </w:r>
          </w:p>
        </w:tc>
      </w:tr>
      <w:tr>
        <w:trPr>
          <w:cantSplit/>
        </w:trPr>
        <w:tc>
          <w:tcPr>
            <w:tcW w:type="dxa" w:w="3532"/>
          </w:tcPr>
          <w:p>
            <w:pPr>
              <w:pStyle w:val="Compact"/>
              <w:spacing w:before="20" w:after="20" w:line="240" w:lineRule="auto"/>
              <w:keepNext/>
            </w:pPr>
            <w:r>
              <w:rPr>
                <w:sz w:val="13"/>
                <w:szCs w:val="13"/>
              </w:rPr>
              <w:t xml:space="preserve">Core technologies restricted to 24/08 and 24/80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14.474***</w:t>
            </w:r>
          </w:p>
        </w:tc>
        <w:tc>
          <w:tcPr>
            <w:tcW w:type="dxa" w:w="1186"/>
          </w:tcPr>
          <w:p>
            <w:pPr>
              <w:pStyle w:val="Compact"/>
              <w:spacing w:before="20" w:after="20" w:line="240" w:lineRule="auto"/>
              <w:jc w:val="center"/>
              <w:keepNext/>
            </w:pPr>
            <w:r>
              <w:rPr>
                <w:sz w:val="13"/>
                <w:szCs w:val="13"/>
              </w:rPr>
              <w:t xml:space="preserve">3.445***</w:t>
            </w:r>
          </w:p>
        </w:tc>
        <w:tc>
          <w:tcPr>
            <w:tcW w:type="dxa" w:w="1186"/>
          </w:tcPr>
          <w:p>
            <w:pPr>
              <w:pStyle w:val="Compact"/>
              <w:spacing w:before="20" w:after="20" w:line="240" w:lineRule="auto"/>
              <w:jc w:val="center"/>
              <w:keepNext/>
            </w:pPr>
            <w:r>
              <w:rPr>
                <w:sz w:val="13"/>
                <w:szCs w:val="13"/>
              </w:rPr>
              <w:t xml:space="preserve">0.732</w:t>
            </w:r>
          </w:p>
        </w:tc>
        <w:tc>
          <w:tcPr>
            <w:tcW w:type="dxa" w:w="1521"/>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Note:</w:t>
      </w:r>
      <w:r>
        <w:rPr>
          <w:sz w:val="20"/>
          <w:szCs w:val="20"/>
        </w:rPr>
        <w:t xml:space="preserve"> </w:t>
      </w:r>
      <w:r>
        <w:rPr>
          <w:sz w:val="20"/>
          <w:szCs w:val="20"/>
        </w:rPr>
        <w:t xml:space="preserve">Under the narrow fabrication-process definition, integrated applications whose only fabrication-process symbols are packaging-stage process symbols are reclassified as bonding-only, so the sample size is unchanged and the number of integrated applications becomes 338. The</w:t>
      </w:r>
      <w:r>
        <w:rPr>
          <w:sz w:val="20"/>
          <w:szCs w:val="20"/>
        </w:rPr>
        <w:t xml:space="preserve"> </w:t>
      </w:r>
      <w:r>
        <w:rPr>
          <w:i/>
          <w:iCs/>
          <w:sz w:val="20"/>
          <w:szCs w:val="20"/>
        </w:rPr>
        <w:t xml:space="preserve">hybrid bonding</w:t>
      </w:r>
      <w:r>
        <w:rPr>
          <w:sz w:val="20"/>
          <w:szCs w:val="20"/>
        </w:rPr>
        <w:t xml:space="preserve"> </w:t>
      </w:r>
      <w:r>
        <w:rPr>
          <w:sz w:val="20"/>
          <w:szCs w:val="20"/>
        </w:rPr>
        <w:t xml:space="preserve">sample was not used for estimation because it contains only 12 bonding applications without the core technologies up to 2019.</w:t>
      </w:r>
    </w:p>
    <w:p>
      <w:pPr>
        <w:pStyle w:val="BodyText"/>
      </w:pPr>
      <w:r>
        <w:t xml:space="preserve">Table 14 summarizes the baseline results for the three research questions and the re-estimation results of this subsection. The key results for RQ1 and RQ3 held in all re-estimations, and the time trend for RQ2 held in all re-estimations except for the</w:t>
      </w:r>
      <w:r>
        <w:t xml:space="preserve"> </w:t>
      </w:r>
      <w:r>
        <w:rPr>
          <w:i/>
          <w:iCs/>
        </w:rPr>
        <w:t xml:space="preserve">hybrid bonding</w:t>
      </w:r>
      <w:r>
        <w:t xml:space="preserve"> </w:t>
      </w:r>
      <w:r>
        <w:t xml:space="preserve">sample, which contains few applications filed up to 2014.</w:t>
      </w:r>
    </w:p>
    <w:p>
      <w:pPr>
        <w:pStyle w:val="BodyText"/>
        <w:keepNext/>
      </w:pPr>
      <w:r>
        <w:rPr>
          <w:b/>
          <w:bCs/>
          <w:sz w:val="20"/>
          <w:szCs w:val="20"/>
        </w:rPr>
        <w:t xml:space="preserve">Table 14.</w:t>
      </w:r>
      <w:r>
        <w:rPr>
          <w:sz w:val="20"/>
          <w:szCs w:val="20"/>
        </w:rPr>
        <w:t xml:space="preserve"> </w:t>
      </w:r>
      <w:r>
        <w:rPr>
          <w:sz w:val="20"/>
          <w:szCs w:val="20"/>
        </w:rPr>
        <w:t xml:space="preserve">Summary of the main results by research question (* p &lt; 0.10, ** p &lt; 0.05, *** p &lt; 0.01; 95% CIs are the exponentiated values of the logit coefficient ± 1.96 × standard error).</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14"/>
        <w:gridCol w:w="2166"/>
        <w:gridCol w:w="2721"/>
        <w:gridCol w:w="2267"/>
      </w:tblGrid>
      <w:tr>
        <w:trPr>
          <w:tblHeader w:val="on"/>
          <w:cantSplit/>
        </w:trPr>
        <w:tc>
          <w:tcPr>
            <w:tcW w:type="dxa" w:w="1914"/>
            <w:tcBorders>
              <w:bottom w:val="single" w:sz="4" w:space="0" w:color="000000"/>
            </w:tcBorders>
          </w:tcPr>
          <w:p>
            <w:pPr>
              <w:pStyle w:val="Compact"/>
              <w:spacing w:before="20" w:after="20" w:line="240" w:lineRule="auto"/>
              <w:keepNext/>
            </w:pPr>
            <w:r>
              <w:rPr>
                <w:sz w:val="18"/>
                <w:szCs w:val="18"/>
              </w:rPr>
              <w:t xml:space="preserve">Research question</w:t>
            </w:r>
          </w:p>
        </w:tc>
        <w:tc>
          <w:tcPr>
            <w:tcW w:type="dxa" w:w="2166"/>
            <w:tcBorders>
              <w:bottom w:val="single" w:sz="4" w:space="0" w:color="000000"/>
            </w:tcBorders>
          </w:tcPr>
          <w:p>
            <w:pPr>
              <w:pStyle w:val="Compact"/>
              <w:spacing w:before="20" w:after="20" w:line="240" w:lineRule="auto"/>
              <w:keepNext/>
            </w:pPr>
            <w:r>
              <w:rPr>
                <w:sz w:val="18"/>
                <w:szCs w:val="18"/>
              </w:rPr>
              <w:t xml:space="preserve">Analysis</w:t>
            </w:r>
          </w:p>
        </w:tc>
        <w:tc>
          <w:tcPr>
            <w:tcW w:type="dxa" w:w="2721"/>
            <w:tcBorders>
              <w:bottom w:val="single" w:sz="4" w:space="0" w:color="000000"/>
            </w:tcBorders>
          </w:tcPr>
          <w:p>
            <w:pPr>
              <w:pStyle w:val="Compact"/>
              <w:spacing w:before="20" w:after="20" w:line="240" w:lineRule="auto"/>
              <w:keepNext/>
            </w:pPr>
            <w:r>
              <w:rPr>
                <w:sz w:val="18"/>
                <w:szCs w:val="18"/>
              </w:rPr>
              <w:t xml:space="preserve">Main results</w:t>
            </w:r>
          </w:p>
        </w:tc>
        <w:tc>
          <w:tcPr>
            <w:tcW w:type="dxa" w:w="2267"/>
            <w:tcBorders>
              <w:bottom w:val="single" w:sz="4" w:space="0" w:color="000000"/>
            </w:tcBorders>
          </w:tcPr>
          <w:p>
            <w:pPr>
              <w:pStyle w:val="Compact"/>
              <w:spacing w:before="20" w:after="20" w:line="240" w:lineRule="auto"/>
              <w:keepNext/>
            </w:pPr>
            <w:r>
              <w:rPr>
                <w:sz w:val="18"/>
                <w:szCs w:val="18"/>
              </w:rPr>
              <w:t xml:space="preserve">Re-estimations</w:t>
            </w:r>
          </w:p>
        </w:tc>
      </w:tr>
      <w:tr>
        <w:trPr>
          <w:cantSplit/>
        </w:trPr>
        <w:tc>
          <w:tcPr>
            <w:tcW w:type="dxa" w:w="1914"/>
          </w:tcPr>
          <w:p>
            <w:pPr>
              <w:pStyle w:val="Compact"/>
              <w:spacing w:before="20" w:after="20" w:line="240" w:lineRule="auto"/>
              <w:keepNext/>
            </w:pPr>
            <w:r>
              <w:rPr>
                <w:sz w:val="18"/>
                <w:szCs w:val="18"/>
              </w:rPr>
              <w:t xml:space="preserve">RQ1 Level and types</w:t>
            </w:r>
          </w:p>
        </w:tc>
        <w:tc>
          <w:tcPr>
            <w:tcW w:type="dxa" w:w="2166"/>
          </w:tcPr>
          <w:p>
            <w:pPr>
              <w:pStyle w:val="Compact"/>
              <w:spacing w:before="20" w:after="20" w:line="240" w:lineRule="auto"/>
              <w:keepNext/>
            </w:pPr>
            <w:r>
              <w:rPr>
                <w:sz w:val="18"/>
                <w:szCs w:val="18"/>
              </w:rPr>
              <w:t xml:space="preserve">Type distribution; multinomial logit (technological scope → integrated)</w:t>
            </w:r>
          </w:p>
        </w:tc>
        <w:tc>
          <w:tcPr>
            <w:tcW w:type="dxa" w:w="2721"/>
          </w:tcPr>
          <w:p>
            <w:pPr>
              <w:pStyle w:val="Compact"/>
              <w:spacing w:before="20" w:after="20" w:line="240" w:lineRule="auto"/>
              <w:keepNext/>
            </w:pPr>
            <w:r>
              <w:rPr>
                <w:sz w:val="18"/>
                <w:szCs w:val="18"/>
              </w:rPr>
              <w:t xml:space="preserve">Integrated 45.8% (narrow definition 37.2%); RRR 1.403*** (95% CI 1.321–1.489; Table 8)</w:t>
            </w:r>
          </w:p>
        </w:tc>
        <w:tc>
          <w:tcPr>
            <w:tcW w:type="dxa" w:w="2267"/>
          </w:tcPr>
          <w:p>
            <w:pPr>
              <w:pStyle w:val="Compact"/>
              <w:spacing w:before="20" w:after="20" w:line="240" w:lineRule="auto"/>
              <w:keepNext/>
            </w:pPr>
            <w:r>
              <w:rPr>
                <w:sz w:val="18"/>
                <w:szCs w:val="18"/>
              </w:rPr>
              <w:t xml:space="preserve">1.295–1.485*** in all re-estimations in Table 12 (compositional association)</w:t>
            </w:r>
          </w:p>
        </w:tc>
      </w:tr>
      <w:tr>
        <w:trPr>
          <w:cantSplit/>
        </w:trPr>
        <w:tc>
          <w:tcPr>
            <w:tcW w:type="dxa" w:w="1914"/>
          </w:tcPr>
          <w:p>
            <w:pPr>
              <w:pStyle w:val="Compact"/>
              <w:spacing w:before="20" w:after="20" w:line="240" w:lineRule="auto"/>
              <w:keepNext/>
            </w:pPr>
            <w:r>
              <w:rPr>
                <w:sz w:val="18"/>
                <w:szCs w:val="18"/>
              </w:rPr>
              <w:t xml:space="preserve">RQ2 Temporal change</w:t>
            </w:r>
          </w:p>
        </w:tc>
        <w:tc>
          <w:tcPr>
            <w:tcW w:type="dxa" w:w="2166"/>
          </w:tcPr>
          <w:p>
            <w:pPr>
              <w:pStyle w:val="Compact"/>
              <w:spacing w:before="20" w:after="20" w:line="240" w:lineRule="auto"/>
              <w:keepNext/>
            </w:pPr>
            <w:r>
              <w:rPr>
                <w:sz w:val="18"/>
                <w:szCs w:val="18"/>
              </w:rPr>
              <w:t xml:space="preserve">Type distribution by period; multinomial logit (filing year → process-only)</w:t>
            </w:r>
          </w:p>
        </w:tc>
        <w:tc>
          <w:tcPr>
            <w:tcW w:type="dxa" w:w="2721"/>
          </w:tcPr>
          <w:p>
            <w:pPr>
              <w:pStyle w:val="Compact"/>
              <w:spacing w:before="20" w:after="20" w:line="240" w:lineRule="auto"/>
              <w:keepNext/>
            </w:pPr>
            <w:r>
              <w:rPr>
                <w:sz w:val="18"/>
                <w:szCs w:val="18"/>
              </w:rPr>
              <w:t xml:space="preserve">Integrated 31.3% → 62.2% → 44.3% (Table 9); RRR 0.913*** (95% CI 0.887–0.940; Table 8); period dummies 0.273***/0.101***; association with technological scope 1.179–1.513*** in all three periods</w:t>
            </w:r>
          </w:p>
        </w:tc>
        <w:tc>
          <w:tcPr>
            <w:tcW w:type="dxa" w:w="2267"/>
          </w:tcPr>
          <w:p>
            <w:pPr>
              <w:pStyle w:val="Compact"/>
              <w:spacing w:before="20" w:after="20" w:line="240" w:lineRule="auto"/>
              <w:keepNext/>
            </w:pPr>
            <w:r>
              <w:rPr>
                <w:sz w:val="18"/>
                <w:szCs w:val="18"/>
              </w:rPr>
              <w:t xml:space="preserve">0.820–0.935*** (Table 12); no time trend identified in the</w:t>
            </w:r>
            <w:r>
              <w:rPr>
                <w:sz w:val="18"/>
                <w:szCs w:val="18"/>
              </w:rPr>
              <w:t xml:space="preserve"> </w:t>
            </w:r>
            <w:r>
              <w:rPr>
                <w:i/>
                <w:iCs/>
                <w:sz w:val="18"/>
                <w:szCs w:val="18"/>
              </w:rPr>
              <w:t xml:space="preserve">hybrid bonding</w:t>
            </w:r>
            <w:r>
              <w:rPr>
                <w:sz w:val="18"/>
                <w:szCs w:val="18"/>
              </w:rPr>
              <w:t xml:space="preserve"> </w:t>
            </w:r>
            <w:r>
              <w:rPr>
                <w:sz w:val="18"/>
                <w:szCs w:val="18"/>
              </w:rPr>
              <w:t xml:space="preserve">sample, which has only 30 applications filed up to 2014</w:t>
            </w:r>
          </w:p>
        </w:tc>
      </w:tr>
      <w:tr>
        <w:trPr>
          <w:cantSplit/>
        </w:trPr>
        <w:tc>
          <w:tcPr>
            <w:tcW w:type="dxa" w:w="1914"/>
          </w:tcPr>
          <w:p>
            <w:pPr>
              <w:pStyle w:val="Compact"/>
              <w:spacing w:before="20" w:after="20" w:line="240" w:lineRule="auto"/>
              <w:keepNext/>
            </w:pPr>
            <w:r>
              <w:rPr>
                <w:sz w:val="18"/>
                <w:szCs w:val="18"/>
              </w:rPr>
              <w:t xml:space="preserve">RQ3 Shift in the structural center</w:t>
            </w:r>
          </w:p>
        </w:tc>
        <w:tc>
          <w:tcPr>
            <w:tcW w:type="dxa" w:w="2166"/>
          </w:tcPr>
          <w:p>
            <w:pPr>
              <w:pStyle w:val="Compact"/>
              <w:spacing w:before="20" w:after="20" w:line="240" w:lineRule="auto"/>
              <w:keepNext/>
            </w:pPr>
            <w:r>
              <w:rPr>
                <w:sz w:val="18"/>
                <w:szCs w:val="18"/>
              </w:rPr>
              <w:t xml:space="preserve">Binary logit (core technologies × filing period); coupling strength and betweenness centrality by domain</w:t>
            </w:r>
          </w:p>
        </w:tc>
        <w:tc>
          <w:tcPr>
            <w:tcW w:type="dxa" w:w="2721"/>
          </w:tcPr>
          <w:p>
            <w:pPr>
              <w:pStyle w:val="Compact"/>
              <w:spacing w:before="20" w:after="20" w:line="240" w:lineRule="auto"/>
              <w:keepNext/>
            </w:pPr>
            <w:r>
              <w:rPr>
                <w:sz w:val="18"/>
                <w:szCs w:val="18"/>
              </w:rPr>
              <w:t xml:space="preserve">Odds ratio of core technologies 11.071*** (95% CI 4.211–29.107) → 2.452** → 0.658 (not significant; Table 10); 2020–2024 interaction 0.059***; fabrication-process domain most strongly coupled with bonding shifted from wafer fabrication to packaging-stage processes (Table 11)</w:t>
            </w:r>
          </w:p>
        </w:tc>
        <w:tc>
          <w:tcPr>
            <w:tcW w:type="dxa" w:w="2267"/>
          </w:tcPr>
          <w:p>
            <w:pPr>
              <w:pStyle w:val="Compact"/>
              <w:spacing w:before="20" w:after="20" w:line="240" w:lineRule="auto"/>
              <w:keepNext/>
            </w:pPr>
            <w:r>
              <w:rPr>
                <w:sz w:val="18"/>
                <w:szCs w:val="18"/>
              </w:rPr>
              <w:t xml:space="preserve">Interaction 0.050–0.185 in all re-estimations, all significant at the 5% level (Table 13)</w:t>
            </w:r>
          </w:p>
        </w:tc>
      </w:tr>
    </w:tbl>
    <w:bookmarkEnd w:id="46"/>
    <w:bookmarkEnd w:id="47"/>
    <w:bookmarkStart w:id="51" w:name="discussion"/>
    <w:p>
      <w:pPr>
        <w:pStyle w:val="Heading2"/>
      </w:pPr>
      <w:r>
        <w:t xml:space="preserve">6. Discussion</w:t>
      </w:r>
    </w:p>
    <w:p>
      <w:pPr>
        <w:pStyle w:val="FirstParagraph"/>
      </w:pPr>
      <w:r>
        <w:t xml:space="preserve">Based on the results in Section 5, this section discusses the theoretical, practical, and policy implications and presents the limitations of the study and directions for future research.</w:t>
      </w:r>
    </w:p>
    <w:bookmarkStart w:id="48" w:name="theoretical-implications"/>
    <w:p>
      <w:pPr>
        <w:pStyle w:val="Heading3"/>
      </w:pPr>
      <w:r>
        <w:t xml:space="preserve">6.1 Theoretical implications</w:t>
      </w:r>
    </w:p>
    <w:p>
      <w:pPr>
        <w:pStyle w:val="FirstParagraph"/>
      </w:pPr>
      <w:r>
        <w:t xml:space="preserve">Corresponding to the three research questions, the results of this study have the following three theoretical implications.</w:t>
      </w:r>
    </w:p>
    <w:p>
      <w:pPr>
        <w:pStyle w:val="BodyText"/>
      </w:pPr>
      <w:r>
        <w:rPr>
          <w:b/>
          <w:bCs/>
        </w:rPr>
        <w:t xml:space="preserve">First, technology convergence occurs not only between different industries but also between process stages within a single industry (RQ1).</w:t>
      </w:r>
      <w:r>
        <w:t xml:space="preserve"> </w:t>
      </w:r>
      <w:r>
        <w:t xml:space="preserve">The existing literature has treated convergence mainly as a phenomenon between industries or between technological fields (Hacklin et al., 2010; Curran and Leker, 2011; Zhang and Zhang, 2025). The results of this study show that the same concept also applies to a boundary within an industry, namely, the boundary between the fabrication-process domain and the bonding domain of semiconductor manufacturing, and that the crossing of this boundary can be observed in individual patents. Of the patents related to hybrid bonding, 45.8% carry symbols of both domains, and even under the narrow definition, the share reaches 37.2%. If industry architecture is the template for the division of labor, as Jacobides et al. (2006) argue, then inventions that begin to incorporate both sides once the interface between stages becomes unstable reflect an expansion of technological interdependence that may precede the reorganization of that template; this study captures this expansion through patent co-classification. Whereas Kapoor (2013) showed that organizational integration persisted amid the division of labor, this study points to a possible technological basis for that integration, namely, that the knowledge of the two domains is being combined within individual inventions. According to the stage logic of convergence (Hacklin et al., 2010), the combination of technologies precedes the combination of organizations; the hypothesis that the distribution of boundary-spanning patents can therefore serve as a leading indicator of changes in organizational boundaries is left for future research.</w:t>
      </w:r>
    </w:p>
    <w:p>
      <w:pPr>
        <w:pStyle w:val="BodyText"/>
      </w:pPr>
      <w:r>
        <w:t xml:space="preserve">This result also has implications for the characteristics of boundary-spanning inventions. In this study, boundary-spanning patents were found to include more diverse technical elements. Whereas Kodama (1992) defined fusion at the level of firms’ R&amp;D organizations and convergence indices operate at the level of fields, this study used patent-level evidence to identify technological diversity as a characteristic of boundary-spanning inventions. This provides one answer to the question raised in Section 2.1, namely, which inventions embody convergence, a question that field-level indicators could hardly address. Applications that span more CPC subgroups are more likely to carry both fabrication-process and bonding symbols, whereas applications with a narrow scope tend to remain within one domain. This association appeared in the formation, diffusion, and reconfiguration phases alike and thus persisted while the center of convergence shifted. This pattern accords with Lerner’s (1994) finding that patent scope has economic value and with Ziedonis’s (2004) explanation that broad portfolios are advantageous in fragmented markets for technology, although the value of patents is not measured in this study. In technologies whose performance and yield depend on the capabilities of adjacent process stages, broad technological diversity may also be related to intellectual property protection strategies (Zhao et al., 2023), and it is one way in which cross-stage convergence manifests itself in patent classification.</w:t>
      </w:r>
    </w:p>
    <w:p>
      <w:pPr>
        <w:pStyle w:val="BodyText"/>
      </w:pPr>
      <w:r>
        <w:rPr>
          <w:b/>
          <w:bCs/>
        </w:rPr>
        <w:t xml:space="preserve">Second, cross-stage convergence did not expand linearly but unfolded through three phases, namely, formation, diffusion, and reconfiguration, during which the center of gravity of filings shifted from fabrication processes toward bonding (RQ2).</w:t>
      </w:r>
      <w:r>
        <w:t xml:space="preserve"> </w:t>
      </w:r>
      <w:r>
        <w:t xml:space="preserve">Table 15 summarizes the results of this study in chronological order. If convergence were understood as a simple process of expansion, the share of boundary-spanning patents would be expected to increase steadily over time. The results, however, show otherwise. In the formation phase (1968–2014), stand-alone fabrication-process inventions, such as those on planarization, surface activation, and wafer bonding, were the most common type (process-only, 43.6%), and inventions dealing with the core of bonding mostly incorporated fabrication-process knowledge as well (OR of the core technologies, 11.071). In the diffusion phase (2015–2019), process inventions were more often classified together with bonding technologies than on their own, and the integrated share peaked at 62.2%. In the reconfiguration phase (2020–2024), the integrated share fell to 44.3%, and the bonding-only share rose to 45.4%. In this phase, applications containing the core technologies did not cross the boundary more often than applications without them (OR 0.658, not significant), and the fabrication processes most often assigned together with the core technologies were die support and encapsulation processes using temporary substrates. Meanwhile, the integrated share of bonding applications without the core technologies rose from 27.7% to 56.9%. The average number of symbols per application points in the same direction: the average number of bonding (H01L24) symbols increased from 3.03 in 1968–2014 to 4.73 in 2015–2019 and then decreased to 3.91 in 2020–2024, whereas that of fabrication-process (H01L21) symbols was 2.12 and 2.23 in the first two periods and then decreased to 1.46.</w:t>
      </w:r>
    </w:p>
    <w:p>
      <w:pPr>
        <w:pStyle w:val="BodyText"/>
        <w:keepNext/>
      </w:pPr>
      <w:r>
        <w:rPr>
          <w:b/>
          <w:bCs/>
          <w:sz w:val="20"/>
          <w:szCs w:val="20"/>
        </w:rPr>
        <w:t xml:space="preserve">Table 15.</w:t>
      </w:r>
      <w:r>
        <w:rPr>
          <w:sz w:val="20"/>
          <w:szCs w:val="20"/>
        </w:rPr>
        <w:t xml:space="preserve"> </w:t>
      </w:r>
      <w:r>
        <w:rPr>
          <w:sz w:val="20"/>
          <w:szCs w:val="20"/>
        </w:rPr>
        <w:t xml:space="preserve">Three phases of cross-stage convergence in hybrid bonding (type shares from Table 9, odds ratios from Table 10, and the share of core technologies and the main fabrication processes from Section 5.3).</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23"/>
        <w:gridCol w:w="1026"/>
        <w:gridCol w:w="864"/>
        <w:gridCol w:w="864"/>
        <w:gridCol w:w="1674"/>
        <w:gridCol w:w="1187"/>
        <w:gridCol w:w="1834"/>
      </w:tblGrid>
      <w:tr>
        <w:trPr>
          <w:tblHeader w:val="on"/>
          <w:cantSplit/>
        </w:trPr>
        <w:tc>
          <w:tcPr>
            <w:tcW w:type="dxa" w:w="1623"/>
            <w:tcBorders>
              <w:bottom w:val="single" w:sz="4" w:space="0" w:color="000000"/>
            </w:tcBorders>
          </w:tcPr>
          <w:p>
            <w:pPr>
              <w:pStyle w:val="Compact"/>
              <w:spacing w:before="20" w:after="20" w:line="240" w:lineRule="auto"/>
              <w:keepNext/>
            </w:pPr>
            <w:r>
              <w:rPr>
                <w:sz w:val="13"/>
                <w:szCs w:val="13"/>
              </w:rPr>
              <w:t xml:space="preserve">Phase (period)</w:t>
            </w:r>
          </w:p>
        </w:tc>
        <w:tc>
          <w:tcPr>
            <w:tcW w:type="dxa" w:w="1026"/>
            <w:tcBorders>
              <w:bottom w:val="single" w:sz="4" w:space="0" w:color="000000"/>
            </w:tcBorders>
          </w:tcPr>
          <w:p>
            <w:pPr>
              <w:pStyle w:val="Compact"/>
              <w:spacing w:before="20" w:after="20" w:line="240" w:lineRule="auto"/>
              <w:jc w:val="right"/>
              <w:keepNext/>
            </w:pPr>
            <w:r>
              <w:rPr>
                <w:sz w:val="13"/>
                <w:szCs w:val="13"/>
              </w:rPr>
              <w:t xml:space="preserve">Integrated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Process-only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Bonding-only (%)</w:t>
            </w:r>
          </w:p>
        </w:tc>
        <w:tc>
          <w:tcPr>
            <w:tcW w:type="dxa" w:w="1674"/>
            <w:tcBorders>
              <w:bottom w:val="single" w:sz="4" w:space="0" w:color="000000"/>
            </w:tcBorders>
          </w:tcPr>
          <w:p>
            <w:pPr>
              <w:pStyle w:val="Compact"/>
              <w:spacing w:before="20" w:after="20" w:line="240" w:lineRule="auto"/>
              <w:jc w:val="right"/>
              <w:keepNext/>
            </w:pPr>
            <w:r>
              <w:rPr>
                <w:sz w:val="13"/>
                <w:szCs w:val="13"/>
              </w:rPr>
              <w:t xml:space="preserve">Share with core technologies (bonding applications, %)</w:t>
            </w:r>
          </w:p>
        </w:tc>
        <w:tc>
          <w:tcPr>
            <w:tcW w:type="dxa" w:w="1187"/>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834"/>
            <w:tcBorders>
              <w:bottom w:val="single" w:sz="4" w:space="0" w:color="000000"/>
            </w:tcBorders>
          </w:tcPr>
          <w:p>
            <w:pPr>
              <w:pStyle w:val="Compact"/>
              <w:spacing w:before="20" w:after="20" w:line="240" w:lineRule="auto"/>
              <w:keepNext/>
            </w:pPr>
            <w:r>
              <w:rPr>
                <w:sz w:val="13"/>
                <w:szCs w:val="13"/>
              </w:rPr>
              <w:t xml:space="preserve">Main fabrication processes combined with core technologies</w:t>
            </w:r>
          </w:p>
        </w:tc>
      </w:tr>
      <w:tr>
        <w:trPr>
          <w:cantSplit/>
        </w:trPr>
        <w:tc>
          <w:tcPr>
            <w:tcW w:type="dxa" w:w="1623"/>
          </w:tcPr>
          <w:p>
            <w:pPr>
              <w:pStyle w:val="Compact"/>
              <w:spacing w:before="20" w:after="20" w:line="240" w:lineRule="auto"/>
              <w:keepNext/>
            </w:pPr>
            <w:r>
              <w:rPr>
                <w:sz w:val="13"/>
                <w:szCs w:val="13"/>
              </w:rPr>
              <w:t xml:space="preserve">Formation (1968–2014)</w:t>
            </w:r>
          </w:p>
        </w:tc>
        <w:tc>
          <w:tcPr>
            <w:tcW w:type="dxa" w:w="1026"/>
          </w:tcPr>
          <w:p>
            <w:pPr>
              <w:pStyle w:val="Compact"/>
              <w:spacing w:before="20" w:after="20" w:line="240" w:lineRule="auto"/>
              <w:jc w:val="right"/>
              <w:keepNext/>
            </w:pPr>
            <w:r>
              <w:rPr>
                <w:sz w:val="13"/>
                <w:szCs w:val="13"/>
              </w:rPr>
              <w:t xml:space="preserve">31.3</w:t>
            </w:r>
          </w:p>
        </w:tc>
        <w:tc>
          <w:tcPr>
            <w:tcW w:type="dxa" w:w="864"/>
          </w:tcPr>
          <w:p>
            <w:pPr>
              <w:pStyle w:val="Compact"/>
              <w:spacing w:before="20" w:after="20" w:line="240" w:lineRule="auto"/>
              <w:jc w:val="right"/>
              <w:keepNext/>
            </w:pPr>
            <w:r>
              <w:rPr>
                <w:sz w:val="13"/>
                <w:szCs w:val="13"/>
              </w:rPr>
              <w:t xml:space="preserve">43.6</w:t>
            </w:r>
          </w:p>
        </w:tc>
        <w:tc>
          <w:tcPr>
            <w:tcW w:type="dxa" w:w="864"/>
          </w:tcPr>
          <w:p>
            <w:pPr>
              <w:pStyle w:val="Compact"/>
              <w:spacing w:before="20" w:after="20" w:line="240" w:lineRule="auto"/>
              <w:jc w:val="right"/>
              <w:keepNext/>
            </w:pPr>
            <w:r>
              <w:rPr>
                <w:sz w:val="13"/>
                <w:szCs w:val="13"/>
              </w:rPr>
              <w:t xml:space="preserve">25.1</w:t>
            </w:r>
          </w:p>
        </w:tc>
        <w:tc>
          <w:tcPr>
            <w:tcW w:type="dxa" w:w="1674"/>
          </w:tcPr>
          <w:p>
            <w:pPr>
              <w:pStyle w:val="Compact"/>
              <w:spacing w:before="20" w:after="20" w:line="240" w:lineRule="auto"/>
              <w:jc w:val="right"/>
              <w:keepNext/>
            </w:pPr>
            <w:r>
              <w:rPr>
                <w:sz w:val="13"/>
                <w:szCs w:val="13"/>
              </w:rPr>
              <w:t xml:space="preserve">53.5</w:t>
            </w:r>
          </w:p>
        </w:tc>
        <w:tc>
          <w:tcPr>
            <w:tcW w:type="dxa" w:w="1187"/>
          </w:tcPr>
          <w:p>
            <w:pPr>
              <w:pStyle w:val="Compact"/>
              <w:spacing w:before="20" w:after="20" w:line="240" w:lineRule="auto"/>
              <w:jc w:val="center"/>
              <w:keepNext/>
            </w:pPr>
            <w:r>
              <w:rPr>
                <w:sz w:val="13"/>
                <w:szCs w:val="13"/>
              </w:rPr>
              <w:t xml:space="preserve">11.071***</w:t>
            </w:r>
          </w:p>
        </w:tc>
        <w:tc>
          <w:tcPr>
            <w:tcW w:type="dxa" w:w="1834"/>
          </w:tcPr>
          <w:p>
            <w:pPr>
              <w:pStyle w:val="Compact"/>
              <w:spacing w:before="20" w:after="20" w:line="240" w:lineRule="auto"/>
              <w:keepNext/>
            </w:pPr>
            <w:r>
              <w:rPr>
                <w:sz w:val="13"/>
                <w:szCs w:val="13"/>
              </w:rPr>
              <w:t xml:space="preserve">—</w:t>
            </w:r>
          </w:p>
        </w:tc>
      </w:tr>
      <w:tr>
        <w:trPr>
          <w:cantSplit/>
        </w:trPr>
        <w:tc>
          <w:tcPr>
            <w:tcW w:type="dxa" w:w="1623"/>
          </w:tcPr>
          <w:p>
            <w:pPr>
              <w:pStyle w:val="Compact"/>
              <w:spacing w:before="20" w:after="20" w:line="240" w:lineRule="auto"/>
              <w:keepNext/>
            </w:pPr>
            <w:r>
              <w:rPr>
                <w:sz w:val="13"/>
                <w:szCs w:val="13"/>
              </w:rPr>
              <w:t xml:space="preserve">Diffusion (2015–2019)</w:t>
            </w:r>
          </w:p>
        </w:tc>
        <w:tc>
          <w:tcPr>
            <w:tcW w:type="dxa" w:w="1026"/>
          </w:tcPr>
          <w:p>
            <w:pPr>
              <w:pStyle w:val="Compact"/>
              <w:spacing w:before="20" w:after="20" w:line="240" w:lineRule="auto"/>
              <w:jc w:val="right"/>
              <w:keepNext/>
            </w:pPr>
            <w:r>
              <w:rPr>
                <w:sz w:val="13"/>
                <w:szCs w:val="13"/>
              </w:rPr>
              <w:t xml:space="preserve">62.2</w:t>
            </w:r>
          </w:p>
        </w:tc>
        <w:tc>
          <w:tcPr>
            <w:tcW w:type="dxa" w:w="864"/>
          </w:tcPr>
          <w:p>
            <w:pPr>
              <w:pStyle w:val="Compact"/>
              <w:spacing w:before="20" w:after="20" w:line="240" w:lineRule="auto"/>
              <w:jc w:val="right"/>
              <w:keepNext/>
            </w:pPr>
            <w:r>
              <w:rPr>
                <w:sz w:val="13"/>
                <w:szCs w:val="13"/>
              </w:rPr>
              <w:t xml:space="preserve">14.8</w:t>
            </w:r>
          </w:p>
        </w:tc>
        <w:tc>
          <w:tcPr>
            <w:tcW w:type="dxa" w:w="864"/>
          </w:tcPr>
          <w:p>
            <w:pPr>
              <w:pStyle w:val="Compact"/>
              <w:spacing w:before="20" w:after="20" w:line="240" w:lineRule="auto"/>
              <w:jc w:val="right"/>
              <w:keepNext/>
            </w:pPr>
            <w:r>
              <w:rPr>
                <w:sz w:val="13"/>
                <w:szCs w:val="13"/>
              </w:rPr>
              <w:t xml:space="preserve">23.0</w:t>
            </w:r>
          </w:p>
        </w:tc>
        <w:tc>
          <w:tcPr>
            <w:tcW w:type="dxa" w:w="1674"/>
          </w:tcPr>
          <w:p>
            <w:pPr>
              <w:pStyle w:val="Compact"/>
              <w:spacing w:before="20" w:after="20" w:line="240" w:lineRule="auto"/>
              <w:jc w:val="right"/>
              <w:keepNext/>
            </w:pPr>
            <w:r>
              <w:rPr>
                <w:sz w:val="13"/>
                <w:szCs w:val="13"/>
              </w:rPr>
              <w:t xml:space="preserve">78.7</w:t>
            </w:r>
          </w:p>
        </w:tc>
        <w:tc>
          <w:tcPr>
            <w:tcW w:type="dxa" w:w="1187"/>
          </w:tcPr>
          <w:p>
            <w:pPr>
              <w:pStyle w:val="Compact"/>
              <w:spacing w:before="20" w:after="20" w:line="240" w:lineRule="auto"/>
              <w:jc w:val="center"/>
              <w:keepNext/>
            </w:pPr>
            <w:r>
              <w:rPr>
                <w:sz w:val="13"/>
                <w:szCs w:val="13"/>
              </w:rPr>
              <w:t xml:space="preserve">2.452**</w:t>
            </w:r>
          </w:p>
        </w:tc>
        <w:tc>
          <w:tcPr>
            <w:tcW w:type="dxa" w:w="1834"/>
          </w:tcPr>
          <w:p>
            <w:pPr>
              <w:pStyle w:val="Compact"/>
              <w:spacing w:before="20" w:after="20" w:line="240" w:lineRule="auto"/>
              <w:keepNext/>
            </w:pPr>
            <w:r>
              <w:rPr>
                <w:sz w:val="13"/>
                <w:szCs w:val="13"/>
              </w:rPr>
              <w:t xml:space="preserve">Joining of semiconductor bodies (21/187), through-substrate vias (21/76898)</w:t>
            </w:r>
          </w:p>
        </w:tc>
      </w:tr>
      <w:tr>
        <w:trPr>
          <w:cantSplit/>
        </w:trPr>
        <w:tc>
          <w:tcPr>
            <w:tcW w:type="dxa" w:w="1623"/>
          </w:tcPr>
          <w:p>
            <w:pPr>
              <w:pStyle w:val="Compact"/>
              <w:spacing w:before="20" w:after="20" w:line="240" w:lineRule="auto"/>
              <w:keepNext/>
            </w:pPr>
            <w:r>
              <w:rPr>
                <w:sz w:val="13"/>
                <w:szCs w:val="13"/>
              </w:rPr>
              <w:t xml:space="preserve">Reconfiguration (2020–2024)</w:t>
            </w:r>
          </w:p>
        </w:tc>
        <w:tc>
          <w:tcPr>
            <w:tcW w:type="dxa" w:w="1026"/>
          </w:tcPr>
          <w:p>
            <w:pPr>
              <w:pStyle w:val="Compact"/>
              <w:spacing w:before="20" w:after="20" w:line="240" w:lineRule="auto"/>
              <w:jc w:val="right"/>
              <w:keepNext/>
            </w:pPr>
            <w:r>
              <w:rPr>
                <w:sz w:val="13"/>
                <w:szCs w:val="13"/>
              </w:rPr>
              <w:t xml:space="preserve">44.3</w:t>
            </w:r>
          </w:p>
        </w:tc>
        <w:tc>
          <w:tcPr>
            <w:tcW w:type="dxa" w:w="864"/>
          </w:tcPr>
          <w:p>
            <w:pPr>
              <w:pStyle w:val="Compact"/>
              <w:spacing w:before="20" w:after="20" w:line="240" w:lineRule="auto"/>
              <w:jc w:val="right"/>
              <w:keepNext/>
            </w:pPr>
            <w:r>
              <w:rPr>
                <w:sz w:val="13"/>
                <w:szCs w:val="13"/>
              </w:rPr>
              <w:t xml:space="preserve">10.4</w:t>
            </w:r>
          </w:p>
        </w:tc>
        <w:tc>
          <w:tcPr>
            <w:tcW w:type="dxa" w:w="864"/>
          </w:tcPr>
          <w:p>
            <w:pPr>
              <w:pStyle w:val="Compact"/>
              <w:spacing w:before="20" w:after="20" w:line="240" w:lineRule="auto"/>
              <w:jc w:val="right"/>
              <w:keepNext/>
            </w:pPr>
            <w:r>
              <w:rPr>
                <w:sz w:val="13"/>
                <w:szCs w:val="13"/>
              </w:rPr>
              <w:t xml:space="preserve">45.4</w:t>
            </w:r>
          </w:p>
        </w:tc>
        <w:tc>
          <w:tcPr>
            <w:tcW w:type="dxa" w:w="1674"/>
          </w:tcPr>
          <w:p>
            <w:pPr>
              <w:pStyle w:val="Compact"/>
              <w:spacing w:before="20" w:after="20" w:line="240" w:lineRule="auto"/>
              <w:jc w:val="right"/>
              <w:keepNext/>
            </w:pPr>
            <w:r>
              <w:rPr>
                <w:sz w:val="13"/>
                <w:szCs w:val="13"/>
              </w:rPr>
              <w:t xml:space="preserve">88.0</w:t>
            </w:r>
          </w:p>
        </w:tc>
        <w:tc>
          <w:tcPr>
            <w:tcW w:type="dxa" w:w="1187"/>
          </w:tcPr>
          <w:p>
            <w:pPr>
              <w:pStyle w:val="Compact"/>
              <w:spacing w:before="20" w:after="20" w:line="240" w:lineRule="auto"/>
              <w:jc w:val="center"/>
              <w:keepNext/>
            </w:pPr>
            <w:r>
              <w:rPr>
                <w:sz w:val="13"/>
                <w:szCs w:val="13"/>
              </w:rPr>
              <w:t xml:space="preserve">0.658</w:t>
            </w:r>
          </w:p>
        </w:tc>
        <w:tc>
          <w:tcPr>
            <w:tcW w:type="dxa" w:w="1834"/>
          </w:tcPr>
          <w:p>
            <w:pPr>
              <w:pStyle w:val="Compact"/>
              <w:spacing w:before="20" w:after="20" w:line="240" w:lineRule="auto"/>
              <w:keepNext/>
            </w:pPr>
            <w:r>
              <w:rPr>
                <w:sz w:val="13"/>
                <w:szCs w:val="13"/>
              </w:rPr>
              <w:t xml:space="preserve">Support using temporary substrates (21/6835), temporary substrates as encapsulation process aids (21/568)</w:t>
            </w:r>
          </w:p>
        </w:tc>
      </w:tr>
    </w:tbl>
    <w:p>
      <w:pPr>
        <w:pStyle w:val="BodyText"/>
      </w:pPr>
      <w:r>
        <w:rPr>
          <w:i/>
          <w:iCs/>
          <w:sz w:val="20"/>
          <w:szCs w:val="20"/>
        </w:rPr>
        <w:t xml:space="preserve">Note:</w:t>
      </w:r>
      <w:r>
        <w:rPr>
          <w:sz w:val="20"/>
          <w:szCs w:val="20"/>
        </w:rPr>
        <w:t xml:space="preserve"> </w:t>
      </w:r>
      <w:r>
        <w:rPr>
          <w:sz w:val="20"/>
          <w:szCs w:val="20"/>
        </w:rPr>
        <w:t xml:space="preserve">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few groups of applications sharing the same title (even the most frequent symbol appears under only five titles).</w:t>
      </w:r>
    </w:p>
    <w:p>
      <w:pPr>
        <w:pStyle w:val="BodyText"/>
      </w:pPr>
      <w:r>
        <w:t xml:space="preserve">Whereas theory views convergence as a staged process moving from knowledge through technologies and applications to industries (Hacklin et al., 2010), temporal changes in the content of convergence have rarely been examined empirically; these results reveal such changes. That is, in hybrid bonding, technology convergence was not a static combination that, once formed, kept expanding but a dynamic process in which the level of convergence and its composition by type varied with the developmental stage of the technology. The background to these phase transitions can be understood more concretely through the following results on the shift in the structural center of convergence.</w:t>
      </w:r>
    </w:p>
    <w:p>
      <w:pPr>
        <w:pStyle w:val="BodyText"/>
      </w:pPr>
      <w:r>
        <w:rPr>
          <w:b/>
          <w:bCs/>
        </w:rPr>
        <w:t xml:space="preserve">Third, the center of convergence shifted from the core technologies to peripheral processes (RQ3).</w:t>
      </w:r>
      <w:r>
        <w:t xml:space="preserve"> </w:t>
      </w:r>
      <w:r>
        <w:t xml:space="preserve">The finding that the integrated-type advantage of applications containing the core technologies was pronounced in the formation phase but was not observed in the reconfiguration phase is consistent with the technology cycle model (Anderson and Tushman, 1990), according to which the interfaces become entrenched once a dominant design has been established and subsequent innovation shifts to incremental improvement within the established design. The increase in the share of bonding applications containing the core technologies from 53.5% to 88.0% can be interpreted as invention concentrating on a single core design, and the finding that inventions dealing with this core no longer incorporate fabrication-process knowledge more often than other bonding inventions is consistent with the logic of Murmann and Frenken (2006) that once the design of a core element has become entrenched, the need to change the elements linked to it decreases. As the use of hybrid bonding expanded from wafer-level to die-level bonding and as HBM and chiplets approached volume production (Lau, 2021, 2022), the point at which the two process stages meet appears to have moved from the bonding principle to processes for handling and stacking dies. The coupling strength of each fabrication-process domain and the betweenness centrality in the technology network show the same change. While the core symbols remained hubs throughout the three periods, the center of the fabrication processes combined with bonding, as well as the links connecting the two, shifted from wafer fabrication to processing apparatus and packaging-stage processes (Section 5.3, Table 11). Here,</w:t>
      </w:r>
      <w:r>
        <w:t xml:space="preserve"> </w:t>
      </w:r>
      <w:r>
        <w:t xml:space="preserve">“peripheral”</w:t>
      </w:r>
      <w:r>
        <w:t xml:space="preserve"> </w:t>
      </w:r>
      <w:r>
        <w:t xml:space="preserve">has the structural meaning of lying outside the core bonding symbols; it does not mean that these processes are less important in volume production. Cross-stage convergence thus did not accumulate through more patents crossing the boundary but unfolded through phase-by-phase changes in the content and center of what crosses the boundary. This pattern is consistent with the coevolutionary logic of Hacklin et al. (2009), here observed within a single technology, and it provides empirical grounds for explaining the dynamic unfolding of technology convergence in terms of the core–periphery relationship of technological architecture and the technology cycle.</w:t>
      </w:r>
    </w:p>
    <w:bookmarkEnd w:id="48"/>
    <w:bookmarkStart w:id="49" w:name="practical-and-policy-implications"/>
    <w:p>
      <w:pPr>
        <w:pStyle w:val="Heading3"/>
      </w:pPr>
      <w:r>
        <w:t xml:space="preserve">6.2 Practical and policy implications</w:t>
      </w:r>
    </w:p>
    <w:p>
      <w:pPr>
        <w:pStyle w:val="FirstParagraph"/>
      </w:pPr>
      <w:r>
        <w:t xml:space="preserve">These results also have implications for firms and policy. The finding that a considerable number of applications include both fabrication-process and bonding technologies suggests that, in hybrid bonding, bonding capabilities alone are not sufficient and that knowledge of adjacent processes, encompassing surface planarization, contamination control, surface chemistry, and alignment, may become important. This is in line with the knowledge-boundary logic of Kapoor and Adner (2012) that firms benefit from possessing knowledge beyond the scope of what they produce themselves. The independent industry analysis by KnowMade (2024), which identifies foundries, integrated device manufacturers, and licensing firms as the applicants leading patent activity, can be understood in the same context.</w:t>
      </w:r>
    </w:p>
    <w:p>
      <w:pPr>
        <w:pStyle w:val="BodyText"/>
      </w:pPr>
      <w:r>
        <w:t xml:space="preserve">Meanwhile, according to the period-specific results, inventions containing the core principle of hybrid bonding did not carry fabrication-process symbols more often than other bonding inventions in the reconfiguration phase, and the fabrication processes combined with the core technologies were often processes for handling dies and completing them as packages, such as support on temporary substrates and encapsulation. This suggests that the focus of competition may be shifting from the invention of the core principle to the invention of applied technologies that combine this principle with die-level processes. For the Korean memory industry, which seeks to introduce hybrid bonding into next-generation HBM stacking, these results imply that packaging competitiveness may not hinge on the bonding principle alone. In addition to fabrication-process capabilities such as planarization, surface chemistry, and alignment metrology, capabilities that extend to the handling and stacking of thin dies may be required.</w:t>
      </w:r>
    </w:p>
    <w:bookmarkEnd w:id="49"/>
    <w:bookmarkStart w:id="50" w:name="limitations-and-future-research"/>
    <w:p>
      <w:pPr>
        <w:pStyle w:val="Heading3"/>
      </w:pPr>
      <w:r>
        <w:t xml:space="preserve">6.3 Limitations and future research</w:t>
      </w:r>
    </w:p>
    <w:p>
      <w:pPr>
        <w:pStyle w:val="FirstParagraph"/>
      </w:pPr>
      <w:r>
        <w:t xml:space="preserve">The limitations of this study can be summarized in the following six points. The first concerns construct validity. H01L21–H01L24 co-classification is a proxy for cross-stage technology convergence, H01L21 also includes packaging-stage fabrication processes, and technological scope is derived from the same CPC information as the type. The regression results held under the narrow definition, but descriptive statistics such as the integrated share depend on the definition. In addition, because the CPC is revised periodically and past applications may be reclassified retroactively, part of the observed temporal change may reflect changes in the classification system and examination practices rather than in the technology itself. The second concerns sample selection. The title keyword search has clear criteria but cannot capture applications whose titles lack relevant terms, and the 68 irrelevant uses of the search terms had to be identified separately and examined through a sensitivity analysis. The third concerns the unit of observation and duplication. The unit of analysis is the application, and because the extracted data lack a patent family identifier, duplication was adjusted approximately on the basis of identical titles, so the independence of observations is not fully guaranteed. The fourth concerns omitted variables. The data do not include applicants and their firm types, nationality, end-use areas, or the distinction between wafer-level and die-level bonding, and CPC symbols outside the two classes are absent from the regression data. Because the indexing codes in the technology cluster and technology network tables come from a separate tabulation of all CPC symbols of the same applications, the core technology variable was defined using only the four bonding symbols included in the regression data. The boundary of the core technologies also depends on the threshold of 200 or more applications, although the substantive results held when the core technologies were restricted to the most strongly linked pair of core symbols (24/08 and 24/80). The fifth concerns causality. Because diversity and type are likely to be determined simultaneously and no suitable instrumental variable is available, no causal relationship is claimed, and filing office was included only as a control variable. The period division in the core technology analysis likewise approximates the timing of the formation of the dominant design by filing period rather than measuring it directly. The sixth concerns the timing of measurement. The CPC co-classification used as a signal of convergence is reproducible but is assigned later than the invention. Text-based methods (Preschitschek et al., 2013; Lei et al., 2019; Zhu and Motohashi, 2022) allow earlier detection but depend on trained models. Because the boundary between H01L21 and H01L24 is institutionally clear, this study prioritized reproducibility.</w:t>
      </w:r>
    </w:p>
    <w:p>
      <w:pPr>
        <w:pStyle w:val="BodyText"/>
      </w:pPr>
      <w:r>
        <w:t xml:space="preserve">Despite these limitations, the design of this study can be applied to other contexts. Process technologies in which a downstream stage has begun to depend on upstream capabilities, such as advanced lithography in displays, cell-to-pack integration in batteries, and additive manufacturing in aerospace assembly, can all be analyzed with the same two-class rule and discrete choice models. A comparison of several cases would make it possible to determine whether the formation–diffusion–reconfiguration trajectory observed in this study is general. In addition, future research could exploit the fact that each patent is a set of several symbols and use representations that preserve higher-order co-occurrence or generality indices (Petralia, 2020) to test directly the general-purpose technology character of hybrid bonding as it spreads to logic, memory, and image sensors.</w:t>
      </w:r>
    </w:p>
    <w:bookmarkEnd w:id="50"/>
    <w:bookmarkEnd w:id="51"/>
    <w:bookmarkStart w:id="52" w:name="conclusion"/>
    <w:p>
      <w:pPr>
        <w:pStyle w:val="Heading2"/>
      </w:pPr>
      <w:r>
        <w:t xml:space="preserve">7. Conclusion</w:t>
      </w:r>
    </w:p>
    <w:p>
      <w:pPr>
        <w:pStyle w:val="FirstParagraph"/>
      </w:pPr>
      <w:r>
        <w:t xml:space="preserve">Technology convergence has been studied mainly as a combination between industries and as a question of whether the degree of convergence has increased. This study analyzed, at the level of individual applications, to what extent and in what forms technology convergence occurs between the process stages of a single industry, how its level and form change over time, and how its center shifts between core and peripheral technologies. To this end, each of the 928 applications related to hybrid bonding was classified as bonding-only, process-only, or integrated on the basis of its assigned CPC symbols, and this study estimated which patents cross the boundary between the two process stages and how this pattern changed over time.</w:t>
      </w:r>
    </w:p>
    <w:p>
      <w:pPr>
        <w:pStyle w:val="BodyText"/>
      </w:pPr>
      <w:r>
        <w:t xml:space="preserve">The main results for each research question are as follows. First, regarding RQ1, cross-stage convergence was found not to be an exceptional phenomenon. The integrated type was the largest group (45.8%) and still accounted for 37.2% under the narrow definition, and patents including more diverse technical elements were more likely to cross the boundary. Second, regarding RQ2, the level and form of convergence changed through three phases. In the formation phase, stand-alone fabrication-process inventions (the process-only type) were the most common; in the diffusion phase, the integrated type, which includes both process stages, peaked at 62.2%; and in the reconfiguration phase, the integrated type declined, and the bonding-only type increased. As the process-only type became less common among more recent filings, the center of gravity of filings shifted toward bonding, and this result held in all re-estimations except for the</w:t>
      </w:r>
      <w:r>
        <w:t xml:space="preserve"> </w:t>
      </w:r>
      <w:r>
        <w:rPr>
          <w:i/>
          <w:iCs/>
        </w:rPr>
        <w:t xml:space="preserve">hybrid bonding</w:t>
      </w:r>
      <w:r>
        <w:t xml:space="preserve"> </w:t>
      </w:r>
      <w:r>
        <w:t xml:space="preserve">sample, which contains few applications filed up to 2014. The association between technological diversity and the integrated type persisted in all three phases. Third, regarding RQ3, the center of convergence shifted from the core technologies to peripheral processes. In the formation phase, the odds that applications containing the core technologies identified through the technology cluster and technology network also carried a fabrication-process classification were 11.1 times those of bonding applications without them, but this difference was not significant in the reconfiguration phase, and this decline held in all re-estimations. In addition, the fabrication processes assigned together with the core technologies changed to die support and encapsulation processes using temporary substrates, and the center of the fabrication processes combined with bonding also shifted from wafer fabrication to processing apparatus and packaging-stage processes.</w:t>
      </w:r>
    </w:p>
    <w:p>
      <w:pPr>
        <w:pStyle w:val="BodyText"/>
      </w:pPr>
      <w:r>
        <w:t xml:space="preserve">These results suggest that cross-stage convergence was not a process of accumulation in one direction but a dynamic process in which the center of convergence moved from the core to the periphery as the design of the core technologies became entrenched.</w:t>
      </w:r>
    </w:p>
    <w:p>
      <w:pPr>
        <w:pStyle w:val="BodyText"/>
      </w:pPr>
      <w:r>
        <w:t xml:space="preserve">The academic contributions of this study, corresponding to the three research questions, can be summarized as follows. This study extended the analytical scope of technology convergence research from convergence between industries to convergence between process stages within the same industry, analyzed technology convergence as a dynamic process whose composition by type changes over time, and empirically documented the shift in the structural center of convergence from the perspective of the core–periphery relationship of technological architecture and the technology cycle. Methodologically, the contribution of this study lies not in proposing a new convergence index but in recasting co-classification as types of individual patents, which makes it possible to estimate patent-level heterogeneity and its change over time, and in linking these types to the core technologies identified through the technology cluster and technology network.</w:t>
      </w:r>
    </w:p>
    <w:p>
      <w:r>
        <w:pict>
          <v:rect style="width:0;height:1.5pt" o:hralign="center" o:hrstd="t" o:hr="t"/>
        </w:pict>
      </w:r>
    </w:p>
    <w:bookmarkEnd w:id="52"/>
    <w:bookmarkStart w:id="53" w:name="references"/>
    <w:p>
      <w:pPr>
        <w:pStyle w:val="Heading2"/>
      </w:pPr>
      <w:r>
        <w:t xml:space="preserve">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 integrated die-to-wafer hybrid bonding system [Press release, in Korean; written by J. Kim]. Applied Materials website.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appendix"/>
    <w:p>
      <w:pPr>
        <w:pStyle w:val="Heading2"/>
      </w:pPr>
      <w:r>
        <w:t xml:space="preserve">Appendix</w:t>
      </w:r>
    </w:p>
    <w:bookmarkStart w:id="54" w:name="X8eef6854ffa15d3451632e3fffabc5bc9a15d00"/>
    <w:p>
      <w:pPr>
        <w:pStyle w:val="Heading3"/>
      </w:pPr>
      <w:r>
        <w:t xml:space="preserve">Appendix A. Detailed re-estimation results</w:t>
      </w:r>
    </w:p>
    <w:p>
      <w:pPr>
        <w:pStyle w:val="FirstParagraph"/>
      </w:pPr>
      <w:r>
        <w:t xml:space="preserve">Tables A1 and A2 present the main coefficients and standard errors of the re-estimations reported in Table 12 of the main text, with the adjusted scope and the 2010–2024 sample added. Each column is a multinomial logit in which one sample or variable definition is changed, and the baseline column is identical to the multinomial logit table in the main text (Table 8). Filing office dummies are included as control variables in all columns, but their coefficients are omitted. Adjusted scope refers to the type-minimum-adjusted CPC scope (breadth_adj), which subtracts one symbol for each class an application carries; same-title deduplication refers to the sample that keeps only the earliest application among applications with the same title; narrow fabrication-process definition refers to the variables that exclude the packaging-stage process symbols of H01L21 from fabrication processes; irrelevant uses excluded refers to the sample that excludes the 68 applications in Appendix B; and the</w:t>
      </w:r>
      <w:r>
        <w:t xml:space="preserve"> </w:t>
      </w:r>
      <w:r>
        <w:rPr>
          <w:i/>
          <w:iCs/>
        </w:rPr>
        <w:t xml:space="preserve">hybrid bonding</w:t>
      </w:r>
      <w:r>
        <w:t xml:space="preserve"> </w:t>
      </w:r>
      <w:r>
        <w:t xml:space="preserve">sample refers to the sample that keeps only applications with</w:t>
      </w:r>
      <w:r>
        <w:t xml:space="preserve"> </w:t>
      </w:r>
      <w:r>
        <w:rPr>
          <w:i/>
          <w:iCs/>
        </w:rPr>
        <w:t xml:space="preserve">hybrid bonding</w:t>
      </w:r>
      <w:r>
        <w:t xml:space="preserve"> </w:t>
      </w:r>
      <w:r>
        <w:t xml:space="preserve">in their titles. The 2010–2024 sample is the sample of applications filed in 2010 or later mentioned in Section 5.2 of the main text.</w:t>
      </w:r>
    </w:p>
    <w:p>
      <w:pPr>
        <w:pStyle w:val="BodyText"/>
      </w:pPr>
      <w:r>
        <w:rPr>
          <w:b/>
          <w:bCs/>
          <w:sz w:val="20"/>
          <w:szCs w:val="20"/>
        </w:rPr>
        <w:t xml:space="preserve">Table A1.</w:t>
      </w:r>
      <w:r>
        <w:rPr>
          <w:sz w:val="20"/>
          <w:szCs w:val="20"/>
        </w:rPr>
        <w:t xml:space="preserve"> </w:t>
      </w:r>
      <w:r>
        <w:rPr>
          <w:sz w:val="20"/>
          <w:szCs w:val="20"/>
        </w:rPr>
        <w:t xml:space="preserve">Integrated-type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00"/>
        <w:gridCol w:w="980"/>
        <w:gridCol w:w="980"/>
        <w:gridCol w:w="1267"/>
        <w:gridCol w:w="1460"/>
        <w:gridCol w:w="1026"/>
        <w:gridCol w:w="962"/>
        <w:gridCol w:w="999"/>
      </w:tblGrid>
      <w:tr>
        <w:trPr>
          <w:tblHeader w:val="on"/>
          <w:cantSplit/>
        </w:trPr>
        <w:tc>
          <w:tcPr>
            <w:tcW w:type="dxa" w:w="1400"/>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60"/>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6"/>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962"/>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999"/>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00"/>
          </w:tcPr>
          <w:p>
            <w:pPr>
              <w:pStyle w:val="Compact"/>
              <w:spacing w:before="20" w:after="20" w:line="240" w:lineRule="auto"/>
              <w:keepNext/>
            </w:pPr>
            <w:r>
              <w:rPr>
                <w:sz w:val="13"/>
                <w:szCs w:val="13"/>
              </w:rPr>
              <w:t xml:space="preserve">Technological scope</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1267"/>
          </w:tcPr>
          <w:p>
            <w:pPr>
              <w:pStyle w:val="Compact"/>
              <w:spacing w:before="20" w:after="20" w:line="240" w:lineRule="auto"/>
              <w:jc w:val="center"/>
              <w:keepNext/>
            </w:pPr>
            <w:r>
              <w:rPr>
                <w:sz w:val="13"/>
                <w:szCs w:val="13"/>
              </w:rPr>
              <w:t xml:space="preserve">1.295*** (0.039)</w:t>
            </w:r>
          </w:p>
        </w:tc>
        <w:tc>
          <w:tcPr>
            <w:tcW w:type="dxa" w:w="1460"/>
          </w:tcPr>
          <w:p>
            <w:pPr>
              <w:pStyle w:val="Compact"/>
              <w:spacing w:before="20" w:after="20" w:line="240" w:lineRule="auto"/>
              <w:jc w:val="center"/>
              <w:keepNext/>
            </w:pPr>
            <w:r>
              <w:rPr>
                <w:sz w:val="13"/>
                <w:szCs w:val="13"/>
              </w:rPr>
              <w:t xml:space="preserve">1.352*** (0.028)</w:t>
            </w:r>
          </w:p>
        </w:tc>
        <w:tc>
          <w:tcPr>
            <w:tcW w:type="dxa" w:w="1026"/>
          </w:tcPr>
          <w:p>
            <w:pPr>
              <w:pStyle w:val="Compact"/>
              <w:spacing w:before="20" w:after="20" w:line="240" w:lineRule="auto"/>
              <w:jc w:val="center"/>
              <w:keepNext/>
            </w:pPr>
            <w:r>
              <w:rPr>
                <w:sz w:val="13"/>
                <w:szCs w:val="13"/>
              </w:rPr>
              <w:t xml:space="preserve">1.384*** (0.031)</w:t>
            </w:r>
          </w:p>
        </w:tc>
        <w:tc>
          <w:tcPr>
            <w:tcW w:type="dxa" w:w="962"/>
          </w:tcPr>
          <w:p>
            <w:pPr>
              <w:pStyle w:val="Compact"/>
              <w:spacing w:before="20" w:after="20" w:line="240" w:lineRule="auto"/>
              <w:jc w:val="center"/>
              <w:keepNext/>
            </w:pPr>
            <w:r>
              <w:rPr>
                <w:sz w:val="13"/>
                <w:szCs w:val="13"/>
              </w:rPr>
              <w:t xml:space="preserve">1.485*** (0.044)</w:t>
            </w:r>
          </w:p>
        </w:tc>
        <w:tc>
          <w:tcPr>
            <w:tcW w:type="dxa" w:w="999"/>
          </w:tcPr>
          <w:p>
            <w:pPr>
              <w:pStyle w:val="Compact"/>
              <w:spacing w:before="20" w:after="20" w:line="240" w:lineRule="auto"/>
              <w:jc w:val="center"/>
              <w:keepNext/>
            </w:pPr>
            <w:r>
              <w:rPr>
                <w:sz w:val="13"/>
                <w:szCs w:val="13"/>
              </w:rPr>
              <w:t xml:space="preserve">1.385*** (0.032)</w:t>
            </w:r>
          </w:p>
        </w:tc>
      </w:tr>
      <w:tr>
        <w:trPr>
          <w:cantSplit/>
        </w:trPr>
        <w:tc>
          <w:tcPr>
            <w:tcW w:type="dxa" w:w="1400"/>
          </w:tcPr>
          <w:p>
            <w:pPr>
              <w:pStyle w:val="Compact"/>
              <w:spacing w:before="20" w:after="20" w:line="240" w:lineRule="auto"/>
              <w:keepNext/>
            </w:pPr>
            <w:r>
              <w:rPr>
                <w:sz w:val="13"/>
                <w:szCs w:val="13"/>
              </w:rPr>
              <w:t xml:space="preserve">Filing year (yc)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1267"/>
          </w:tcPr>
          <w:p>
            <w:pPr>
              <w:pStyle w:val="Compact"/>
              <w:spacing w:before="20" w:after="20" w:line="240" w:lineRule="auto"/>
              <w:jc w:val="center"/>
              <w:keepNext/>
            </w:pPr>
            <w:r>
              <w:rPr>
                <w:sz w:val="13"/>
                <w:szCs w:val="13"/>
              </w:rPr>
              <w:t xml:space="preserve">0.997 (0.018)</w:t>
            </w:r>
          </w:p>
        </w:tc>
        <w:tc>
          <w:tcPr>
            <w:tcW w:type="dxa" w:w="1460"/>
          </w:tcPr>
          <w:p>
            <w:pPr>
              <w:pStyle w:val="Compact"/>
              <w:spacing w:before="20" w:after="20" w:line="240" w:lineRule="auto"/>
              <w:jc w:val="center"/>
              <w:keepNext/>
            </w:pPr>
            <w:r>
              <w:rPr>
                <w:sz w:val="13"/>
                <w:szCs w:val="13"/>
              </w:rPr>
              <w:t xml:space="preserve">0.967** (0.015)</w:t>
            </w:r>
          </w:p>
        </w:tc>
        <w:tc>
          <w:tcPr>
            <w:tcW w:type="dxa" w:w="1026"/>
          </w:tcPr>
          <w:p>
            <w:pPr>
              <w:pStyle w:val="Compact"/>
              <w:spacing w:before="20" w:after="20" w:line="240" w:lineRule="auto"/>
              <w:jc w:val="center"/>
              <w:keepNext/>
            </w:pPr>
            <w:r>
              <w:rPr>
                <w:sz w:val="13"/>
                <w:szCs w:val="13"/>
              </w:rPr>
              <w:t xml:space="preserve">0.949** (0.022)</w:t>
            </w:r>
          </w:p>
        </w:tc>
        <w:tc>
          <w:tcPr>
            <w:tcW w:type="dxa" w:w="962"/>
          </w:tcPr>
          <w:p>
            <w:pPr>
              <w:pStyle w:val="Compact"/>
              <w:spacing w:before="20" w:after="20" w:line="240" w:lineRule="auto"/>
              <w:jc w:val="center"/>
              <w:keepNext/>
            </w:pPr>
            <w:r>
              <w:rPr>
                <w:sz w:val="13"/>
                <w:szCs w:val="13"/>
              </w:rPr>
              <w:t xml:space="preserve">0.965 (0.033)</w:t>
            </w:r>
          </w:p>
        </w:tc>
        <w:tc>
          <w:tcPr>
            <w:tcW w:type="dxa" w:w="999"/>
          </w:tcPr>
          <w:p>
            <w:pPr>
              <w:pStyle w:val="Compact"/>
              <w:spacing w:before="20" w:after="20" w:line="240" w:lineRule="auto"/>
              <w:jc w:val="center"/>
              <w:keepNext/>
            </w:pPr>
            <w:r>
              <w:rPr>
                <w:sz w:val="13"/>
                <w:szCs w:val="13"/>
              </w:rPr>
              <w:t xml:space="preserve">0.934** (0.027)</w:t>
            </w:r>
          </w:p>
        </w:tc>
      </w:tr>
      <w:tr>
        <w:trPr>
          <w:cantSplit/>
        </w:trPr>
        <w:tc>
          <w:tcPr>
            <w:tcW w:type="dxa" w:w="1400"/>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60"/>
          </w:tcPr>
          <w:p>
            <w:pPr>
              <w:pStyle w:val="Compact"/>
              <w:spacing w:before="20" w:after="20" w:line="240" w:lineRule="auto"/>
              <w:jc w:val="center"/>
              <w:keepNext/>
            </w:pPr>
            <w:r>
              <w:rPr>
                <w:sz w:val="13"/>
                <w:szCs w:val="13"/>
              </w:rPr>
              <w:t xml:space="preserve">908</w:t>
            </w:r>
          </w:p>
        </w:tc>
        <w:tc>
          <w:tcPr>
            <w:tcW w:type="dxa" w:w="1026"/>
          </w:tcPr>
          <w:p>
            <w:pPr>
              <w:pStyle w:val="Compact"/>
              <w:spacing w:before="20" w:after="20" w:line="240" w:lineRule="auto"/>
              <w:jc w:val="center"/>
              <w:keepNext/>
            </w:pPr>
            <w:r>
              <w:rPr>
                <w:sz w:val="13"/>
                <w:szCs w:val="13"/>
              </w:rPr>
              <w:t xml:space="preserve">860</w:t>
            </w:r>
          </w:p>
        </w:tc>
        <w:tc>
          <w:tcPr>
            <w:tcW w:type="dxa" w:w="962"/>
          </w:tcPr>
          <w:p>
            <w:pPr>
              <w:pStyle w:val="Compact"/>
              <w:spacing w:before="20" w:after="20" w:line="240" w:lineRule="auto"/>
              <w:jc w:val="center"/>
              <w:keepNext/>
            </w:pPr>
            <w:r>
              <w:rPr>
                <w:sz w:val="13"/>
                <w:szCs w:val="13"/>
              </w:rPr>
              <w:t xml:space="preserve">467</w:t>
            </w:r>
          </w:p>
        </w:tc>
        <w:tc>
          <w:tcPr>
            <w:tcW w:type="dxa" w:w="999"/>
          </w:tcPr>
          <w:p>
            <w:pPr>
              <w:pStyle w:val="Compact"/>
              <w:spacing w:before="20" w:after="20" w:line="240" w:lineRule="auto"/>
              <w:jc w:val="center"/>
              <w:keepNext/>
            </w:pPr>
            <w:r>
              <w:rPr>
                <w:sz w:val="13"/>
                <w:szCs w:val="13"/>
              </w:rPr>
              <w:t xml:space="preserve">830</w:t>
            </w:r>
          </w:p>
        </w:tc>
      </w:tr>
      <w:tr>
        <w:trPr>
          <w:cantSplit/>
        </w:trPr>
        <w:tc>
          <w:tcPr>
            <w:tcW w:type="dxa" w:w="1400"/>
          </w:tcPr>
          <w:p>
            <w:pPr>
              <w:pStyle w:val="Compact"/>
              <w:spacing w:before="20" w:after="20" w:line="240" w:lineRule="auto"/>
              <w:keepNext/>
            </w:pPr>
            <w:r>
              <w:rPr>
                <w:sz w:val="13"/>
                <w:szCs w:val="13"/>
              </w:rPr>
              <w:t xml:space="preserve">Log-likelihood</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60"/>
          </w:tcPr>
          <w:p>
            <w:pPr>
              <w:pStyle w:val="Compact"/>
              <w:spacing w:before="20" w:after="20" w:line="240" w:lineRule="auto"/>
              <w:jc w:val="center"/>
              <w:keepNext/>
            </w:pPr>
            <w:r>
              <w:rPr>
                <w:sz w:val="13"/>
                <w:szCs w:val="13"/>
              </w:rPr>
              <w:t xml:space="preserve">−755.9</w:t>
            </w:r>
          </w:p>
        </w:tc>
        <w:tc>
          <w:tcPr>
            <w:tcW w:type="dxa" w:w="1026"/>
          </w:tcPr>
          <w:p>
            <w:pPr>
              <w:pStyle w:val="Compact"/>
              <w:spacing w:before="20" w:after="20" w:line="240" w:lineRule="auto"/>
              <w:jc w:val="center"/>
              <w:keepNext/>
            </w:pPr>
            <w:r>
              <w:rPr>
                <w:sz w:val="13"/>
                <w:szCs w:val="13"/>
              </w:rPr>
              <w:t xml:space="preserve">−682.7</w:t>
            </w:r>
          </w:p>
        </w:tc>
        <w:tc>
          <w:tcPr>
            <w:tcW w:type="dxa" w:w="962"/>
          </w:tcPr>
          <w:p>
            <w:pPr>
              <w:pStyle w:val="Compact"/>
              <w:spacing w:before="20" w:after="20" w:line="240" w:lineRule="auto"/>
              <w:jc w:val="center"/>
              <w:keepNext/>
            </w:pPr>
            <w:r>
              <w:rPr>
                <w:sz w:val="13"/>
                <w:szCs w:val="13"/>
              </w:rPr>
              <w:t xml:space="preserve">−364.0</w:t>
            </w:r>
          </w:p>
        </w:tc>
        <w:tc>
          <w:tcPr>
            <w:tcW w:type="dxa" w:w="999"/>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Table A2.</w:t>
      </w:r>
      <w:r>
        <w:rPr>
          <w:sz w:val="20"/>
          <w:szCs w:val="20"/>
        </w:rPr>
        <w:t xml:space="preserve"> </w:t>
      </w:r>
      <w:r>
        <w:rPr>
          <w:sz w:val="20"/>
          <w:szCs w:val="20"/>
        </w:rPr>
        <w:t xml:space="preserve">Process-only-type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18"/>
        <w:gridCol w:w="994"/>
        <w:gridCol w:w="994"/>
        <w:gridCol w:w="1267"/>
        <w:gridCol w:w="1483"/>
        <w:gridCol w:w="1028"/>
        <w:gridCol w:w="880"/>
        <w:gridCol w:w="1011"/>
      </w:tblGrid>
      <w:tr>
        <w:trPr>
          <w:tblHeader w:val="on"/>
          <w:cantSplit/>
        </w:trPr>
        <w:tc>
          <w:tcPr>
            <w:tcW w:type="dxa" w:w="1418"/>
            <w:tcBorders>
              <w:bottom w:val="single" w:sz="4" w:space="0" w:color="000000"/>
            </w:tcBorders>
          </w:tcPr>
          <w:p>
            <w:pPr>
              <w:pStyle w:val="Compact"/>
              <w:spacing w:before="20" w:after="20" w:line="240" w:lineRule="auto"/>
              <w:keepNext/>
            </w:pPr>
          </w:p>
        </w:tc>
        <w:tc>
          <w:tcPr>
            <w:tcW w:type="dxa" w:w="994"/>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94"/>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83"/>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8"/>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880"/>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1011"/>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18"/>
          </w:tcPr>
          <w:p>
            <w:pPr>
              <w:pStyle w:val="Compact"/>
              <w:spacing w:before="20" w:after="20" w:line="240" w:lineRule="auto"/>
              <w:keepNext/>
            </w:pPr>
            <w:r>
              <w:rPr>
                <w:sz w:val="13"/>
                <w:szCs w:val="13"/>
              </w:rPr>
              <w:t xml:space="preserve">Technological scope</w:t>
            </w:r>
          </w:p>
        </w:tc>
        <w:tc>
          <w:tcPr>
            <w:tcW w:type="dxa" w:w="994"/>
          </w:tcPr>
          <w:p>
            <w:pPr>
              <w:pStyle w:val="Compact"/>
              <w:spacing w:before="20" w:after="20" w:line="240" w:lineRule="auto"/>
              <w:jc w:val="center"/>
              <w:keepNext/>
            </w:pPr>
            <w:r>
              <w:rPr>
                <w:sz w:val="13"/>
                <w:szCs w:val="13"/>
              </w:rPr>
              <w:t xml:space="preserve">0.905** (0.048)</w:t>
            </w:r>
          </w:p>
        </w:tc>
        <w:tc>
          <w:tcPr>
            <w:tcW w:type="dxa" w:w="994"/>
          </w:tcPr>
          <w:p>
            <w:pPr>
              <w:pStyle w:val="Compact"/>
              <w:spacing w:before="20" w:after="20" w:line="240" w:lineRule="auto"/>
              <w:jc w:val="center"/>
              <w:keepNext/>
            </w:pPr>
            <w:r>
              <w:rPr>
                <w:sz w:val="13"/>
                <w:szCs w:val="13"/>
              </w:rPr>
              <w:t xml:space="preserve">0.915** (0.044)</w:t>
            </w:r>
          </w:p>
        </w:tc>
        <w:tc>
          <w:tcPr>
            <w:tcW w:type="dxa" w:w="1267"/>
          </w:tcPr>
          <w:p>
            <w:pPr>
              <w:pStyle w:val="Compact"/>
              <w:spacing w:before="20" w:after="20" w:line="240" w:lineRule="auto"/>
              <w:jc w:val="center"/>
              <w:keepNext/>
            </w:pPr>
            <w:r>
              <w:rPr>
                <w:sz w:val="13"/>
                <w:szCs w:val="13"/>
              </w:rPr>
              <w:t xml:space="preserve">0.826*** (0.061)</w:t>
            </w:r>
          </w:p>
        </w:tc>
        <w:tc>
          <w:tcPr>
            <w:tcW w:type="dxa" w:w="1483"/>
          </w:tcPr>
          <w:p>
            <w:pPr>
              <w:pStyle w:val="Compact"/>
              <w:spacing w:before="20" w:after="20" w:line="240" w:lineRule="auto"/>
              <w:jc w:val="center"/>
              <w:keepNext/>
            </w:pPr>
            <w:r>
              <w:rPr>
                <w:sz w:val="13"/>
                <w:szCs w:val="13"/>
              </w:rPr>
              <w:t xml:space="preserve">0.923* (0.045)</w:t>
            </w:r>
          </w:p>
        </w:tc>
        <w:tc>
          <w:tcPr>
            <w:tcW w:type="dxa" w:w="1028"/>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011"/>
          </w:tcPr>
          <w:p>
            <w:pPr>
              <w:pStyle w:val="Compact"/>
              <w:spacing w:before="20" w:after="20" w:line="240" w:lineRule="auto"/>
              <w:jc w:val="center"/>
              <w:keepNext/>
            </w:pPr>
            <w:r>
              <w:rPr>
                <w:sz w:val="13"/>
                <w:szCs w:val="13"/>
              </w:rPr>
              <w:t xml:space="preserve">0.910* (0.051)</w:t>
            </w:r>
          </w:p>
        </w:tc>
      </w:tr>
      <w:tr>
        <w:trPr>
          <w:cantSplit/>
        </w:trPr>
        <w:tc>
          <w:tcPr>
            <w:tcW w:type="dxa" w:w="1418"/>
          </w:tcPr>
          <w:p>
            <w:pPr>
              <w:pStyle w:val="Compact"/>
              <w:spacing w:before="20" w:after="20" w:line="240" w:lineRule="auto"/>
              <w:keepNext/>
            </w:pPr>
            <w:r>
              <w:rPr>
                <w:sz w:val="13"/>
                <w:szCs w:val="13"/>
              </w:rPr>
              <w:t xml:space="preserve">Filing year (yc)</w:t>
            </w:r>
          </w:p>
        </w:tc>
        <w:tc>
          <w:tcPr>
            <w:tcW w:type="dxa" w:w="994"/>
          </w:tcPr>
          <w:p>
            <w:pPr>
              <w:pStyle w:val="Compact"/>
              <w:spacing w:before="20" w:after="20" w:line="240" w:lineRule="auto"/>
              <w:jc w:val="center"/>
              <w:keepNext/>
            </w:pPr>
            <w:r>
              <w:rPr>
                <w:sz w:val="13"/>
                <w:szCs w:val="13"/>
              </w:rPr>
              <w:t xml:space="preserve">0.913*** (0.015)</w:t>
            </w:r>
          </w:p>
        </w:tc>
        <w:tc>
          <w:tcPr>
            <w:tcW w:type="dxa" w:w="994"/>
          </w:tcPr>
          <w:p>
            <w:pPr>
              <w:pStyle w:val="Compact"/>
              <w:spacing w:before="20" w:after="20" w:line="240" w:lineRule="auto"/>
              <w:jc w:val="center"/>
              <w:keepNext/>
            </w:pPr>
            <w:r>
              <w:rPr>
                <w:sz w:val="13"/>
                <w:szCs w:val="13"/>
              </w:rPr>
              <w:t xml:space="preserve">0.911*** (0.015)</w:t>
            </w:r>
          </w:p>
        </w:tc>
        <w:tc>
          <w:tcPr>
            <w:tcW w:type="dxa" w:w="1267"/>
          </w:tcPr>
          <w:p>
            <w:pPr>
              <w:pStyle w:val="Compact"/>
              <w:spacing w:before="20" w:after="20" w:line="240" w:lineRule="auto"/>
              <w:jc w:val="center"/>
              <w:keepNext/>
            </w:pPr>
            <w:r>
              <w:rPr>
                <w:sz w:val="13"/>
                <w:szCs w:val="13"/>
              </w:rPr>
              <w:t xml:space="preserve">0.935*** (0.016)</w:t>
            </w:r>
          </w:p>
        </w:tc>
        <w:tc>
          <w:tcPr>
            <w:tcW w:type="dxa" w:w="1483"/>
          </w:tcPr>
          <w:p>
            <w:pPr>
              <w:pStyle w:val="Compact"/>
              <w:spacing w:before="20" w:after="20" w:line="240" w:lineRule="auto"/>
              <w:jc w:val="center"/>
              <w:keepNext/>
            </w:pPr>
            <w:r>
              <w:rPr>
                <w:sz w:val="13"/>
                <w:szCs w:val="13"/>
              </w:rPr>
              <w:t xml:space="preserve">0.898*** (0.015)</w:t>
            </w:r>
          </w:p>
        </w:tc>
        <w:tc>
          <w:tcPr>
            <w:tcW w:type="dxa" w:w="1028"/>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011"/>
          </w:tcPr>
          <w:p>
            <w:pPr>
              <w:pStyle w:val="Compact"/>
              <w:spacing w:before="20" w:after="20" w:line="240" w:lineRule="auto"/>
              <w:jc w:val="center"/>
              <w:keepNext/>
            </w:pPr>
            <w:r>
              <w:rPr>
                <w:sz w:val="13"/>
                <w:szCs w:val="13"/>
              </w:rPr>
              <w:t xml:space="preserve">0.862*** (0.033)</w:t>
            </w:r>
          </w:p>
        </w:tc>
      </w:tr>
      <w:tr>
        <w:trPr>
          <w:cantSplit/>
        </w:trPr>
        <w:tc>
          <w:tcPr>
            <w:tcW w:type="dxa" w:w="1418"/>
          </w:tcPr>
          <w:p>
            <w:pPr>
              <w:pStyle w:val="Compact"/>
              <w:spacing w:before="20" w:after="20" w:line="240" w:lineRule="auto"/>
              <w:keepNext/>
            </w:pPr>
            <w:r>
              <w:rPr>
                <w:sz w:val="13"/>
                <w:szCs w:val="13"/>
              </w:rPr>
              <w:t xml:space="preserve">N</w:t>
            </w:r>
          </w:p>
        </w:tc>
        <w:tc>
          <w:tcPr>
            <w:tcW w:type="dxa" w:w="994"/>
          </w:tcPr>
          <w:p>
            <w:pPr>
              <w:pStyle w:val="Compact"/>
              <w:spacing w:before="20" w:after="20" w:line="240" w:lineRule="auto"/>
              <w:jc w:val="center"/>
              <w:keepNext/>
            </w:pPr>
            <w:r>
              <w:rPr>
                <w:sz w:val="13"/>
                <w:szCs w:val="13"/>
              </w:rPr>
              <w:t xml:space="preserve">928</w:t>
            </w:r>
          </w:p>
        </w:tc>
        <w:tc>
          <w:tcPr>
            <w:tcW w:type="dxa" w:w="994"/>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83"/>
          </w:tcPr>
          <w:p>
            <w:pPr>
              <w:pStyle w:val="Compact"/>
              <w:spacing w:before="20" w:after="20" w:line="240" w:lineRule="auto"/>
              <w:jc w:val="center"/>
              <w:keepNext/>
            </w:pPr>
            <w:r>
              <w:rPr>
                <w:sz w:val="13"/>
                <w:szCs w:val="13"/>
              </w:rPr>
              <w:t xml:space="preserve">908</w:t>
            </w:r>
          </w:p>
        </w:tc>
        <w:tc>
          <w:tcPr>
            <w:tcW w:type="dxa" w:w="1028"/>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011"/>
          </w:tcPr>
          <w:p>
            <w:pPr>
              <w:pStyle w:val="Compact"/>
              <w:spacing w:before="20" w:after="20" w:line="240" w:lineRule="auto"/>
              <w:jc w:val="center"/>
              <w:keepNext/>
            </w:pPr>
            <w:r>
              <w:rPr>
                <w:sz w:val="13"/>
                <w:szCs w:val="13"/>
              </w:rPr>
              <w:t xml:space="preserve">830</w:t>
            </w:r>
          </w:p>
        </w:tc>
      </w:tr>
      <w:tr>
        <w:trPr>
          <w:cantSplit/>
        </w:trPr>
        <w:tc>
          <w:tcPr>
            <w:tcW w:type="dxa" w:w="1418"/>
          </w:tcPr>
          <w:p>
            <w:pPr>
              <w:pStyle w:val="Compact"/>
              <w:spacing w:before="20" w:after="20" w:line="240" w:lineRule="auto"/>
              <w:keepNext/>
            </w:pPr>
            <w:r>
              <w:rPr>
                <w:sz w:val="13"/>
                <w:szCs w:val="13"/>
              </w:rPr>
              <w:t xml:space="preserve">Log-likelihood</w:t>
            </w:r>
          </w:p>
        </w:tc>
        <w:tc>
          <w:tcPr>
            <w:tcW w:type="dxa" w:w="994"/>
          </w:tcPr>
          <w:p>
            <w:pPr>
              <w:pStyle w:val="Compact"/>
              <w:spacing w:before="20" w:after="20" w:line="240" w:lineRule="auto"/>
              <w:jc w:val="center"/>
              <w:keepNext/>
            </w:pPr>
            <w:r>
              <w:rPr>
                <w:sz w:val="13"/>
                <w:szCs w:val="13"/>
              </w:rPr>
              <w:t xml:space="preserve">−774.5</w:t>
            </w:r>
          </w:p>
        </w:tc>
        <w:tc>
          <w:tcPr>
            <w:tcW w:type="dxa" w:w="994"/>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83"/>
          </w:tcPr>
          <w:p>
            <w:pPr>
              <w:pStyle w:val="Compact"/>
              <w:spacing w:before="20" w:after="20" w:line="240" w:lineRule="auto"/>
              <w:jc w:val="center"/>
              <w:keepNext/>
            </w:pPr>
            <w:r>
              <w:rPr>
                <w:sz w:val="13"/>
                <w:szCs w:val="13"/>
              </w:rPr>
              <w:t xml:space="preserve">−755.9</w:t>
            </w:r>
          </w:p>
        </w:tc>
        <w:tc>
          <w:tcPr>
            <w:tcW w:type="dxa" w:w="1028"/>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011"/>
          </w:tcPr>
          <w:p>
            <w:pPr>
              <w:pStyle w:val="Compact"/>
              <w:spacing w:before="20" w:after="20" w:line="240" w:lineRule="auto"/>
              <w:jc w:val="center"/>
              <w:keepNext/>
            </w:pPr>
            <w:r>
              <w:rPr>
                <w:sz w:val="13"/>
                <w:szCs w:val="13"/>
              </w:rPr>
              <w:t xml:space="preserve">−683.0</w:t>
            </w:r>
          </w:p>
        </w:tc>
      </w:tr>
    </w:tbl>
    <w:p>
      <w:pPr>
        <w:pStyle w:val="BodyText"/>
      </w:pPr>
      <w:r>
        <w:rPr>
          <w:b/>
          <w:bCs/>
        </w:rPr>
        <w:t xml:space="preserve">Alternative-exclusion sensitivity analysis.</w:t>
      </w:r>
      <w:r>
        <w:t xml:space="preserve"> </w:t>
      </w:r>
      <w:r>
        <w:t xml:space="preserve">To examine indirectly the sensitivity related to the IIA assumption, a binary logit of integrated versus bonding-only was estimated on the sample excluding the process-only type (N = 763). The odds ratio was 1.463 for technological scope and 0.987 for filing year, so the direction and relative magnitude of the main coefficients were similar to the values in the integrated-type equation of the multinomial logit (1.403 and 0.993). This sensitivity analysis shows that excluding the process-only type does not substantially change the interpretation of the results for the integrated type; it does not, however, replace formal IIA tests (Hausman–McFadden, Small–Hsiao). The core technology model in the main text also uses the same sample.</w:t>
      </w:r>
    </w:p>
    <w:bookmarkEnd w:id="54"/>
    <w:bookmarkStart w:id="55" w:name="X3123abb87784e383aa5c5dcfcaefc00ba6812c9"/>
    <w:p>
      <w:pPr>
        <w:pStyle w:val="Heading3"/>
      </w:pPr>
      <w:r>
        <w:t xml:space="preserve">Appendix B. Irrelevant uses of the search terms</w:t>
      </w:r>
    </w:p>
    <w:p>
      <w:pPr>
        <w:pStyle w:val="FirstParagraph"/>
      </w:pPr>
      <w:r>
        <w:t xml:space="preserve">The search terms of the keyword filter are also used in senses unrelated to hybrid bonding. Most such cases are uses of</w:t>
      </w:r>
      <w:r>
        <w:t xml:space="preserve"> </w:t>
      </w:r>
      <w:r>
        <w:rPr>
          <w:i/>
          <w:iCs/>
        </w:rPr>
        <w:t xml:space="preserve">direct bonding</w:t>
      </w:r>
      <w:r>
        <w:t xml:space="preserve"> </w:t>
      </w:r>
      <w:r>
        <w:t xml:space="preserve">in a different sense, and a few are uses of</w:t>
      </w:r>
      <w:r>
        <w:t xml:space="preserve"> </w:t>
      </w:r>
      <w:r>
        <w:rPr>
          <w:i/>
          <w:iCs/>
        </w:rPr>
        <w:t xml:space="preserve">hybrid bonding</w:t>
      </w:r>
      <w:r>
        <w:t xml:space="preserve"> </w:t>
      </w:r>
      <w:r>
        <w:t xml:space="preserve">in the sense of chemical bonding or bonding sheets for power modules. Applications whose titles contained the following terms were judged to be irrelevant uses: ceramic, DBC (direct bonded copper), alumina, zirconia, and aluminum nitride substrates; copper alloys; diamond–molybdenum bonding; laser precursors; electrostatic chucks; power module and power device substrates; heat spreaders; direct bonded metal substrates; direct bonded circuit assemblies; and sp³–sp² hybrid bonding (in the sense of chemical bonding). These applications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their distribution is shown in Table B1. After the irrelevant uses are excluded, many of the remaining applications filed before 2010 concern the direct bonding of silicon wafers (e.g., for manufacturing silicon-on-insulator (SOI) wafers); because these are precursor technologies of the dielectric bonding in hybrid bonding, they were retained in the sample. The list of the 68 titles is available from the authors upon request.</w:t>
      </w:r>
    </w:p>
    <w:p>
      <w:pPr>
        <w:pStyle w:val="BodyText"/>
      </w:pPr>
      <w:r>
        <w:rPr>
          <w:b/>
          <w:bCs/>
          <w:sz w:val="20"/>
          <w:szCs w:val="20"/>
        </w:rPr>
        <w:t xml:space="preserve">Table B1.</w:t>
      </w:r>
      <w:r>
        <w:rPr>
          <w:sz w:val="20"/>
          <w:szCs w:val="20"/>
        </w:rPr>
        <w:t xml:space="preserve"> </w:t>
      </w:r>
      <w:r>
        <w:rPr>
          <w:sz w:val="20"/>
          <w:szCs w:val="20"/>
        </w:rPr>
        <w:t xml:space="preserve">Distribution of the 68 applications judged to be irrelevant uses.</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46"/>
        <w:gridCol w:w="3023"/>
      </w:tblGrid>
      <w:tr>
        <w:trPr>
          <w:tblHeader w:val="on"/>
          <w:cantSplit/>
        </w:trPr>
        <w:tc>
          <w:tcPr>
            <w:tcW w:type="dxa" w:w="6046"/>
            <w:tcBorders>
              <w:bottom w:val="single" w:sz="4" w:space="0" w:color="000000"/>
            </w:tcBorders>
          </w:tcPr>
          <w:p>
            <w:pPr>
              <w:pStyle w:val="Compact"/>
              <w:spacing w:before="20" w:after="20" w:line="240" w:lineRule="auto"/>
              <w:keepNext/>
            </w:pPr>
            <w:r>
              <w:rPr>
                <w:sz w:val="18"/>
                <w:szCs w:val="18"/>
              </w:rPr>
              <w:t xml:space="preserve">Category</w:t>
            </w:r>
          </w:p>
        </w:tc>
        <w:tc>
          <w:tcPr>
            <w:tcW w:type="dxa" w:w="3023"/>
            <w:tcBorders>
              <w:bottom w:val="single" w:sz="4" w:space="0" w:color="000000"/>
            </w:tcBorders>
          </w:tcPr>
          <w:p>
            <w:pPr>
              <w:pStyle w:val="Compact"/>
              <w:spacing w:before="20" w:after="20" w:line="240" w:lineRule="auto"/>
              <w:jc w:val="right"/>
              <w:keepNext/>
            </w:pPr>
            <w:r>
              <w:rPr>
                <w:sz w:val="18"/>
                <w:szCs w:val="18"/>
              </w:rPr>
              <w:t xml:space="preserve">Applications</w:t>
            </w:r>
          </w:p>
        </w:tc>
      </w:tr>
      <w:tr>
        <w:trPr>
          <w:cantSplit/>
        </w:trPr>
        <w:tc>
          <w:tcPr>
            <w:tcW w:type="dxa" w:w="6046"/>
          </w:tcPr>
          <w:p>
            <w:pPr>
              <w:pStyle w:val="Compact"/>
              <w:spacing w:before="20" w:after="20" w:line="240" w:lineRule="auto"/>
              <w:keepNext/>
            </w:pPr>
            <w:r>
              <w:rPr>
                <w:sz w:val="18"/>
                <w:szCs w:val="18"/>
              </w:rPr>
              <w:t xml:space="preserve">Type: bonding-only</w:t>
            </w:r>
          </w:p>
        </w:tc>
        <w:tc>
          <w:tcPr>
            <w:tcW w:type="dxa" w:w="3023"/>
          </w:tcPr>
          <w:p>
            <w:pPr>
              <w:pStyle w:val="Compact"/>
              <w:spacing w:before="20" w:after="20" w:line="240" w:lineRule="auto"/>
              <w:jc w:val="right"/>
              <w:keepNext/>
            </w:pPr>
            <w:r>
              <w:rPr>
                <w:sz w:val="18"/>
                <w:szCs w:val="18"/>
              </w:rPr>
              <w:t xml:space="preserve">34</w:t>
            </w:r>
          </w:p>
        </w:tc>
      </w:tr>
      <w:tr>
        <w:trPr>
          <w:cantSplit/>
        </w:trPr>
        <w:tc>
          <w:tcPr>
            <w:tcW w:type="dxa" w:w="6046"/>
          </w:tcPr>
          <w:p>
            <w:pPr>
              <w:pStyle w:val="Compact"/>
              <w:spacing w:before="20" w:after="20" w:line="240" w:lineRule="auto"/>
              <w:keepNext/>
            </w:pPr>
            <w:r>
              <w:rPr>
                <w:sz w:val="18"/>
                <w:szCs w:val="18"/>
              </w:rPr>
              <w:t xml:space="preserve">Type: integrated</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Type: process-only</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Filing period: 1968–2014</w:t>
            </w:r>
          </w:p>
        </w:tc>
        <w:tc>
          <w:tcPr>
            <w:tcW w:type="dxa" w:w="3023"/>
          </w:tcPr>
          <w:p>
            <w:pPr>
              <w:pStyle w:val="Compact"/>
              <w:spacing w:before="20" w:after="20" w:line="240" w:lineRule="auto"/>
              <w:jc w:val="right"/>
              <w:keepNext/>
            </w:pPr>
            <w:r>
              <w:rPr>
                <w:sz w:val="18"/>
                <w:szCs w:val="18"/>
              </w:rPr>
              <w:t xml:space="preserve">36</w:t>
            </w:r>
          </w:p>
        </w:tc>
      </w:tr>
      <w:tr>
        <w:trPr>
          <w:cantSplit/>
        </w:trPr>
        <w:tc>
          <w:tcPr>
            <w:tcW w:type="dxa" w:w="6046"/>
          </w:tcPr>
          <w:p>
            <w:pPr>
              <w:pStyle w:val="Compact"/>
              <w:spacing w:before="20" w:after="20" w:line="240" w:lineRule="auto"/>
              <w:keepNext/>
            </w:pPr>
            <w:r>
              <w:rPr>
                <w:sz w:val="18"/>
                <w:szCs w:val="18"/>
              </w:rPr>
              <w:t xml:space="preserve">Filing period: 2015–2024</w:t>
            </w:r>
          </w:p>
        </w:tc>
        <w:tc>
          <w:tcPr>
            <w:tcW w:type="dxa" w:w="3023"/>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2026-10-12T17:36:09Z</dcterms:created>
  <dcterms:modified xsi:type="dcterms:W3CDTF">2026-10-12T17:36:09Z</dcterms:modified>
</cp:coreProperties>
</file>

<file path=docProps/custom.xml><?xml version="1.0" encoding="utf-8"?>
<Properties xmlns="http://schemas.openxmlformats.org/officeDocument/2006/custom-properties" xmlns:vt="http://schemas.openxmlformats.org/officeDocument/2006/docPropsVTypes"/>
</file>