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w:t>
      </w:r>
    </w:p>
    <w:p>
      <w:pPr>
        <w:pStyle w:val="BodyText"/>
      </w:pPr>
      <w:r>
        <w:t xml:space="preserve">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does not perform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are the largest group at 45.8%, and 37.2% under a conservative definition.</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bonding-only applications increased. In the regressions, applications covering more diverse technical elements were more likely to be integrated (relative-risk ratio 1.40), and this association held in all three phases. More recent filings were relatively less likely to be classified as process-only, so the centre of gravity of convergence moved towards bonding.</w:t>
      </w:r>
    </w:p>
    <w:p>
      <w:pPr>
        <w:pStyle w:val="BodyText"/>
      </w:pPr>
      <w:r>
        <w:t xml:space="preserve">A technology cluster and network analysis identifies the core of hybrid bonding as four bonding symbols for connecting bonding pads directly, without bumps. Applications containing this core had 11.1 times the odds of also carrying fabrication-process symbols in the formation phase; the ratio fell to 2.5 in the diffusion phase and disappeared in the reconfiguration phase. In the reconfiguration phase, convergence appeared not in the core technology but in combinations with die-handling processes such as temporary carriers and encapsulation. Rather than accumulating in one direction, cross-stage convergence unfolded as the place where it occurs moved from the core of the technology to its periphery while the core design settled.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기술경계의 융합을 개별특허의 수준에서 확인할 수 있는지, 그리고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서로 다른 산업이나 기술 분야가 겹치는 경우에 관심을 두었지,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 논문이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출원이 경계를 넘었고,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w:t>
      </w:r>
    </w:p>
    <w:p>
      <w:pPr>
        <w:pStyle w:val="BodyText"/>
      </w:pPr>
      <w:r>
        <w:t xml:space="preserve">이 논문의 기여는 세 갈래로 나뉜다. 개념적으로는 산업 간 사례에 머물던 융합 이론을 산업 내 공정 단계 간 사례로 넓히고, 융합을 정도의 증감이 아니라 내용과 자리가 바뀌는 과정으로 기술한다. 또한 반도체 산업의 분업 구조에 관한 연구(Langlois and Steinmueller, 1999; Kapoor and Adner, 2012; Kapoor, 2013)와 지배적 설계에 관한 기술 순환 이론(Anderson and Tushman, 1990)을 공정 단계 수준의 특허 증거와 연결한다.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이루고, 기술이 확산되는 시기에는 공정 지식이 접합 발명과 결합하는 사례가 늘어난다. 이후 하나의 설계 방식이 지배적 설계로 자리 잡으면, 두 공정의 결합은 응용에 필요한 주변 공정으로 옮겨 간다. 이러한 이론적 논의에 근거하여 본 연구는 다음 세 가지 가설을 설정한다.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접합·연결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IIA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접합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제조공정 발명에서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기호였으며(제4.4절), 이는 접합 원리 자체보다 다이를 취급하고 패키지로 완성하는 공정에 해당한다. 요컨대 초기에는 핵심 기술의 발명이 제조공정 지식을 함께 담았지만, 최근에는 핵심 기술이 접합 분류 안에서 독립적으로 기술되고 제조공정 지식은 다이 취급이나 패키지 공정 같은 주변 공정과 결합하는 방향으로 변화한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52.0%로 낮아지고, 유형 분포는 접합 단독형 46.8%, 통합형 37.2%, 공정 단독형 16.0%로 바뀌어 접합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 제목에</w:t>
      </w:r>
      <w:r>
        <w:t xml:space="preserve"> </w:t>
      </w:r>
      <w:r>
        <w:rPr>
          <w:i/>
          <w:iCs/>
        </w:rPr>
        <w:t xml:space="preserve">hybrid bonding</w:t>
      </w:r>
      <w:r>
        <w:t xml:space="preserve">이 들어 있는 핵심 표본(N = 467)에서는 통합형 49.5%, 접합 단독형 38.3%, 공정 단독형 12.2%이며,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패키징 단계 공정 기호만 가진 출원을 접합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보호를 위한 전략인 동시에, 공정 간 융합이 특허 분류에 드러나는 방식이기도 하다.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다섯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 [Kinex integrated die-to-wafer hybrid bonding system; 김지혜 작성].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패키징 단계 공정 기호를 제조공정으로 세지 않은 변수를, 무관 용법 제외는 부록 B의 68건을 뺀 표본을, 핵심 표본은 제목에 hybrid bonding이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74"/>
        <w:gridCol w:w="1128"/>
        <w:gridCol w:w="1128"/>
        <w:gridCol w:w="1128"/>
        <w:gridCol w:w="1128"/>
        <w:gridCol w:w="1128"/>
        <w:gridCol w:w="1128"/>
        <w:gridCol w:w="1128"/>
      </w:tblGrid>
      <w:tr>
        <w:trPr>
          <w:tblHeader w:val="on"/>
          <w:cantSplit/>
        </w:trPr>
        <w:tc>
          <w:tcPr>
            <w:tcW w:type="dxa" w:w="1174"/>
            <w:tcBorders>
              <w:bottom w:val="single" w:sz="4" w:space="0" w:color="000000"/>
            </w:tcBorders>
          </w:tcPr>
          <w:p>
            <w:pPr>
              <w:pStyle w:val="Compact"/>
              <w:spacing w:before="20" w:after="20" w:line="240" w:lineRule="auto"/>
              <w:keepNext/>
            </w:pPr>
          </w:p>
        </w:tc>
        <w:tc>
          <w:tcPr>
            <w:tcW w:type="dxa" w:w="1128"/>
            <w:tcBorders>
              <w:bottom w:val="single" w:sz="4" w:space="0" w:color="000000"/>
            </w:tcBorders>
          </w:tcPr>
          <w:p>
            <w:pPr>
              <w:pStyle w:val="Compact"/>
              <w:spacing w:before="20" w:after="20" w:line="240" w:lineRule="auto"/>
              <w:jc w:val="center"/>
              <w:keepNext/>
            </w:pPr>
            <w:r>
              <w:rPr>
                <w:sz w:val="14"/>
                <w:szCs w:val="14"/>
              </w:rPr>
              <w:t xml:space="preserve">기준</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조정 범위</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동일 제목 중복 제거</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좁은 전공정 정의</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무관 용법 제외</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핵심 표본</w:t>
            </w:r>
          </w:p>
        </w:tc>
        <w:tc>
          <w:tcPr>
            <w:tcW w:type="dxa" w:w="1128"/>
            <w:tcBorders>
              <w:bottom w:val="single" w:sz="4" w:space="0" w:color="000000"/>
            </w:tcBorders>
          </w:tcPr>
          <w:p>
            <w:pPr>
              <w:pStyle w:val="Compact"/>
              <w:spacing w:before="20" w:after="20" w:line="240" w:lineRule="auto"/>
              <w:jc w:val="center"/>
              <w:keepNext/>
            </w:pPr>
            <w:r>
              <w:rPr>
                <w:sz w:val="14"/>
                <w:szCs w:val="14"/>
              </w:rPr>
              <w:t xml:space="preserve">2010년 이후</w:t>
            </w:r>
          </w:p>
        </w:tc>
      </w:tr>
      <w:tr>
        <w:trPr>
          <w:cantSplit/>
        </w:trPr>
        <w:tc>
          <w:tcPr>
            <w:tcW w:type="dxa" w:w="1174"/>
          </w:tcPr>
          <w:p>
            <w:pPr>
              <w:pStyle w:val="Compact"/>
              <w:spacing w:before="20" w:after="20" w:line="240" w:lineRule="auto"/>
              <w:keepNext/>
            </w:pPr>
            <w:r>
              <w:rPr>
                <w:sz w:val="14"/>
                <w:szCs w:val="14"/>
              </w:rPr>
              <w:t xml:space="preserve">출원연도(yc)</w:t>
            </w:r>
          </w:p>
        </w:tc>
        <w:tc>
          <w:tcPr>
            <w:tcW w:type="dxa" w:w="1128"/>
          </w:tcPr>
          <w:p>
            <w:pPr>
              <w:pStyle w:val="Compact"/>
              <w:spacing w:before="20" w:after="20" w:line="240" w:lineRule="auto"/>
              <w:jc w:val="center"/>
              <w:keepNext/>
            </w:pPr>
            <w:r>
              <w:rPr>
                <w:sz w:val="14"/>
                <w:szCs w:val="14"/>
              </w:rPr>
              <w:t xml:space="preserve">0.993 (0.015)</w:t>
            </w:r>
          </w:p>
        </w:tc>
        <w:tc>
          <w:tcPr>
            <w:tcW w:type="dxa" w:w="1128"/>
          </w:tcPr>
          <w:p>
            <w:pPr>
              <w:pStyle w:val="Compact"/>
              <w:spacing w:before="20" w:after="20" w:line="240" w:lineRule="auto"/>
              <w:jc w:val="center"/>
              <w:keepNext/>
            </w:pPr>
            <w:r>
              <w:rPr>
                <w:sz w:val="14"/>
                <w:szCs w:val="14"/>
              </w:rPr>
              <w:t xml:space="preserve">1.002 (0.014)</w:t>
            </w:r>
          </w:p>
        </w:tc>
        <w:tc>
          <w:tcPr>
            <w:tcW w:type="dxa" w:w="1128"/>
          </w:tcPr>
          <w:p>
            <w:pPr>
              <w:pStyle w:val="Compact"/>
              <w:spacing w:before="20" w:after="20" w:line="240" w:lineRule="auto"/>
              <w:jc w:val="center"/>
              <w:keepNext/>
            </w:pPr>
            <w:r>
              <w:rPr>
                <w:sz w:val="14"/>
                <w:szCs w:val="14"/>
              </w:rPr>
              <w:t xml:space="preserve">0.997 (0.018)</w:t>
            </w:r>
          </w:p>
        </w:tc>
        <w:tc>
          <w:tcPr>
            <w:tcW w:type="dxa" w:w="1128"/>
          </w:tcPr>
          <w:p>
            <w:pPr>
              <w:pStyle w:val="Compact"/>
              <w:spacing w:before="20" w:after="20" w:line="240" w:lineRule="auto"/>
              <w:jc w:val="center"/>
              <w:keepNext/>
            </w:pPr>
            <w:r>
              <w:rPr>
                <w:sz w:val="14"/>
                <w:szCs w:val="14"/>
              </w:rPr>
              <w:t xml:space="preserve">0.967** (0.015)</w:t>
            </w:r>
          </w:p>
        </w:tc>
        <w:tc>
          <w:tcPr>
            <w:tcW w:type="dxa" w:w="1128"/>
          </w:tcPr>
          <w:p>
            <w:pPr>
              <w:pStyle w:val="Compact"/>
              <w:spacing w:before="20" w:after="20" w:line="240" w:lineRule="auto"/>
              <w:jc w:val="center"/>
              <w:keepNext/>
            </w:pPr>
            <w:r>
              <w:rPr>
                <w:sz w:val="14"/>
                <w:szCs w:val="14"/>
              </w:rPr>
              <w:t xml:space="preserve">0.949** (0.022)</w:t>
            </w:r>
          </w:p>
        </w:tc>
        <w:tc>
          <w:tcPr>
            <w:tcW w:type="dxa" w:w="1128"/>
          </w:tcPr>
          <w:p>
            <w:pPr>
              <w:pStyle w:val="Compact"/>
              <w:spacing w:before="20" w:after="20" w:line="240" w:lineRule="auto"/>
              <w:jc w:val="center"/>
              <w:keepNext/>
            </w:pPr>
            <w:r>
              <w:rPr>
                <w:sz w:val="14"/>
                <w:szCs w:val="14"/>
              </w:rPr>
              <w:t xml:space="preserve">0.965 (0.033)</w:t>
            </w:r>
          </w:p>
        </w:tc>
        <w:tc>
          <w:tcPr>
            <w:tcW w:type="dxa" w:w="1128"/>
          </w:tcPr>
          <w:p>
            <w:pPr>
              <w:pStyle w:val="Compact"/>
              <w:spacing w:before="20" w:after="20" w:line="240" w:lineRule="auto"/>
              <w:jc w:val="center"/>
              <w:keepNext/>
            </w:pPr>
            <w:r>
              <w:rPr>
                <w:sz w:val="14"/>
                <w:szCs w:val="14"/>
              </w:rPr>
              <w:t xml:space="preserve">0.934** (0.027)</w:t>
            </w:r>
          </w:p>
        </w:tc>
      </w:tr>
      <w:tr>
        <w:trPr>
          <w:cantSplit/>
        </w:trPr>
        <w:tc>
          <w:tcPr>
            <w:tcW w:type="dxa" w:w="1174"/>
          </w:tcPr>
          <w:p>
            <w:pPr>
              <w:pStyle w:val="Compact"/>
              <w:spacing w:before="20" w:after="20" w:line="240" w:lineRule="auto"/>
              <w:keepNext/>
            </w:pPr>
            <w:r>
              <w:rPr>
                <w:sz w:val="14"/>
                <w:szCs w:val="14"/>
              </w:rPr>
              <w:t xml:space="preserve">기술범위</w:t>
            </w:r>
          </w:p>
        </w:tc>
        <w:tc>
          <w:tcPr>
            <w:tcW w:type="dxa" w:w="1128"/>
          </w:tcPr>
          <w:p>
            <w:pPr>
              <w:pStyle w:val="Compact"/>
              <w:spacing w:before="20" w:after="20" w:line="240" w:lineRule="auto"/>
              <w:jc w:val="center"/>
              <w:keepNext/>
            </w:pPr>
            <w:r>
              <w:rPr>
                <w:sz w:val="14"/>
                <w:szCs w:val="14"/>
              </w:rPr>
              <w:t xml:space="preserve">1.403*** (0.031)</w:t>
            </w:r>
          </w:p>
        </w:tc>
        <w:tc>
          <w:tcPr>
            <w:tcW w:type="dxa" w:w="1128"/>
          </w:tcPr>
          <w:p>
            <w:pPr>
              <w:pStyle w:val="Compact"/>
              <w:spacing w:before="20" w:after="20" w:line="240" w:lineRule="auto"/>
              <w:jc w:val="center"/>
              <w:keepNext/>
            </w:pPr>
            <w:r>
              <w:rPr>
                <w:sz w:val="14"/>
                <w:szCs w:val="14"/>
              </w:rPr>
              <w:t xml:space="preserve">1.262*** (0.027)</w:t>
            </w:r>
          </w:p>
        </w:tc>
        <w:tc>
          <w:tcPr>
            <w:tcW w:type="dxa" w:w="1128"/>
          </w:tcPr>
          <w:p>
            <w:pPr>
              <w:pStyle w:val="Compact"/>
              <w:spacing w:before="20" w:after="20" w:line="240" w:lineRule="auto"/>
              <w:jc w:val="center"/>
              <w:keepNext/>
            </w:pPr>
            <w:r>
              <w:rPr>
                <w:sz w:val="14"/>
                <w:szCs w:val="14"/>
              </w:rPr>
              <w:t xml:space="preserve">1.295*** (0.039)</w:t>
            </w:r>
          </w:p>
        </w:tc>
        <w:tc>
          <w:tcPr>
            <w:tcW w:type="dxa" w:w="1128"/>
          </w:tcPr>
          <w:p>
            <w:pPr>
              <w:pStyle w:val="Compact"/>
              <w:spacing w:before="20" w:after="20" w:line="240" w:lineRule="auto"/>
              <w:jc w:val="center"/>
              <w:keepNext/>
            </w:pPr>
            <w:r>
              <w:rPr>
                <w:sz w:val="14"/>
                <w:szCs w:val="14"/>
              </w:rPr>
              <w:t xml:space="preserve">1.352*** (0.028)</w:t>
            </w:r>
          </w:p>
        </w:tc>
        <w:tc>
          <w:tcPr>
            <w:tcW w:type="dxa" w:w="1128"/>
          </w:tcPr>
          <w:p>
            <w:pPr>
              <w:pStyle w:val="Compact"/>
              <w:spacing w:before="20" w:after="20" w:line="240" w:lineRule="auto"/>
              <w:jc w:val="center"/>
              <w:keepNext/>
            </w:pPr>
            <w:r>
              <w:rPr>
                <w:sz w:val="14"/>
                <w:szCs w:val="14"/>
              </w:rPr>
              <w:t xml:space="preserve">1.384*** (0.031)</w:t>
            </w:r>
          </w:p>
        </w:tc>
        <w:tc>
          <w:tcPr>
            <w:tcW w:type="dxa" w:w="1128"/>
          </w:tcPr>
          <w:p>
            <w:pPr>
              <w:pStyle w:val="Compact"/>
              <w:spacing w:before="20" w:after="20" w:line="240" w:lineRule="auto"/>
              <w:jc w:val="center"/>
              <w:keepNext/>
            </w:pPr>
            <w:r>
              <w:rPr>
                <w:sz w:val="14"/>
                <w:szCs w:val="14"/>
              </w:rPr>
              <w:t xml:space="preserve">1.485*** (0.044)</w:t>
            </w:r>
          </w:p>
        </w:tc>
        <w:tc>
          <w:tcPr>
            <w:tcW w:type="dxa" w:w="1128"/>
          </w:tcPr>
          <w:p>
            <w:pPr>
              <w:pStyle w:val="Compact"/>
              <w:spacing w:before="20" w:after="20" w:line="240" w:lineRule="auto"/>
              <w:jc w:val="center"/>
              <w:keepNext/>
            </w:pPr>
            <w:r>
              <w:rPr>
                <w:sz w:val="14"/>
                <w:szCs w:val="14"/>
              </w:rPr>
              <w:t xml:space="preserve">1.385*** (0.032)</w:t>
            </w:r>
          </w:p>
        </w:tc>
      </w:tr>
      <w:tr>
        <w:trPr>
          <w:cantSplit/>
        </w:trPr>
        <w:tc>
          <w:tcPr>
            <w:tcW w:type="dxa" w:w="1174"/>
          </w:tcPr>
          <w:p>
            <w:pPr>
              <w:pStyle w:val="Compact"/>
              <w:spacing w:before="20" w:after="20" w:line="240" w:lineRule="auto"/>
              <w:keepNext/>
            </w:pPr>
            <w:r>
              <w:rPr>
                <w:sz w:val="14"/>
                <w:szCs w:val="14"/>
              </w:rPr>
              <w:t xml:space="preserve">N</w:t>
            </w:r>
          </w:p>
        </w:tc>
        <w:tc>
          <w:tcPr>
            <w:tcW w:type="dxa" w:w="1128"/>
          </w:tcPr>
          <w:p>
            <w:pPr>
              <w:pStyle w:val="Compact"/>
              <w:spacing w:before="20" w:after="20" w:line="240" w:lineRule="auto"/>
              <w:jc w:val="center"/>
              <w:keepNext/>
            </w:pPr>
            <w:r>
              <w:rPr>
                <w:sz w:val="14"/>
                <w:szCs w:val="14"/>
              </w:rPr>
              <w:t xml:space="preserve">928</w:t>
            </w:r>
          </w:p>
        </w:tc>
        <w:tc>
          <w:tcPr>
            <w:tcW w:type="dxa" w:w="1128"/>
          </w:tcPr>
          <w:p>
            <w:pPr>
              <w:pStyle w:val="Compact"/>
              <w:spacing w:before="20" w:after="20" w:line="240" w:lineRule="auto"/>
              <w:jc w:val="center"/>
              <w:keepNext/>
            </w:pPr>
            <w:r>
              <w:rPr>
                <w:sz w:val="14"/>
                <w:szCs w:val="14"/>
              </w:rPr>
              <w:t xml:space="preserve">928</w:t>
            </w:r>
          </w:p>
        </w:tc>
        <w:tc>
          <w:tcPr>
            <w:tcW w:type="dxa" w:w="1128"/>
          </w:tcPr>
          <w:p>
            <w:pPr>
              <w:pStyle w:val="Compact"/>
              <w:spacing w:before="20" w:after="20" w:line="240" w:lineRule="auto"/>
              <w:jc w:val="center"/>
              <w:keepNext/>
            </w:pPr>
            <w:r>
              <w:rPr>
                <w:sz w:val="14"/>
                <w:szCs w:val="14"/>
              </w:rPr>
              <w:t xml:space="preserve">473</w:t>
            </w:r>
          </w:p>
        </w:tc>
        <w:tc>
          <w:tcPr>
            <w:tcW w:type="dxa" w:w="1128"/>
          </w:tcPr>
          <w:p>
            <w:pPr>
              <w:pStyle w:val="Compact"/>
              <w:spacing w:before="20" w:after="20" w:line="240" w:lineRule="auto"/>
              <w:jc w:val="center"/>
              <w:keepNext/>
            </w:pPr>
            <w:r>
              <w:rPr>
                <w:sz w:val="14"/>
                <w:szCs w:val="14"/>
              </w:rPr>
              <w:t xml:space="preserve">908</w:t>
            </w:r>
          </w:p>
        </w:tc>
        <w:tc>
          <w:tcPr>
            <w:tcW w:type="dxa" w:w="1128"/>
          </w:tcPr>
          <w:p>
            <w:pPr>
              <w:pStyle w:val="Compact"/>
              <w:spacing w:before="20" w:after="20" w:line="240" w:lineRule="auto"/>
              <w:jc w:val="center"/>
              <w:keepNext/>
            </w:pPr>
            <w:r>
              <w:rPr>
                <w:sz w:val="14"/>
                <w:szCs w:val="14"/>
              </w:rPr>
              <w:t xml:space="preserve">860</w:t>
            </w:r>
          </w:p>
        </w:tc>
        <w:tc>
          <w:tcPr>
            <w:tcW w:type="dxa" w:w="1128"/>
          </w:tcPr>
          <w:p>
            <w:pPr>
              <w:pStyle w:val="Compact"/>
              <w:spacing w:before="20" w:after="20" w:line="240" w:lineRule="auto"/>
              <w:jc w:val="center"/>
              <w:keepNext/>
            </w:pPr>
            <w:r>
              <w:rPr>
                <w:sz w:val="14"/>
                <w:szCs w:val="14"/>
              </w:rPr>
              <w:t xml:space="preserve">467</w:t>
            </w:r>
          </w:p>
        </w:tc>
        <w:tc>
          <w:tcPr>
            <w:tcW w:type="dxa" w:w="1128"/>
          </w:tcPr>
          <w:p>
            <w:pPr>
              <w:pStyle w:val="Compact"/>
              <w:spacing w:before="20" w:after="20" w:line="240" w:lineRule="auto"/>
              <w:jc w:val="center"/>
              <w:keepNext/>
            </w:pPr>
            <w:r>
              <w:rPr>
                <w:sz w:val="14"/>
                <w:szCs w:val="14"/>
              </w:rPr>
              <w:t xml:space="preserve">830</w:t>
            </w:r>
          </w:p>
        </w:tc>
      </w:tr>
      <w:tr>
        <w:trPr>
          <w:cantSplit/>
        </w:trPr>
        <w:tc>
          <w:tcPr>
            <w:tcW w:type="dxa" w:w="1174"/>
          </w:tcPr>
          <w:p>
            <w:pPr>
              <w:pStyle w:val="Compact"/>
              <w:spacing w:before="20" w:after="20" w:line="240" w:lineRule="auto"/>
              <w:keepNext/>
            </w:pPr>
            <w:r>
              <w:rPr>
                <w:sz w:val="14"/>
                <w:szCs w:val="14"/>
              </w:rPr>
              <w:t xml:space="preserve">로그우도</w:t>
            </w:r>
          </w:p>
        </w:tc>
        <w:tc>
          <w:tcPr>
            <w:tcW w:type="dxa" w:w="1128"/>
          </w:tcPr>
          <w:p>
            <w:pPr>
              <w:pStyle w:val="Compact"/>
              <w:spacing w:before="20" w:after="20" w:line="240" w:lineRule="auto"/>
              <w:jc w:val="center"/>
              <w:keepNext/>
            </w:pPr>
            <w:r>
              <w:rPr>
                <w:sz w:val="14"/>
                <w:szCs w:val="14"/>
              </w:rPr>
              <w:t xml:space="preserve">−774.5</w:t>
            </w:r>
          </w:p>
        </w:tc>
        <w:tc>
          <w:tcPr>
            <w:tcW w:type="dxa" w:w="1128"/>
          </w:tcPr>
          <w:p>
            <w:pPr>
              <w:pStyle w:val="Compact"/>
              <w:spacing w:before="20" w:after="20" w:line="240" w:lineRule="auto"/>
              <w:jc w:val="center"/>
              <w:keepNext/>
            </w:pPr>
            <w:r>
              <w:rPr>
                <w:sz w:val="14"/>
                <w:szCs w:val="14"/>
              </w:rPr>
              <w:t xml:space="preserve">−829.4</w:t>
            </w:r>
          </w:p>
        </w:tc>
        <w:tc>
          <w:tcPr>
            <w:tcW w:type="dxa" w:w="1128"/>
          </w:tcPr>
          <w:p>
            <w:pPr>
              <w:pStyle w:val="Compact"/>
              <w:spacing w:before="20" w:after="20" w:line="240" w:lineRule="auto"/>
              <w:jc w:val="center"/>
              <w:keepNext/>
            </w:pPr>
            <w:r>
              <w:rPr>
                <w:sz w:val="14"/>
                <w:szCs w:val="14"/>
              </w:rPr>
              <w:t xml:space="preserve">−425.3</w:t>
            </w:r>
          </w:p>
        </w:tc>
        <w:tc>
          <w:tcPr>
            <w:tcW w:type="dxa" w:w="1128"/>
          </w:tcPr>
          <w:p>
            <w:pPr>
              <w:pStyle w:val="Compact"/>
              <w:spacing w:before="20" w:after="20" w:line="240" w:lineRule="auto"/>
              <w:jc w:val="center"/>
              <w:keepNext/>
            </w:pPr>
            <w:r>
              <w:rPr>
                <w:sz w:val="14"/>
                <w:szCs w:val="14"/>
              </w:rPr>
              <w:t xml:space="preserve">−755.9</w:t>
            </w:r>
          </w:p>
        </w:tc>
        <w:tc>
          <w:tcPr>
            <w:tcW w:type="dxa" w:w="1128"/>
          </w:tcPr>
          <w:p>
            <w:pPr>
              <w:pStyle w:val="Compact"/>
              <w:spacing w:before="20" w:after="20" w:line="240" w:lineRule="auto"/>
              <w:jc w:val="center"/>
              <w:keepNext/>
            </w:pPr>
            <w:r>
              <w:rPr>
                <w:sz w:val="14"/>
                <w:szCs w:val="14"/>
              </w:rPr>
              <w:t xml:space="preserve">−682.7</w:t>
            </w:r>
          </w:p>
        </w:tc>
        <w:tc>
          <w:tcPr>
            <w:tcW w:type="dxa" w:w="1128"/>
          </w:tcPr>
          <w:p>
            <w:pPr>
              <w:pStyle w:val="Compact"/>
              <w:spacing w:before="20" w:after="20" w:line="240" w:lineRule="auto"/>
              <w:jc w:val="center"/>
              <w:keepNext/>
            </w:pPr>
            <w:r>
              <w:rPr>
                <w:sz w:val="14"/>
                <w:szCs w:val="14"/>
              </w:rPr>
              <w:t xml:space="preserve">−364.0</w:t>
            </w:r>
          </w:p>
        </w:tc>
        <w:tc>
          <w:tcPr>
            <w:tcW w:type="dxa" w:w="1128"/>
          </w:tcPr>
          <w:p>
            <w:pPr>
              <w:pStyle w:val="Compact"/>
              <w:spacing w:before="20" w:after="20" w:line="240" w:lineRule="auto"/>
              <w:jc w:val="center"/>
              <w:keepNext/>
            </w:pPr>
            <w:r>
              <w:rPr>
                <w:sz w:val="14"/>
                <w:szCs w:val="14"/>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8"/>
        <w:gridCol w:w="1158"/>
        <w:gridCol w:w="1158"/>
        <w:gridCol w:w="1158"/>
        <w:gridCol w:w="1158"/>
        <w:gridCol w:w="1021"/>
        <w:gridCol w:w="1158"/>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8"/>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58"/>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5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1"/>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5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8"/>
          </w:tcPr>
          <w:p>
            <w:pPr>
              <w:pStyle w:val="Compact"/>
              <w:spacing w:before="20" w:after="20" w:line="240" w:lineRule="auto"/>
              <w:jc w:val="center"/>
              <w:keepNext/>
            </w:pPr>
            <w:r>
              <w:rPr>
                <w:sz w:val="13"/>
                <w:szCs w:val="13"/>
              </w:rPr>
              <w:t xml:space="preserve">0.913*** (0.015)</w:t>
            </w:r>
          </w:p>
        </w:tc>
        <w:tc>
          <w:tcPr>
            <w:tcW w:type="dxa" w:w="1158"/>
          </w:tcPr>
          <w:p>
            <w:pPr>
              <w:pStyle w:val="Compact"/>
              <w:spacing w:before="20" w:after="20" w:line="240" w:lineRule="auto"/>
              <w:jc w:val="center"/>
              <w:keepNext/>
            </w:pPr>
            <w:r>
              <w:rPr>
                <w:sz w:val="13"/>
                <w:szCs w:val="13"/>
              </w:rPr>
              <w:t xml:space="preserve">0.911*** (0.015)</w:t>
            </w:r>
          </w:p>
        </w:tc>
        <w:tc>
          <w:tcPr>
            <w:tcW w:type="dxa" w:w="1158"/>
          </w:tcPr>
          <w:p>
            <w:pPr>
              <w:pStyle w:val="Compact"/>
              <w:spacing w:before="20" w:after="20" w:line="240" w:lineRule="auto"/>
              <w:jc w:val="center"/>
              <w:keepNext/>
            </w:pPr>
            <w:r>
              <w:rPr>
                <w:sz w:val="13"/>
                <w:szCs w:val="13"/>
              </w:rPr>
              <w:t xml:space="preserve">0.935*** (0.016)</w:t>
            </w:r>
          </w:p>
        </w:tc>
        <w:tc>
          <w:tcPr>
            <w:tcW w:type="dxa" w:w="1158"/>
          </w:tcPr>
          <w:p>
            <w:pPr>
              <w:pStyle w:val="Compact"/>
              <w:spacing w:before="20" w:after="20" w:line="240" w:lineRule="auto"/>
              <w:jc w:val="center"/>
              <w:keepNext/>
            </w:pPr>
            <w:r>
              <w:rPr>
                <w:sz w:val="13"/>
                <w:szCs w:val="13"/>
              </w:rPr>
              <w:t xml:space="preserve">0.898*** (0.015)</w:t>
            </w:r>
          </w:p>
        </w:tc>
        <w:tc>
          <w:tcPr>
            <w:tcW w:type="dxa" w:w="1158"/>
          </w:tcPr>
          <w:p>
            <w:pPr>
              <w:pStyle w:val="Compact"/>
              <w:spacing w:before="20" w:after="20" w:line="240" w:lineRule="auto"/>
              <w:jc w:val="center"/>
              <w:keepNext/>
            </w:pPr>
            <w:r>
              <w:rPr>
                <w:sz w:val="13"/>
                <w:szCs w:val="13"/>
              </w:rPr>
              <w:t xml:space="preserve">0.820*** (0.023)</w:t>
            </w:r>
          </w:p>
        </w:tc>
        <w:tc>
          <w:tcPr>
            <w:tcW w:type="dxa" w:w="1021"/>
          </w:tcPr>
          <w:p>
            <w:pPr>
              <w:pStyle w:val="Compact"/>
              <w:spacing w:before="20" w:after="20" w:line="240" w:lineRule="auto"/>
              <w:jc w:val="center"/>
              <w:keepNext/>
            </w:pPr>
            <w:r>
              <w:rPr>
                <w:sz w:val="13"/>
                <w:szCs w:val="13"/>
              </w:rPr>
              <w:t xml:space="preserve">1.029 (0.057)</w:t>
            </w:r>
          </w:p>
        </w:tc>
        <w:tc>
          <w:tcPr>
            <w:tcW w:type="dxa" w:w="1158"/>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8"/>
          </w:tcPr>
          <w:p>
            <w:pPr>
              <w:pStyle w:val="Compact"/>
              <w:spacing w:before="20" w:after="20" w:line="240" w:lineRule="auto"/>
              <w:jc w:val="center"/>
              <w:keepNext/>
            </w:pPr>
            <w:r>
              <w:rPr>
                <w:sz w:val="13"/>
                <w:szCs w:val="13"/>
              </w:rPr>
              <w:t xml:space="preserve">0.905** (0.048)</w:t>
            </w:r>
          </w:p>
        </w:tc>
        <w:tc>
          <w:tcPr>
            <w:tcW w:type="dxa" w:w="1158"/>
          </w:tcPr>
          <w:p>
            <w:pPr>
              <w:pStyle w:val="Compact"/>
              <w:spacing w:before="20" w:after="20" w:line="240" w:lineRule="auto"/>
              <w:jc w:val="center"/>
              <w:keepNext/>
            </w:pPr>
            <w:r>
              <w:rPr>
                <w:sz w:val="13"/>
                <w:szCs w:val="13"/>
              </w:rPr>
              <w:t xml:space="preserve">0.915** (0.044)</w:t>
            </w:r>
          </w:p>
        </w:tc>
        <w:tc>
          <w:tcPr>
            <w:tcW w:type="dxa" w:w="1158"/>
          </w:tcPr>
          <w:p>
            <w:pPr>
              <w:pStyle w:val="Compact"/>
              <w:spacing w:before="20" w:after="20" w:line="240" w:lineRule="auto"/>
              <w:jc w:val="center"/>
              <w:keepNext/>
            </w:pPr>
            <w:r>
              <w:rPr>
                <w:sz w:val="13"/>
                <w:szCs w:val="13"/>
              </w:rPr>
              <w:t xml:space="preserve">0.826*** (0.061)</w:t>
            </w:r>
          </w:p>
        </w:tc>
        <w:tc>
          <w:tcPr>
            <w:tcW w:type="dxa" w:w="1158"/>
          </w:tcPr>
          <w:p>
            <w:pPr>
              <w:pStyle w:val="Compact"/>
              <w:spacing w:before="20" w:after="20" w:line="240" w:lineRule="auto"/>
              <w:jc w:val="center"/>
              <w:keepNext/>
            </w:pPr>
            <w:r>
              <w:rPr>
                <w:sz w:val="13"/>
                <w:szCs w:val="13"/>
              </w:rPr>
              <w:t xml:space="preserve">0.923* (0.045)</w:t>
            </w:r>
          </w:p>
        </w:tc>
        <w:tc>
          <w:tcPr>
            <w:tcW w:type="dxa" w:w="1158"/>
          </w:tcPr>
          <w:p>
            <w:pPr>
              <w:pStyle w:val="Compact"/>
              <w:spacing w:before="20" w:after="20" w:line="240" w:lineRule="auto"/>
              <w:jc w:val="center"/>
              <w:keepNext/>
            </w:pPr>
            <w:r>
              <w:rPr>
                <w:sz w:val="13"/>
                <w:szCs w:val="13"/>
              </w:rPr>
              <w:t xml:space="preserve">0.916* (0.050)</w:t>
            </w:r>
          </w:p>
        </w:tc>
        <w:tc>
          <w:tcPr>
            <w:tcW w:type="dxa" w:w="1021"/>
          </w:tcPr>
          <w:p>
            <w:pPr>
              <w:pStyle w:val="Compact"/>
              <w:spacing w:before="20" w:after="20" w:line="240" w:lineRule="auto"/>
              <w:jc w:val="center"/>
              <w:keepNext/>
            </w:pPr>
            <w:r>
              <w:rPr>
                <w:sz w:val="13"/>
                <w:szCs w:val="13"/>
              </w:rPr>
              <w:t xml:space="preserve">1.129* (0.062)</w:t>
            </w:r>
          </w:p>
        </w:tc>
        <w:tc>
          <w:tcPr>
            <w:tcW w:type="dxa" w:w="1158"/>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1158"/>
          </w:tcPr>
          <w:p>
            <w:pPr>
              <w:pStyle w:val="Compact"/>
              <w:spacing w:before="20" w:after="20" w:line="240" w:lineRule="auto"/>
              <w:jc w:val="center"/>
              <w:keepNext/>
            </w:pPr>
            <w:r>
              <w:rPr>
                <w:sz w:val="13"/>
                <w:szCs w:val="13"/>
              </w:rPr>
              <w:t xml:space="preserve">928</w:t>
            </w:r>
          </w:p>
        </w:tc>
        <w:tc>
          <w:tcPr>
            <w:tcW w:type="dxa" w:w="1158"/>
          </w:tcPr>
          <w:p>
            <w:pPr>
              <w:pStyle w:val="Compact"/>
              <w:spacing w:before="20" w:after="20" w:line="240" w:lineRule="auto"/>
              <w:jc w:val="center"/>
              <w:keepNext/>
            </w:pPr>
            <w:r>
              <w:rPr>
                <w:sz w:val="13"/>
                <w:szCs w:val="13"/>
              </w:rPr>
              <w:t xml:space="preserve">928</w:t>
            </w:r>
          </w:p>
        </w:tc>
        <w:tc>
          <w:tcPr>
            <w:tcW w:type="dxa" w:w="1158"/>
          </w:tcPr>
          <w:p>
            <w:pPr>
              <w:pStyle w:val="Compact"/>
              <w:spacing w:before="20" w:after="20" w:line="240" w:lineRule="auto"/>
              <w:jc w:val="center"/>
              <w:keepNext/>
            </w:pPr>
            <w:r>
              <w:rPr>
                <w:sz w:val="13"/>
                <w:szCs w:val="13"/>
              </w:rPr>
              <w:t xml:space="preserve">473</w:t>
            </w:r>
          </w:p>
        </w:tc>
        <w:tc>
          <w:tcPr>
            <w:tcW w:type="dxa" w:w="1158"/>
          </w:tcPr>
          <w:p>
            <w:pPr>
              <w:pStyle w:val="Compact"/>
              <w:spacing w:before="20" w:after="20" w:line="240" w:lineRule="auto"/>
              <w:jc w:val="center"/>
              <w:keepNext/>
            </w:pPr>
            <w:r>
              <w:rPr>
                <w:sz w:val="13"/>
                <w:szCs w:val="13"/>
              </w:rPr>
              <w:t xml:space="preserve">908</w:t>
            </w:r>
          </w:p>
        </w:tc>
        <w:tc>
          <w:tcPr>
            <w:tcW w:type="dxa" w:w="1158"/>
          </w:tcPr>
          <w:p>
            <w:pPr>
              <w:pStyle w:val="Compact"/>
              <w:spacing w:before="20" w:after="20" w:line="240" w:lineRule="auto"/>
              <w:jc w:val="center"/>
              <w:keepNext/>
            </w:pPr>
            <w:r>
              <w:rPr>
                <w:sz w:val="13"/>
                <w:szCs w:val="13"/>
              </w:rPr>
              <w:t xml:space="preserve">860</w:t>
            </w:r>
          </w:p>
        </w:tc>
        <w:tc>
          <w:tcPr>
            <w:tcW w:type="dxa" w:w="1021"/>
          </w:tcPr>
          <w:p>
            <w:pPr>
              <w:pStyle w:val="Compact"/>
              <w:spacing w:before="20" w:after="20" w:line="240" w:lineRule="auto"/>
              <w:jc w:val="center"/>
              <w:keepNext/>
            </w:pPr>
            <w:r>
              <w:rPr>
                <w:sz w:val="13"/>
                <w:szCs w:val="13"/>
              </w:rPr>
              <w:t xml:space="preserve">467</w:t>
            </w:r>
          </w:p>
        </w:tc>
        <w:tc>
          <w:tcPr>
            <w:tcW w:type="dxa" w:w="1158"/>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8"/>
          </w:tcPr>
          <w:p>
            <w:pPr>
              <w:pStyle w:val="Compact"/>
              <w:spacing w:before="20" w:after="20" w:line="240" w:lineRule="auto"/>
              <w:jc w:val="center"/>
              <w:keepNext/>
            </w:pPr>
            <w:r>
              <w:rPr>
                <w:sz w:val="13"/>
                <w:szCs w:val="13"/>
              </w:rPr>
              <w:t xml:space="preserve">−774.5</w:t>
            </w:r>
          </w:p>
        </w:tc>
        <w:tc>
          <w:tcPr>
            <w:tcW w:type="dxa" w:w="1158"/>
          </w:tcPr>
          <w:p>
            <w:pPr>
              <w:pStyle w:val="Compact"/>
              <w:spacing w:before="20" w:after="20" w:line="240" w:lineRule="auto"/>
              <w:jc w:val="center"/>
              <w:keepNext/>
            </w:pPr>
            <w:r>
              <w:rPr>
                <w:sz w:val="13"/>
                <w:szCs w:val="13"/>
              </w:rPr>
              <w:t xml:space="preserve">−829.4</w:t>
            </w:r>
          </w:p>
        </w:tc>
        <w:tc>
          <w:tcPr>
            <w:tcW w:type="dxa" w:w="1158"/>
          </w:tcPr>
          <w:p>
            <w:pPr>
              <w:pStyle w:val="Compact"/>
              <w:spacing w:before="20" w:after="20" w:line="240" w:lineRule="auto"/>
              <w:jc w:val="center"/>
              <w:keepNext/>
            </w:pPr>
            <w:r>
              <w:rPr>
                <w:sz w:val="13"/>
                <w:szCs w:val="13"/>
              </w:rPr>
              <w:t xml:space="preserve">−425.3</w:t>
            </w:r>
          </w:p>
        </w:tc>
        <w:tc>
          <w:tcPr>
            <w:tcW w:type="dxa" w:w="1158"/>
          </w:tcPr>
          <w:p>
            <w:pPr>
              <w:pStyle w:val="Compact"/>
              <w:spacing w:before="20" w:after="20" w:line="240" w:lineRule="auto"/>
              <w:jc w:val="center"/>
              <w:keepNext/>
            </w:pPr>
            <w:r>
              <w:rPr>
                <w:sz w:val="13"/>
                <w:szCs w:val="13"/>
              </w:rPr>
              <w:t xml:space="preserve">−755.9</w:t>
            </w:r>
          </w:p>
        </w:tc>
        <w:tc>
          <w:tcPr>
            <w:tcW w:type="dxa" w:w="1158"/>
          </w:tcPr>
          <w:p>
            <w:pPr>
              <w:pStyle w:val="Compact"/>
              <w:spacing w:before="20" w:after="20" w:line="240" w:lineRule="auto"/>
              <w:jc w:val="center"/>
              <w:keepNext/>
            </w:pPr>
            <w:r>
              <w:rPr>
                <w:sz w:val="13"/>
                <w:szCs w:val="13"/>
              </w:rPr>
              <w:t xml:space="preserve">−682.7</w:t>
            </w:r>
          </w:p>
        </w:tc>
        <w:tc>
          <w:tcPr>
            <w:tcW w:type="dxa" w:w="1021"/>
          </w:tcPr>
          <w:p>
            <w:pPr>
              <w:pStyle w:val="Compact"/>
              <w:spacing w:before="20" w:after="20" w:line="240" w:lineRule="auto"/>
              <w:jc w:val="center"/>
              <w:keepNext/>
            </w:pPr>
            <w:r>
              <w:rPr>
                <w:sz w:val="13"/>
                <w:szCs w:val="13"/>
              </w:rPr>
              <w:t xml:space="preserve">−364.0</w:t>
            </w:r>
          </w:p>
        </w:tc>
        <w:tc>
          <w:tcPr>
            <w:tcW w:type="dxa" w:w="1158"/>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2026-10-07T23:45:03Z</dcterms:created>
  <dcterms:modified xsi:type="dcterms:W3CDTF">2026-10-07T23:45:03Z</dcterms:modified>
</cp:coreProperties>
</file>

<file path=docProps/custom.xml><?xml version="1.0" encoding="utf-8"?>
<Properties xmlns="http://schemas.openxmlformats.org/officeDocument/2006/custom-properties" xmlns:vt="http://schemas.openxmlformats.org/officeDocument/2006/docPropsVTypes"/>
</file>