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t xml:space="preserve">Front-end/back-end technological convergence in semiconductor hybrid bonding patents: Determinants of boundary-spanning patents and jurisdictional strategy differentiation</w:t>
      </w:r>
    </w:p>
    <w:p>
      <w:pPr>
        <w:pStyle w:val="BlockText"/>
      </w:pPr>
      <w:r>
        <w:t xml:space="preserve">Source of the robustness analyses in Section 5.4 of the main text. Raw data: 5,277 application–CPC records (928 applications) extracted from EPO PATSTAT. Estimation: Python statsmodels (NegativeBinomial, Logit, MNLogit; identical specifications to Stata</w:t>
      </w:r>
      <w:r>
        <w:t xml:space="preserve"> </w:t>
      </w:r>
      <w:r>
        <w:rPr>
          <w:rStyle w:val="VerbatimChar"/>
        </w:rPr>
        <w:t xml:space="preserve">nbreg</w:t>
      </w:r>
      <w:r>
        <w:t xml:space="preserve">/</w:t>
      </w:r>
      <w:r>
        <w:rPr>
          <w:rStyle w:val="VerbatimChar"/>
        </w:rPr>
        <w:t xml:space="preserve">logit</w:t>
      </w:r>
      <w:r>
        <w:t xml:space="preserve">/</w:t>
      </w:r>
      <w:r>
        <w:rPr>
          <w:rStyle w:val="VerbatimChar"/>
        </w:rPr>
        <w:t xml:space="preserve">mlogit</w:t>
      </w:r>
      <w:r>
        <w:t xml:space="preserve">). The baseline estimates (main-text Tables 4–6) match the original Stata analysis to three decimal places. Standard errors in the tables below are those of the log-scale coefficients (the parentheses in main-text Tables 5 and 6 are delta-method standard errors on the ratio scale), and significance is from z tests on the log scale. * p &lt; 0.10, ** p &lt; 0.05, *** p &lt; 0.01. The office reference is the US office, and the outcome base category of the multinomial logit is assembly-only.</w:t>
      </w:r>
    </w:p>
    <w:bookmarkStart w:id="15" w:name="X873d4c59793be463819c89091c559f2e6a741d2"/>
    <w:p>
      <w:pPr>
        <w:pStyle w:val="Heading2"/>
      </w:pPr>
      <w:r>
        <w:t xml:space="preserve">S0. Period distribution and diagnostic figures</w:t>
      </w:r>
    </w:p>
    <w:p>
      <w:pPr>
        <w:pStyle w:val="FirstParagraph"/>
      </w:pPr>
      <w:r>
        <w:rPr>
          <w:b/>
          <w:bCs/>
        </w:rPr>
        <w:t xml:space="preserve">Table S1.</w:t>
      </w:r>
      <w:r>
        <w:t xml:space="preserve"> </w:t>
      </w:r>
      <w:r>
        <w:t xml:space="preserve">Strategy-type distribution by period (N = 928; row shares in parentheses).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228"/>
        <w:gridCol w:w="1769"/>
        <w:gridCol w:w="2446"/>
        <w:gridCol w:w="1633"/>
        <w:gridCol w:w="461"/>
        <w:gridCol w:w="1535"/>
      </w:tblGrid>
      <w:tr>
        <w:trPr>
          <w:tblHeader w:val="on"/>
          <w:cantSplit/>
        </w:trPr>
        <w:tc>
          <w:tcPr>
            <w:tcW w:type="dxa" w:w="122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Filing period</w:t>
            </w:r>
          </w:p>
        </w:tc>
        <w:tc>
          <w:tcPr>
            <w:tcW w:type="dxa" w:w="17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Assembly-only</w:t>
            </w:r>
          </w:p>
        </w:tc>
        <w:tc>
          <w:tcPr>
            <w:tcW w:type="dxa" w:w="244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Integrated (boundary-spanning)</w:t>
            </w:r>
          </w:p>
        </w:tc>
        <w:tc>
          <w:tcPr>
            <w:tcW w:type="dxa" w:w="16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Process-only</w:t>
            </w:r>
          </w:p>
        </w:tc>
        <w:tc>
          <w:tcPr>
            <w:tcW w:type="dxa" w:w="4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3"/>
                <w:szCs w:val="13"/>
              </w:rPr>
              <w:t xml:space="preserve">N</w:t>
            </w:r>
          </w:p>
        </w:tc>
        <w:tc>
          <w:tcPr>
            <w:tcW w:type="dxa" w:w="153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3"/>
                <w:szCs w:val="13"/>
              </w:rPr>
              <w:t xml:space="preserve">Front-end oriented (%)</w:t>
            </w:r>
          </w:p>
        </w:tc>
      </w:tr>
      <w:tr>
        <w:trPr>
          <w:cantSplit/>
        </w:trPr>
        <w:tc>
          <w:tcPr>
            <w:tcW w:type="dxa" w:w="122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to 2014</w:t>
            </w:r>
          </w:p>
        </w:tc>
        <w:tc>
          <w:tcPr>
            <w:tcW w:type="dxa" w:w="176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45 (25.1%)</w:t>
            </w:r>
          </w:p>
        </w:tc>
        <w:tc>
          <w:tcPr>
            <w:tcW w:type="dxa" w:w="2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56 (31.3%)</w:t>
            </w:r>
          </w:p>
        </w:tc>
        <w:tc>
          <w:tcPr>
            <w:tcW w:type="dxa" w:w="163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78 (43.6%)</w:t>
            </w:r>
          </w:p>
        </w:tc>
        <w:tc>
          <w:tcPr>
            <w:tcW w:type="dxa" w:w="46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3"/>
                <w:szCs w:val="13"/>
              </w:rPr>
              <w:t xml:space="preserve">179</w:t>
            </w:r>
          </w:p>
        </w:tc>
        <w:tc>
          <w:tcPr>
            <w:tcW w:type="dxa" w:w="1535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3"/>
                <w:szCs w:val="13"/>
              </w:rPr>
              <w:t xml:space="preserve">74.9</w:t>
            </w:r>
          </w:p>
        </w:tc>
      </w:tr>
      <w:tr>
        <w:trPr>
          <w:cantSplit/>
        </w:trPr>
        <w:tc>
          <w:tcPr>
            <w:tcW w:type="dxa" w:w="122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2015–2019</w:t>
            </w:r>
          </w:p>
        </w:tc>
        <w:tc>
          <w:tcPr>
            <w:tcW w:type="dxa" w:w="176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48 (23.0%)</w:t>
            </w:r>
          </w:p>
        </w:tc>
        <w:tc>
          <w:tcPr>
            <w:tcW w:type="dxa" w:w="2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130 (62.2%)</w:t>
            </w:r>
          </w:p>
        </w:tc>
        <w:tc>
          <w:tcPr>
            <w:tcW w:type="dxa" w:w="163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31 (14.8%)</w:t>
            </w:r>
          </w:p>
        </w:tc>
        <w:tc>
          <w:tcPr>
            <w:tcW w:type="dxa" w:w="46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3"/>
                <w:szCs w:val="13"/>
              </w:rPr>
              <w:t xml:space="preserve">209</w:t>
            </w:r>
          </w:p>
        </w:tc>
        <w:tc>
          <w:tcPr>
            <w:tcW w:type="dxa" w:w="1535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3"/>
                <w:szCs w:val="13"/>
              </w:rPr>
              <w:t xml:space="preserve">77.0</w:t>
            </w:r>
          </w:p>
        </w:tc>
      </w:tr>
      <w:tr>
        <w:trPr>
          <w:cantSplit/>
        </w:trPr>
        <w:tc>
          <w:tcPr>
            <w:tcW w:type="dxa" w:w="122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2020–2024</w:t>
            </w:r>
          </w:p>
        </w:tc>
        <w:tc>
          <w:tcPr>
            <w:tcW w:type="dxa" w:w="176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245 (45.4%)</w:t>
            </w:r>
          </w:p>
        </w:tc>
        <w:tc>
          <w:tcPr>
            <w:tcW w:type="dxa" w:w="2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239 (44.3%)</w:t>
            </w:r>
          </w:p>
        </w:tc>
        <w:tc>
          <w:tcPr>
            <w:tcW w:type="dxa" w:w="163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3"/>
                <w:szCs w:val="13"/>
              </w:rPr>
              <w:t xml:space="preserve">56 (10.4%)</w:t>
            </w:r>
          </w:p>
        </w:tc>
        <w:tc>
          <w:tcPr>
            <w:tcW w:type="dxa" w:w="46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3"/>
                <w:szCs w:val="13"/>
              </w:rPr>
              <w:t xml:space="preserve">540</w:t>
            </w:r>
          </w:p>
        </w:tc>
        <w:tc>
          <w:tcPr>
            <w:tcW w:type="dxa" w:w="1535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3"/>
                <w:szCs w:val="13"/>
              </w:rPr>
              <w:t xml:space="preserve">54.6</w:t>
            </w:r>
          </w:p>
        </w:tc>
      </w:tr>
    </w:tbl>
    <w:p>
      <w:pPr>
        <w:pStyle w:val="BodyText"/>
        <w:keepNext/>
      </w:pPr>
      <w:r>
        <w:drawing>
          <wp:inline>
            <wp:extent cx="5334000" cy="344658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fig3_ols_residuals_e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S1.</w:t>
      </w:r>
      <w:r>
        <w:t xml:space="preserve"> </w:t>
      </w:r>
      <w:r>
        <w:t xml:space="preserve">OLS residuals versus fitted values (N = 928).</w:t>
      </w:r>
    </w:p>
    <w:p>
      <w:pPr>
        <w:pStyle w:val="BodyText"/>
        <w:keepNext/>
      </w:pPr>
      <w:r>
        <w:drawing>
          <wp:inline>
            <wp:extent cx="4411175" cy="413547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5_roc_e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175" cy="4135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S2.</w:t>
      </w:r>
      <w:r>
        <w:t xml:space="preserve"> </w:t>
      </w:r>
      <w:r>
        <w:t xml:space="preserve">ROC curve of the front-end-orientation logit (AUC = 0.707).</w:t>
      </w:r>
    </w:p>
    <w:bookmarkEnd w:id="15"/>
    <w:bookmarkStart w:id="29" w:name="s1.-full-robustness-estimates"/>
    <w:p>
      <w:pPr>
        <w:pStyle w:val="Heading2"/>
      </w:pPr>
      <w:r>
        <w:t xml:space="preserve">S1. Full robustness estimates</w:t>
      </w:r>
    </w:p>
    <w:bookmarkStart w:id="16" w:name="s1.0-data-structure-and-diagnostics"/>
    <w:p>
      <w:pPr>
        <w:pStyle w:val="Heading3"/>
      </w:pPr>
      <w:r>
        <w:t xml:space="preserve">S1.0 Data structure and diagnostics</w:t>
      </w:r>
    </w:p>
    <w:p>
      <w:pPr>
        <w:pStyle w:val="Compact"/>
        <w:numPr>
          <w:ilvl w:val="0"/>
          <w:numId w:val="1001"/>
        </w:numPr>
      </w:pPr>
      <w:r>
        <w:t xml:space="preserve">The CPC symbols in the extracted file belong to two classes only, H01L21/* and H01L24/* (262 unique symbols). Other classes (for example the H01L2224 indexing codes) were not retained at extraction, so technological scope is the number of unique subgroups within the two classes.</w:t>
      </w:r>
    </w:p>
    <w:p>
      <w:pPr>
        <w:pStyle w:val="Compact"/>
        <w:numPr>
          <w:ilvl w:val="0"/>
          <w:numId w:val="1001"/>
        </w:numPr>
      </w:pPr>
      <w:r>
        <w:t xml:space="preserve">Main-group composition of the 1,636 H01L21 records: wafer-fabrication groups 905, equipment and handling groups (21/67–21/68) 328, assembly-stage groups (21/48, 21/50–21/58, 21/60, 21/78) 403.</w:t>
      </w:r>
    </w:p>
    <w:p>
      <w:pPr>
        <w:pStyle w:val="Compact"/>
        <w:numPr>
          <w:ilvl w:val="0"/>
          <w:numId w:val="1001"/>
        </w:numPr>
      </w:pPr>
      <w:r>
        <w:t xml:space="preserve">OLS residual heteroskedasticity: Breusch–Pagan (all regressors) χ²(8) = 99.6, p &lt; 0.001; Koenker version LM = 39.7, p &lt; 0.001. The auxiliary regression on fitted values only (Stata</w:t>
      </w:r>
      <w:r>
        <w:t xml:space="preserve"> </w:t>
      </w:r>
      <w:r>
        <w:rPr>
          <w:rStyle w:val="VerbatimChar"/>
        </w:rPr>
        <w:t xml:space="preserve">estat hettest</w:t>
      </w:r>
      <w:r>
        <w:t xml:space="preserve"> </w:t>
      </w:r>
      <w:r>
        <w:t xml:space="preserve">default) does not reject (χ²(1) = 0.90, p = 0.34).</w:t>
      </w:r>
    </w:p>
    <w:p>
      <w:pPr>
        <w:pStyle w:val="Compact"/>
        <w:numPr>
          <w:ilvl w:val="0"/>
          <w:numId w:val="1001"/>
        </w:numPr>
      </w:pPr>
      <w:r>
        <w:t xml:space="preserve">Poisson versus negative binomial: boundary likelihood-ratio test χ̄²(01) = 596.3, p &lt; 0.001; Poisson Pearson χ²/df = 2.92.</w:t>
      </w:r>
    </w:p>
    <w:p>
      <w:pPr>
        <w:pStyle w:val="Compact"/>
        <w:numPr>
          <w:ilvl w:val="0"/>
          <w:numId w:val="1001"/>
        </w:numPr>
      </w:pPr>
      <w:r>
        <w:t xml:space="preserve">Heteroskedasticity-robust (HC1) standard errors: OLS Japan coefficient p = 0.040 → 0.191; Poisson robust standard errors China 0.063, Japan 0.190.</w:t>
      </w:r>
    </w:p>
    <w:bookmarkEnd w:id="16"/>
    <w:bookmarkStart w:id="17" w:name="X83b3d994130a4906abb25be7ff43aea2f845dc9"/>
    <w:p>
      <w:pPr>
        <w:pStyle w:val="Heading3"/>
      </w:pPr>
      <w:r>
        <w:t xml:space="preserve">S1.1 Baseline models (identical to main-text Tables 4–6)</w:t>
      </w:r>
    </w:p>
    <w:p>
      <w:pPr>
        <w:pStyle w:val="FirstParagraph"/>
      </w:pPr>
      <w:r>
        <w:rPr>
          <w:b/>
          <w:bCs/>
        </w:rPr>
        <w:t xml:space="preserve">Table S2.</w:t>
      </w:r>
      <w:r>
        <w:t xml:space="preserve"> </w:t>
      </w:r>
      <w:r>
        <w:t xml:space="preserve">Negative binomial (technological scope) (N = 928; α = 0.268 (SE 0.020); log-likelihood = -2431.5; AIC = 4883.0)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388"/>
        <w:gridCol w:w="1755"/>
        <w:gridCol w:w="1609"/>
        <w:gridCol w:w="1316"/>
      </w:tblGrid>
      <w:tr>
        <w:trPr>
          <w:tblHeader w:val="on"/>
          <w:cantSplit/>
        </w:trPr>
        <w:tc>
          <w:tcPr>
            <w:tcW w:type="dxa" w:w="438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160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3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1.015***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(0.062)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1.018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(0.094)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0.853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0.801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1.270*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(0.133)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0.073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(0.080)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0.933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0.826***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0.009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(0.171)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0.745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S3.</w:t>
      </w:r>
      <w:r>
        <w:t xml:space="preserve"> </w:t>
      </w:r>
      <w:r>
        <w:t xml:space="preserve">Binary logit (dependent variable has_process (front-end orientation); N = 928; log-likelihood = -547.6; AIC = 1115.1; AUC = 0.707)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23"/>
        <w:gridCol w:w="1554"/>
        <w:gridCol w:w="1425"/>
        <w:gridCol w:w="1166"/>
      </w:tblGrid>
      <w:tr>
        <w:trPr>
          <w:tblHeader w:val="on"/>
          <w:cantSplit/>
        </w:trPr>
        <w:tc>
          <w:tcPr>
            <w:tcW w:type="dxa" w:w="492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5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Odds ratio</w:t>
            </w:r>
          </w:p>
        </w:tc>
        <w:tc>
          <w:tcPr>
            <w:tcW w:type="dxa" w:w="14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16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0.946***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(0.011)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Technological scope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1.267***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(0.027)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1.650**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0.015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1.430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(0.327)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0.274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1.555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0.128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0.483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(0.482)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0.131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1.170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(0.267)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0.555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1.398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0.155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2.132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(0.613)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0.217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S4.</w:t>
      </w:r>
      <w:r>
        <w:t xml:space="preserve"> </w:t>
      </w:r>
      <w:r>
        <w:t xml:space="preserve">Multinomial logit (N = 928; log-likelihood = -774.5; AIC = 1589.0)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825"/>
        <w:gridCol w:w="1486"/>
        <w:gridCol w:w="817"/>
        <w:gridCol w:w="669"/>
        <w:gridCol w:w="1784"/>
        <w:gridCol w:w="817"/>
        <w:gridCol w:w="669"/>
      </w:tblGrid>
      <w:tr>
        <w:trPr>
          <w:tblHeader w:val="on"/>
          <w:cantSplit/>
        </w:trPr>
        <w:tc>
          <w:tcPr>
            <w:tcW w:type="dxa" w:w="28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48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Integrated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7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Process-only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Filing year (yc)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0.993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0.654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0.913***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Technological scope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1.403***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0.905**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(0.048)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China (CN)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1.205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(0.233)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0.423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2.687***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Korea (KR)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1.166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0.687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(0.419)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0.124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Taiwan (TW)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1.312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0.399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2.102*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(0.407)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0.068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Japan (JP)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1.046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(0.557)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0.935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0.086***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(0.816)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 (EP)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1.307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(0.291)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0.358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0.858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0.726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 (WO)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1.126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0.659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1.997**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0.032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Other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2.326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(0.681)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0.215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(0.779)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0.409</w:t>
            </w:r>
          </w:p>
        </w:tc>
      </w:tr>
    </w:tbl>
    <w:bookmarkEnd w:id="17"/>
    <w:bookmarkStart w:id="18" w:name="Xa4897f741cb83b5e1fb8e37c957fd3cc50c5b99"/>
    <w:p>
      <w:pPr>
        <w:pStyle w:val="Heading3"/>
      </w:pPr>
      <w:r>
        <w:t xml:space="preserve">S1.2 Heteroskedasticity-robust and family (title) clustered standard errors</w:t>
      </w:r>
    </w:p>
    <w:p>
      <w:pPr>
        <w:pStyle w:val="FirstParagraph"/>
      </w:pPr>
      <w:r>
        <w:rPr>
          <w:b/>
          <w:bCs/>
        </w:rPr>
        <w:t xml:space="preserve">Table S5.</w:t>
      </w:r>
      <w:r>
        <w:t xml:space="preserve"> </w:t>
      </w:r>
      <w:r>
        <w:t xml:space="preserve">Negative binomial, HC1 robust standard errors (N = 928; α = 0.268 (SE 0.020); log-likelihood = -2431.5; AIC = 4883.0)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388"/>
        <w:gridCol w:w="1755"/>
        <w:gridCol w:w="1609"/>
        <w:gridCol w:w="1316"/>
      </w:tblGrid>
      <w:tr>
        <w:trPr>
          <w:tblHeader w:val="on"/>
          <w:cantSplit/>
        </w:trPr>
        <w:tc>
          <w:tcPr>
            <w:tcW w:type="dxa" w:w="438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160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3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1.015***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(0.005)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(0.064)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1.018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(0.111)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0.875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(0.090)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0.816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1.270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(0.185)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0.197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(0.079)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0.932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0.826**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(0.079)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0.015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(0.284)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0.845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S6.</w:t>
      </w:r>
      <w:r>
        <w:t xml:space="preserve"> </w:t>
      </w:r>
      <w:r>
        <w:t xml:space="preserve">Negative binomial, title-clustered standard errors (N = 928; α = 0.268 (SE 0.056); log-likelihood = -2431.5; AIC = 4883.0)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388"/>
        <w:gridCol w:w="1755"/>
        <w:gridCol w:w="1609"/>
        <w:gridCol w:w="1316"/>
      </w:tblGrid>
      <w:tr>
        <w:trPr>
          <w:tblHeader w:val="on"/>
          <w:cantSplit/>
        </w:trPr>
        <w:tc>
          <w:tcPr>
            <w:tcW w:type="dxa" w:w="438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160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3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1.015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(0.010)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0.129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(0.065)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1.018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0.833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(0.067)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0.755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1.270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(0.207)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0.249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(0.087)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0.939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0.826***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(0.058)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(0.304)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0.855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S7.</w:t>
      </w:r>
      <w:r>
        <w:t xml:space="preserve"> </w:t>
      </w:r>
      <w:r>
        <w:t xml:space="preserve">Binary logit, title-clustered standard errors (dependent variable has_process (front-end orientation); N = 928; log-likelihood = -547.6; AIC = 1115.1; AUC = 0.707)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23"/>
        <w:gridCol w:w="1554"/>
        <w:gridCol w:w="1425"/>
        <w:gridCol w:w="1166"/>
      </w:tblGrid>
      <w:tr>
        <w:trPr>
          <w:tblHeader w:val="on"/>
          <w:cantSplit/>
        </w:trPr>
        <w:tc>
          <w:tcPr>
            <w:tcW w:type="dxa" w:w="492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5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Odds ratio</w:t>
            </w:r>
          </w:p>
        </w:tc>
        <w:tc>
          <w:tcPr>
            <w:tcW w:type="dxa" w:w="14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16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0.946***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(0.016)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Technological scope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1.267***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(0.041)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1.650**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(0.213)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0.019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1.430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(0.316)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0.258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1.555*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(0.236)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0.061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0.483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(0.665)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0.274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1.170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(0.247)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0.524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1.398*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(0.197)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0.090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2.132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(0.623)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0.224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S8.</w:t>
      </w:r>
      <w:r>
        <w:t xml:space="preserve"> </w:t>
      </w:r>
      <w:r>
        <w:t xml:space="preserve">Multinomial logit, title-clustered standard errors (N = 928; log-likelihood = -774.5; AIC = 1589.0)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825"/>
        <w:gridCol w:w="1486"/>
        <w:gridCol w:w="817"/>
        <w:gridCol w:w="669"/>
        <w:gridCol w:w="1784"/>
        <w:gridCol w:w="817"/>
        <w:gridCol w:w="669"/>
      </w:tblGrid>
      <w:tr>
        <w:trPr>
          <w:tblHeader w:val="on"/>
          <w:cantSplit/>
        </w:trPr>
        <w:tc>
          <w:tcPr>
            <w:tcW w:type="dxa" w:w="28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48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Integrated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7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Process-only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Filing year (yc)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0.993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0.737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0.913***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Technological scope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1.403***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0.905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(0.094)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China (CN)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1.205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(0.244)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0.445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2.687***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Korea (KR)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1.166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(0.427)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0.720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1.906*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(0.372)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0.083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Taiwan (TW)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1.312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0.303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2.102**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(0.349)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0.033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Japan (JP)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1.046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(0.581)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0.938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0.086*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(1.301)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0.059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 (EP)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1.307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0.331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0.858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(0.420)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0.715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 (WO)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1.126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(0.221)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0.591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1.997***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0.008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Other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2.326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(0.749)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0.260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(0.619)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0.299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Point estimates equal the baseline. Number of title clusters = 473.</w:t>
      </w:r>
    </w:p>
    <w:bookmarkEnd w:id="18"/>
    <w:bookmarkStart w:id="19" w:name="X1ad2383565fac1c3f7b5b8324ce862bd529f73c"/>
    <w:p>
      <w:pPr>
        <w:pStyle w:val="Heading3"/>
      </w:pPr>
      <w:r>
        <w:t xml:space="preserve">S1.3 Adjusted scope (breadth_adj = breadth − has_process − has_assembly)</w:t>
      </w:r>
    </w:p>
    <w:p>
      <w:pPr>
        <w:pStyle w:val="FirstParagraph"/>
      </w:pPr>
      <w:r>
        <w:rPr>
          <w:b/>
          <w:bCs/>
        </w:rPr>
        <w:t xml:space="preserve">Table S9.</w:t>
      </w:r>
      <w:r>
        <w:t xml:space="preserve"> </w:t>
      </w:r>
      <w:r>
        <w:t xml:space="preserve">Binary logit, adjusted scope (dependent variable has_process (front-end orientation); N = 928; log-likelihood = -573.7; AIC = 1167.4; AUC = 0.652)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23"/>
        <w:gridCol w:w="1554"/>
        <w:gridCol w:w="1425"/>
        <w:gridCol w:w="1166"/>
      </w:tblGrid>
      <w:tr>
        <w:trPr>
          <w:tblHeader w:val="on"/>
          <w:cantSplit/>
        </w:trPr>
        <w:tc>
          <w:tcPr>
            <w:tcW w:type="dxa" w:w="492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5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Odds ratio</w:t>
            </w:r>
          </w:p>
        </w:tc>
        <w:tc>
          <w:tcPr>
            <w:tcW w:type="dxa" w:w="14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16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0.956***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(0.011)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Technological scope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1.179***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1.467*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(0.198)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0.054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1.398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(0.319)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0.293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1.493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0.153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0.540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(0.468)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0.188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1.183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(0.261)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0.519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1.271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(0.229)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0.295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1.954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(0.607)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S10.</w:t>
      </w:r>
      <w:r>
        <w:t xml:space="preserve"> </w:t>
      </w:r>
      <w:r>
        <w:t xml:space="preserve">Multinomial logit, adjusted scope (N = 928; log-likelihood = -829.4; AIC = 1698.7)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825"/>
        <w:gridCol w:w="1486"/>
        <w:gridCol w:w="817"/>
        <w:gridCol w:w="669"/>
        <w:gridCol w:w="1784"/>
        <w:gridCol w:w="817"/>
        <w:gridCol w:w="669"/>
      </w:tblGrid>
      <w:tr>
        <w:trPr>
          <w:tblHeader w:val="on"/>
          <w:cantSplit/>
        </w:trPr>
        <w:tc>
          <w:tcPr>
            <w:tcW w:type="dxa" w:w="28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48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Integrated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7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Process-only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Filing year (yc)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1.002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0.871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0.911***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Technological scope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1.262***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(0.027)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0.915**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(0.044)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0.043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China (CN)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1.096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(0.220)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0.677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2.720***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Korea (KR)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1.161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(0.360)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0.677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1.913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(0.419)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0.122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Taiwan (TW)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1.297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0.388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2.131*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(0.406)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0.063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Japan (JP)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1.053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(0.526)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0.922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0.087***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(0.817)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 (EP)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1.302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0.342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0.868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0.745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 (WO)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1.031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(0.254)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0.904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2.016**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0.029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Other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2.021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(0.664)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0.289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1.923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(0.775)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0.399</w:t>
            </w:r>
          </w:p>
        </w:tc>
      </w:tr>
    </w:tbl>
    <w:bookmarkEnd w:id="19"/>
    <w:bookmarkStart w:id="20" w:name="s1.4-post-2010-subsample"/>
    <w:p>
      <w:pPr>
        <w:pStyle w:val="Heading3"/>
      </w:pPr>
      <w:r>
        <w:t xml:space="preserve">S1.4 Post-2010 subsample</w:t>
      </w:r>
    </w:p>
    <w:p>
      <w:pPr>
        <w:pStyle w:val="FirstParagraph"/>
      </w:pPr>
      <w:r>
        <w:rPr>
          <w:b/>
          <w:bCs/>
        </w:rPr>
        <w:t xml:space="preserve">Table S11.</w:t>
      </w:r>
      <w:r>
        <w:t xml:space="preserve"> </w:t>
      </w:r>
      <w:r>
        <w:t xml:space="preserve">Negative binomial, 2010 onwards (N = 830; α = 0.183 (SE 0.017); log-likelihood = -2131.7; AIC = 4283.5)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388"/>
        <w:gridCol w:w="1755"/>
        <w:gridCol w:w="1609"/>
        <w:gridCol w:w="1316"/>
      </w:tblGrid>
      <w:tr>
        <w:trPr>
          <w:tblHeader w:val="on"/>
          <w:cantSplit/>
        </w:trPr>
        <w:tc>
          <w:tcPr>
            <w:tcW w:type="dxa" w:w="438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160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3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0.970***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(0.006)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0.794***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(0.057)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0.999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(0.096)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0.989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(0.076)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1.577***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(0.141)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1.014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(0.076)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0.858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0.842**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(0.068)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0.012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0.716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(0.204)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S12.</w:t>
      </w:r>
      <w:r>
        <w:t xml:space="preserve"> </w:t>
      </w:r>
      <w:r>
        <w:t xml:space="preserve">Negative binomial, 2010 onwards excluding the four Japanese-office filings with scope 21 (N = 826; α = 0.178 (SE 0.017); log-likelihood = -2112.2; AIC = 4244.5)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388"/>
        <w:gridCol w:w="1755"/>
        <w:gridCol w:w="1609"/>
        <w:gridCol w:w="1316"/>
      </w:tblGrid>
      <w:tr>
        <w:trPr>
          <w:tblHeader w:val="on"/>
          <w:cantSplit/>
        </w:trPr>
        <w:tc>
          <w:tcPr>
            <w:tcW w:type="dxa" w:w="438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160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3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0.972***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(0.006)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0.793***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(0.057)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0.999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(0.095)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1.019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(0.076)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0.804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(0.176)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0.751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1.013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(0.075)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0.860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0.841**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(0.068)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0.716*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0.099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S13.</w:t>
      </w:r>
      <w:r>
        <w:t xml:space="preserve"> </w:t>
      </w:r>
      <w:r>
        <w:t xml:space="preserve">Binary logit, 2010 onwards (dependent variable has_process (front-end orientation); N = 830; log-likelihood = -487.3; AIC = 994.6; AUC = 0.723)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23"/>
        <w:gridCol w:w="1554"/>
        <w:gridCol w:w="1425"/>
        <w:gridCol w:w="1166"/>
      </w:tblGrid>
      <w:tr>
        <w:trPr>
          <w:tblHeader w:val="on"/>
          <w:cantSplit/>
        </w:trPr>
        <w:tc>
          <w:tcPr>
            <w:tcW w:type="dxa" w:w="492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5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Odds ratio</w:t>
            </w:r>
          </w:p>
        </w:tc>
        <w:tc>
          <w:tcPr>
            <w:tcW w:type="dxa" w:w="14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16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0.905***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Technological scope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1.269***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(0.028)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1.676**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(0.210)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0.014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1.005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(0.362)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0.989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1.588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(0.296)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0.119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5.858*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(1.073)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1.263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(0.288)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0.416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1.321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(0.246)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0.257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1.319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(0.678)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0.683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S14.</w:t>
      </w:r>
      <w:r>
        <w:t xml:space="preserve"> </w:t>
      </w:r>
      <w:r>
        <w:t xml:space="preserve">Multinomial logit, 2010 onwards (N = 830; log-likelihood = -683.0; AIC = 1406.0)</w:t>
      </w:r>
    </w:p>
    <w:tbl>
      <w:tblPr>
        <w:tblStyle w:val="Table"/>
        <w:tblW w:type="dxa" w:w="9066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651"/>
        <w:gridCol w:w="1395"/>
        <w:gridCol w:w="767"/>
        <w:gridCol w:w="627"/>
        <w:gridCol w:w="1674"/>
        <w:gridCol w:w="1325"/>
        <w:gridCol w:w="627"/>
      </w:tblGrid>
      <w:tr>
        <w:trPr>
          <w:tblHeader w:val="on"/>
          <w:cantSplit/>
        </w:trPr>
        <w:tc>
          <w:tcPr>
            <w:tcW w:type="dxa" w:w="265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39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Integrated RRR</w:t>
            </w:r>
          </w:p>
        </w:tc>
        <w:tc>
          <w:tcPr>
            <w:tcW w:type="dxa" w:w="76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SE (log)</w:t>
            </w:r>
          </w:p>
        </w:tc>
        <w:tc>
          <w:tcPr>
            <w:tcW w:type="dxa" w:w="62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type="dxa" w:w="167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Process-only RRR</w:t>
            </w:r>
          </w:p>
        </w:tc>
        <w:tc>
          <w:tcPr>
            <w:tcW w:type="dxa" w:w="13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SE (log)</w:t>
            </w:r>
          </w:p>
        </w:tc>
        <w:tc>
          <w:tcPr>
            <w:tcW w:type="dxa" w:w="62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65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4"/>
                <w:szCs w:val="14"/>
              </w:rPr>
              <w:t xml:space="preserve">Filing year (yc)</w:t>
            </w:r>
          </w:p>
        </w:tc>
        <w:tc>
          <w:tcPr>
            <w:tcW w:type="dxa" w:w="139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0.934**</w:t>
            </w:r>
          </w:p>
        </w:tc>
        <w:tc>
          <w:tcPr>
            <w:tcW w:type="dxa" w:w="76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(0.027)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0.013</w:t>
            </w:r>
          </w:p>
        </w:tc>
        <w:tc>
          <w:tcPr>
            <w:tcW w:type="dxa" w:w="167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0.862***</w:t>
            </w:r>
          </w:p>
        </w:tc>
        <w:tc>
          <w:tcPr>
            <w:tcW w:type="dxa" w:w="13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(0.033)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65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4"/>
                <w:szCs w:val="14"/>
              </w:rPr>
              <w:t xml:space="preserve">Technological scope</w:t>
            </w:r>
          </w:p>
        </w:tc>
        <w:tc>
          <w:tcPr>
            <w:tcW w:type="dxa" w:w="139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1.385***</w:t>
            </w:r>
          </w:p>
        </w:tc>
        <w:tc>
          <w:tcPr>
            <w:tcW w:type="dxa" w:w="76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(0.032)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0.000</w:t>
            </w:r>
          </w:p>
        </w:tc>
        <w:tc>
          <w:tcPr>
            <w:tcW w:type="dxa" w:w="167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0.910*</w:t>
            </w:r>
          </w:p>
        </w:tc>
        <w:tc>
          <w:tcPr>
            <w:tcW w:type="dxa" w:w="13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(0.051)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0.063</w:t>
            </w:r>
          </w:p>
        </w:tc>
      </w:tr>
      <w:tr>
        <w:trPr>
          <w:cantSplit/>
        </w:trPr>
        <w:tc>
          <w:tcPr>
            <w:tcW w:type="dxa" w:w="265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4"/>
                <w:szCs w:val="14"/>
              </w:rPr>
              <w:t xml:space="preserve">China (CN)</w:t>
            </w:r>
          </w:p>
        </w:tc>
        <w:tc>
          <w:tcPr>
            <w:tcW w:type="dxa" w:w="139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1.240</w:t>
            </w:r>
          </w:p>
        </w:tc>
        <w:tc>
          <w:tcPr>
            <w:tcW w:type="dxa" w:w="76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(0.234)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0.358</w:t>
            </w:r>
          </w:p>
        </w:tc>
        <w:tc>
          <w:tcPr>
            <w:tcW w:type="dxa" w:w="167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2.701***</w:t>
            </w:r>
          </w:p>
        </w:tc>
        <w:tc>
          <w:tcPr>
            <w:tcW w:type="dxa" w:w="13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(0.290)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265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4"/>
                <w:szCs w:val="14"/>
              </w:rPr>
              <w:t xml:space="preserve">Korea (KR)</w:t>
            </w:r>
          </w:p>
        </w:tc>
        <w:tc>
          <w:tcPr>
            <w:tcW w:type="dxa" w:w="139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0.958</w:t>
            </w:r>
          </w:p>
        </w:tc>
        <w:tc>
          <w:tcPr>
            <w:tcW w:type="dxa" w:w="76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(0.394)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0.914</w:t>
            </w:r>
          </w:p>
        </w:tc>
        <w:tc>
          <w:tcPr>
            <w:tcW w:type="dxa" w:w="167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1.131</w:t>
            </w:r>
          </w:p>
        </w:tc>
        <w:tc>
          <w:tcPr>
            <w:tcW w:type="dxa" w:w="13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(0.560)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0.825</w:t>
            </w:r>
          </w:p>
        </w:tc>
      </w:tr>
      <w:tr>
        <w:trPr>
          <w:cantSplit/>
        </w:trPr>
        <w:tc>
          <w:tcPr>
            <w:tcW w:type="dxa" w:w="265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4"/>
                <w:szCs w:val="14"/>
              </w:rPr>
              <w:t xml:space="preserve">Taiwan (TW)</w:t>
            </w:r>
          </w:p>
        </w:tc>
        <w:tc>
          <w:tcPr>
            <w:tcW w:type="dxa" w:w="139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1.400</w:t>
            </w:r>
          </w:p>
        </w:tc>
        <w:tc>
          <w:tcPr>
            <w:tcW w:type="dxa" w:w="76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(0.323)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0.299</w:t>
            </w:r>
          </w:p>
        </w:tc>
        <w:tc>
          <w:tcPr>
            <w:tcW w:type="dxa" w:w="167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2.088*</w:t>
            </w:r>
          </w:p>
        </w:tc>
        <w:tc>
          <w:tcPr>
            <w:tcW w:type="dxa" w:w="13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(0.434)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0.090</w:t>
            </w:r>
          </w:p>
        </w:tc>
      </w:tr>
      <w:tr>
        <w:trPr>
          <w:cantSplit/>
        </w:trPr>
        <w:tc>
          <w:tcPr>
            <w:tcW w:type="dxa" w:w="265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4"/>
                <w:szCs w:val="14"/>
              </w:rPr>
              <w:t xml:space="preserve">Japan (JP)</w:t>
            </w:r>
          </w:p>
        </w:tc>
        <w:tc>
          <w:tcPr>
            <w:tcW w:type="dxa" w:w="139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6.795*</w:t>
            </w:r>
          </w:p>
        </w:tc>
        <w:tc>
          <w:tcPr>
            <w:tcW w:type="dxa" w:w="76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(1.085)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0.078</w:t>
            </w:r>
          </w:p>
        </w:tc>
        <w:tc>
          <w:tcPr>
            <w:tcW w:type="dxa" w:w="167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3.240</w:t>
            </w:r>
          </w:p>
        </w:tc>
        <w:tc>
          <w:tcPr>
            <w:tcW w:type="dxa" w:w="13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(1.456)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0.419</w:t>
            </w:r>
          </w:p>
        </w:tc>
      </w:tr>
      <w:tr>
        <w:trPr>
          <w:cantSplit/>
        </w:trPr>
        <w:tc>
          <w:tcPr>
            <w:tcW w:type="dxa" w:w="265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4"/>
                <w:szCs w:val="14"/>
              </w:rPr>
              <w:t xml:space="preserve">EPO (EP)</w:t>
            </w:r>
          </w:p>
        </w:tc>
        <w:tc>
          <w:tcPr>
            <w:tcW w:type="dxa" w:w="139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1.447</w:t>
            </w:r>
          </w:p>
        </w:tc>
        <w:tc>
          <w:tcPr>
            <w:tcW w:type="dxa" w:w="76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(0.302)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0.221</w:t>
            </w:r>
          </w:p>
        </w:tc>
        <w:tc>
          <w:tcPr>
            <w:tcW w:type="dxa" w:w="167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0.709</w:t>
            </w:r>
          </w:p>
        </w:tc>
        <w:tc>
          <w:tcPr>
            <w:tcW w:type="dxa" w:w="13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(0.578)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0.553</w:t>
            </w:r>
          </w:p>
        </w:tc>
      </w:tr>
      <w:tr>
        <w:trPr>
          <w:cantSplit/>
        </w:trPr>
        <w:tc>
          <w:tcPr>
            <w:tcW w:type="dxa" w:w="265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4"/>
                <w:szCs w:val="14"/>
              </w:rPr>
              <w:t xml:space="preserve">PCT (WO)</w:t>
            </w:r>
          </w:p>
        </w:tc>
        <w:tc>
          <w:tcPr>
            <w:tcW w:type="dxa" w:w="139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1.184</w:t>
            </w:r>
          </w:p>
        </w:tc>
        <w:tc>
          <w:tcPr>
            <w:tcW w:type="dxa" w:w="76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(0.271)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0.533</w:t>
            </w:r>
          </w:p>
        </w:tc>
        <w:tc>
          <w:tcPr>
            <w:tcW w:type="dxa" w:w="167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1.694</w:t>
            </w:r>
          </w:p>
        </w:tc>
        <w:tc>
          <w:tcPr>
            <w:tcW w:type="dxa" w:w="13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(0.364)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0.148</w:t>
            </w:r>
          </w:p>
        </w:tc>
      </w:tr>
      <w:tr>
        <w:trPr>
          <w:cantSplit/>
        </w:trPr>
        <w:tc>
          <w:tcPr>
            <w:tcW w:type="dxa" w:w="265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4"/>
                <w:szCs w:val="14"/>
              </w:rPr>
              <w:t xml:space="preserve">Other</w:t>
            </w:r>
          </w:p>
        </w:tc>
        <w:tc>
          <w:tcPr>
            <w:tcW w:type="dxa" w:w="139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1.940</w:t>
            </w:r>
          </w:p>
        </w:tc>
        <w:tc>
          <w:tcPr>
            <w:tcW w:type="dxa" w:w="76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(0.684)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0.332</w:t>
            </w:r>
          </w:p>
        </w:tc>
        <w:tc>
          <w:tcPr>
            <w:tcW w:type="dxa" w:w="167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0.000</w:t>
            </w:r>
          </w:p>
        </w:tc>
        <w:tc>
          <w:tcPr>
            <w:tcW w:type="dxa" w:w="13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(58079.484)</w:t>
            </w:r>
          </w:p>
        </w:tc>
        <w:tc>
          <w:tcPr>
            <w:tcW w:type="dxa" w:w="62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4"/>
                <w:szCs w:val="14"/>
              </w:rPr>
              <w:t xml:space="preserve">1.000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The 15 Japanese-office applications from 2010 onwards comprise one assembly-only, 13 integrated and one process-only application; the 10</w:t>
      </w:r>
      <w:r>
        <w:t xml:space="preserve"> </w:t>
      </w:r>
      <w:r>
        <w:t xml:space="preserve">“other”</w:t>
      </w:r>
      <w:r>
        <w:t xml:space="preserve"> </w:t>
      </w:r>
      <w:r>
        <w:t xml:space="preserve">applications contain no process-only filing, so the Other → process-only coefficient is not identified (quasi-complete separation; the value shown is meaningless).</w:t>
      </w:r>
    </w:p>
    <w:bookmarkEnd w:id="20"/>
    <w:bookmarkStart w:id="21" w:name="Xe3389d660e47309fe8d05d9318e87d5a55b40e3"/>
    <w:p>
      <w:pPr>
        <w:pStyle w:val="Heading3"/>
      </w:pPr>
      <w:r>
        <w:t xml:space="preserve">S1.5 Period-dummy specification and boundary sensitivity</w:t>
      </w:r>
    </w:p>
    <w:p>
      <w:pPr>
        <w:pStyle w:val="FirstParagraph"/>
      </w:pPr>
      <w:r>
        <w:rPr>
          <w:b/>
          <w:bCs/>
        </w:rPr>
        <w:t xml:space="preserve">Table S15.</w:t>
      </w:r>
      <w:r>
        <w:t xml:space="preserve"> </w:t>
      </w:r>
      <w:r>
        <w:t xml:space="preserve">Multinomial logit, period dummies (to 2014 / 2015–2019 / 2020–2024) (N = 928; log-likelihood = -751.3)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446"/>
        <w:gridCol w:w="1814"/>
        <w:gridCol w:w="816"/>
        <w:gridCol w:w="2176"/>
        <w:gridCol w:w="816"/>
      </w:tblGrid>
      <w:tr>
        <w:trPr>
          <w:tblHeader w:val="on"/>
          <w:cantSplit/>
        </w:trPr>
        <w:tc>
          <w:tcPr>
            <w:tcW w:type="dxa" w:w="344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81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Integrated RRR</w:t>
            </w:r>
          </w:p>
        </w:tc>
        <w:tc>
          <w:tcPr>
            <w:tcW w:type="dxa" w:w="8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217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Process-only RRR</w:t>
            </w:r>
          </w:p>
        </w:tc>
        <w:tc>
          <w:tcPr>
            <w:tcW w:type="dxa" w:w="8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Technological scope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1.397***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0.897**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0.023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Second period (vs first)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1.707*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0.092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0.273***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Third period (vs first)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0.762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0.319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0.101***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China (CN)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1.172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0.500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2.898***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Korea (KR)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1.124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0.758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1.802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0.170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Taiwan (TW)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1.358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0.346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2.340**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0.044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Japan (JP)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1.114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0.843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0.239**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0.044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EPO (EP)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1.306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0.365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0.856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0.726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PCT (WO)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1.145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0.617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2.034**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0.037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Other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2.612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0.159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1.666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0.530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Wald test of the difference between the two period coefficients in the integrated equation: χ²(1) = 13.9, p = 0.0002.</w:t>
      </w:r>
    </w:p>
    <w:p>
      <w:pPr>
        <w:pStyle w:val="BodyText"/>
      </w:pPr>
      <w:r>
        <w:rPr>
          <w:b/>
          <w:bCs/>
        </w:rPr>
        <w:t xml:space="preserve">Table S16.</w:t>
      </w:r>
      <w:r>
        <w:t xml:space="preserve"> </w:t>
      </w:r>
      <w:r>
        <w:t xml:space="preserve">Boundaries one year earlier (to 2013 / 2014–2018 / 2019–2024) (N = 928; log-likelihood = -754.4)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446"/>
        <w:gridCol w:w="1814"/>
        <w:gridCol w:w="816"/>
        <w:gridCol w:w="2176"/>
        <w:gridCol w:w="816"/>
      </w:tblGrid>
      <w:tr>
        <w:trPr>
          <w:tblHeader w:val="on"/>
          <w:cantSplit/>
        </w:trPr>
        <w:tc>
          <w:tcPr>
            <w:tcW w:type="dxa" w:w="344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81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Integrated RRR</w:t>
            </w:r>
          </w:p>
        </w:tc>
        <w:tc>
          <w:tcPr>
            <w:tcW w:type="dxa" w:w="8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217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Process-only RRR</w:t>
            </w:r>
          </w:p>
        </w:tc>
        <w:tc>
          <w:tcPr>
            <w:tcW w:type="dxa" w:w="8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Technological scope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1.398***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0.896**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0.023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Second period (vs first)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1.913*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0.061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0.367***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Third period (vs first)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0.820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0.497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0.108***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China (CN)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1.208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0.419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2.752***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Korea (KR)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1.136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0.737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1.689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0.220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Taiwan (TW)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1.416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0.284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2.390**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Japan (JP)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1.126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0.830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0.230**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0.038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EPO (EP)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1.274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0.410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0.889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0.790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PCT (WO)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1.152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0.600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1.997**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Other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2.587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0.163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1.576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0.575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Wald test of the difference between the two period coefficients in the integrated equation: χ²(1) = 12.7, p = 0.0004.</w:t>
      </w:r>
    </w:p>
    <w:p>
      <w:pPr>
        <w:pStyle w:val="BodyText"/>
      </w:pPr>
      <w:r>
        <w:rPr>
          <w:b/>
          <w:bCs/>
        </w:rPr>
        <w:t xml:space="preserve">Table S17.</w:t>
      </w:r>
      <w:r>
        <w:t xml:space="preserve"> </w:t>
      </w:r>
      <w:r>
        <w:t xml:space="preserve">Boundaries one year later (to 2015 / 2016–2020 / 2021–2024) (N = 928; log-likelihood = -758.8)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446"/>
        <w:gridCol w:w="1814"/>
        <w:gridCol w:w="816"/>
        <w:gridCol w:w="2176"/>
        <w:gridCol w:w="816"/>
      </w:tblGrid>
      <w:tr>
        <w:trPr>
          <w:tblHeader w:val="on"/>
          <w:cantSplit/>
        </w:trPr>
        <w:tc>
          <w:tcPr>
            <w:tcW w:type="dxa" w:w="344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81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Integrated RRR</w:t>
            </w:r>
          </w:p>
        </w:tc>
        <w:tc>
          <w:tcPr>
            <w:tcW w:type="dxa" w:w="8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217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Process-only RRR</w:t>
            </w:r>
          </w:p>
        </w:tc>
        <w:tc>
          <w:tcPr>
            <w:tcW w:type="dxa" w:w="8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Technological scope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1.395***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0.888**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0.013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Second period (vs first)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1.258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0.412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0.216***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Third period (vs first)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0.639*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0.078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0.128***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China (CN)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1.243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0.354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2.718***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Korea (KR)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1.161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0.695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1.832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0.152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Taiwan (TW)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1.457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0.249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2.359**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0.040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Japan (JP)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1.096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0.865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0.272*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0.066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EPO (EP)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1.367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0.287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0.903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0.814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PCT (WO)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1.209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0.484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1.996**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344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Other</w:t>
            </w:r>
          </w:p>
        </w:tc>
        <w:tc>
          <w:tcPr>
            <w:tcW w:type="dxa" w:w="181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2.587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0.166</w:t>
            </w:r>
          </w:p>
        </w:tc>
        <w:tc>
          <w:tcPr>
            <w:tcW w:type="dxa" w:w="217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1.784</w:t>
            </w:r>
          </w:p>
        </w:tc>
        <w:tc>
          <w:tcPr>
            <w:tcW w:type="dxa" w:w="8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0.469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Wald test of the difference between the two period coefficients in the integrated equation: χ²(1) = 12.0, p = 0.0005.</w:t>
      </w:r>
    </w:p>
    <w:bookmarkEnd w:id="21"/>
    <w:bookmarkStart w:id="22" w:name="Xae36fe09807b5186b00f4af0232e140e3eb755c"/>
    <w:p>
      <w:pPr>
        <w:pStyle w:val="Heading3"/>
      </w:pPr>
      <w:r>
        <w:t xml:space="preserve">S1.6 Exclusion of 2023–2024 (publication-lag truncation)</w:t>
      </w:r>
    </w:p>
    <w:p>
      <w:pPr>
        <w:pStyle w:val="FirstParagraph"/>
      </w:pPr>
      <w:r>
        <w:rPr>
          <w:b/>
          <w:bCs/>
        </w:rPr>
        <w:t xml:space="preserve">Table S18.</w:t>
      </w:r>
      <w:r>
        <w:t xml:space="preserve"> </w:t>
      </w:r>
      <w:r>
        <w:t xml:space="preserve">Negative binomial, filings up to 2022 (N = 753; α = 0.289 (SE 0.024); log-likelihood = -2006.9; AIC = 4033.7)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388"/>
        <w:gridCol w:w="1755"/>
        <w:gridCol w:w="1609"/>
        <w:gridCol w:w="1316"/>
      </w:tblGrid>
      <w:tr>
        <w:trPr>
          <w:tblHeader w:val="on"/>
          <w:cantSplit/>
        </w:trPr>
        <w:tc>
          <w:tcPr>
            <w:tcW w:type="dxa" w:w="438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160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3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1.022***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(0.004)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0.808***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(0.071)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1.017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(0.099)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0.865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1.108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(0.095)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0.281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1.388**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(0.153)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0.032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0.988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(0.087)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0.886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0.912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(0.087)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0.289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1.106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(0.181)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0.578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S19.</w:t>
      </w:r>
      <w:r>
        <w:t xml:space="preserve"> </w:t>
      </w:r>
      <w:r>
        <w:t xml:space="preserve">Binary logit, filings up to 2022 (dependent variable has_process (front-end orientation); N = 753; log-likelihood = -426.1; AIC = 872.3; AUC = 0.733)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23"/>
        <w:gridCol w:w="1554"/>
        <w:gridCol w:w="1425"/>
        <w:gridCol w:w="1166"/>
      </w:tblGrid>
      <w:tr>
        <w:trPr>
          <w:tblHeader w:val="on"/>
          <w:cantSplit/>
        </w:trPr>
        <w:tc>
          <w:tcPr>
            <w:tcW w:type="dxa" w:w="492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5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Odds ratio</w:t>
            </w:r>
          </w:p>
        </w:tc>
        <w:tc>
          <w:tcPr>
            <w:tcW w:type="dxa" w:w="14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16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0.936***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(0.013)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Technological scope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1.288***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(0.030)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1.389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(0.231)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0.155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1.360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(0.340)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0.366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1.671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(0.349)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0.141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0.186***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(0.573)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1.004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0.988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1.703*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(0.297)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0.073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2.650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(0.684)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S20.</w:t>
      </w:r>
      <w:r>
        <w:t xml:space="preserve"> </w:t>
      </w:r>
      <w:r>
        <w:t xml:space="preserve">Multinomial logit, filings up to 2022 (N = 753; log-likelihood = -607.4; AIC = 1254.7)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825"/>
        <w:gridCol w:w="1486"/>
        <w:gridCol w:w="817"/>
        <w:gridCol w:w="669"/>
        <w:gridCol w:w="1784"/>
        <w:gridCol w:w="817"/>
        <w:gridCol w:w="669"/>
      </w:tblGrid>
      <w:tr>
        <w:trPr>
          <w:tblHeader w:val="on"/>
          <w:cantSplit/>
        </w:trPr>
        <w:tc>
          <w:tcPr>
            <w:tcW w:type="dxa" w:w="28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48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Integrated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7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Process-only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Filing year (yc)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0.989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0.543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0.909***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Technological scope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1.418***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0.908*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0.077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China (CN)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1.231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(0.258)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0.420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1.651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(0.319)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0.116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Korea (KR)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1.095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(0.396)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0.818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1.808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0.169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Taiwan (TW)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1.480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0.304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1.876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0.201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Japan (JP)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0.400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(0.748)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0.220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0.061***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(0.836)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 (EP)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1.078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(0.313)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0.810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0.804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(0.449)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0.628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 (WO)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1.387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(0.335)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0.330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2.167**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0.045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Other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2.979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(0.747)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0.144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2.172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(0.837)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0.354</w:t>
            </w:r>
          </w:p>
        </w:tc>
      </w:tr>
    </w:tbl>
    <w:p>
      <w:pPr>
        <w:pStyle w:val="BodyText"/>
      </w:pPr>
      <w:r>
        <w:t xml:space="preserve">Among 2023–2024 filings, 18 of the 39 Chinese-office applications and 3 of the 65 US-office applications are process-only. Mean scope by filing year: 2019: 6.36, 2020: 6.42, 2021: 5.64, 2022: 5.40, 2023: 4.72, 2024: 4.78.</w:t>
      </w:r>
    </w:p>
    <w:bookmarkEnd w:id="22"/>
    <w:bookmarkStart w:id="23" w:name="X08327b6abb0ac3e911ac84f0c15cda032f02b14"/>
    <w:p>
      <w:pPr>
        <w:pStyle w:val="Heading3"/>
      </w:pPr>
      <w:r>
        <w:t xml:space="preserve">S1.7 Family de-duplication (earliest filing per normalised title, N = 473)</w:t>
      </w:r>
    </w:p>
    <w:p>
      <w:pPr>
        <w:pStyle w:val="FirstParagraph"/>
      </w:pPr>
      <w:r>
        <w:t xml:space="preserve">Type distribution: assembly-only 187 (39.5%), integrated 173 (36.6%), process-only 113 (23.9%). Among the 37 US–China pairs with the same title, scope is identical in 34 pairs and strategy type in 36; the Chinese filing is narrower in 3 pairs.</w:t>
      </w:r>
    </w:p>
    <w:p>
      <w:pPr>
        <w:pStyle w:val="BodyText"/>
      </w:pPr>
      <w:r>
        <w:rPr>
          <w:b/>
          <w:bCs/>
        </w:rPr>
        <w:t xml:space="preserve">Table S21.</w:t>
      </w:r>
      <w:r>
        <w:t xml:space="preserve"> </w:t>
      </w:r>
      <w:r>
        <w:t xml:space="preserve">Negative binomial, de-duplicated (N = 473; α = 0.234 (SE 0.028); log-likelihood = -1172.0; AIC = 2364.0)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388"/>
        <w:gridCol w:w="1755"/>
        <w:gridCol w:w="1609"/>
        <w:gridCol w:w="1316"/>
      </w:tblGrid>
      <w:tr>
        <w:trPr>
          <w:tblHeader w:val="on"/>
          <w:cantSplit/>
        </w:trPr>
        <w:tc>
          <w:tcPr>
            <w:tcW w:type="dxa" w:w="438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160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3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1.022***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(0.004)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0.792***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(0.077)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0.919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(0.127)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0.506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1.111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(0.149)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0.479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1.302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(0.183)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1.435***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(0.119)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0.751**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(0.131)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0.029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1.342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(0.272)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0.279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S22.</w:t>
      </w:r>
      <w:r>
        <w:t xml:space="preserve"> </w:t>
      </w:r>
      <w:r>
        <w:t xml:space="preserve">Binary logit, de-duplicated (dependent variable has_process (front-end orientation); N = 473; log-likelihood = -301.7; AIC = 623.3; AUC = 0.645)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23"/>
        <w:gridCol w:w="1554"/>
        <w:gridCol w:w="1425"/>
        <w:gridCol w:w="1166"/>
      </w:tblGrid>
      <w:tr>
        <w:trPr>
          <w:tblHeader w:val="on"/>
          <w:cantSplit/>
        </w:trPr>
        <w:tc>
          <w:tcPr>
            <w:tcW w:type="dxa" w:w="492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5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Odds ratio</w:t>
            </w:r>
          </w:p>
        </w:tc>
        <w:tc>
          <w:tcPr>
            <w:tcW w:type="dxa" w:w="14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16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0.959***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(0.013)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Technological scope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1.141***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(0.033)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1.870**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(0.246)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1.563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(0.405)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2.069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(0.526)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0.167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0.626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(0.602)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0.436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1.791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(0.445)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0.190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1.308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(0.393)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0.495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1.243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(0.926)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0.814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S23.</w:t>
      </w:r>
      <w:r>
        <w:t xml:space="preserve"> </w:t>
      </w:r>
      <w:r>
        <w:t xml:space="preserve">Multinomial logit, de-duplicated (N = 473; log-likelihood = -425.3; AIC = 890.6)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825"/>
        <w:gridCol w:w="1486"/>
        <w:gridCol w:w="817"/>
        <w:gridCol w:w="669"/>
        <w:gridCol w:w="1784"/>
        <w:gridCol w:w="817"/>
        <w:gridCol w:w="669"/>
      </w:tblGrid>
      <w:tr>
        <w:trPr>
          <w:tblHeader w:val="on"/>
          <w:cantSplit/>
        </w:trPr>
        <w:tc>
          <w:tcPr>
            <w:tcW w:type="dxa" w:w="28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48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Integrated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7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Process-only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Filing year (yc)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0.997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0.858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0.935***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Technological scope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1.295***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0.826***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(0.061)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China (CN)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1.366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(0.288)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0.280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2.721***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Korea (KR)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1.429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(0.485)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0.462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1.807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0.236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Taiwan (TW)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1.267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(0.633)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0.708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3.485**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(0.636)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Japan (JP)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1.572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(0.673)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0.501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0.061**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(1.222)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 (EP)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2.412*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(0.480)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0.067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0.699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(0.764)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0.640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 (WO)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1.042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(0.489)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0.933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1.636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0.321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Other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0.167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(2.128)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0.400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1.847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(1.010)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0.543</w:t>
            </w:r>
          </w:p>
        </w:tc>
      </w:tr>
    </w:tbl>
    <w:bookmarkEnd w:id="23"/>
    <w:bookmarkStart w:id="24" w:name="Xfb38478c102a8dd113a84d365d40082e0a415b4"/>
    <w:p>
      <w:pPr>
        <w:pStyle w:val="Heading3"/>
      </w:pPr>
      <w:r>
        <w:t xml:space="preserve">S1.8 Strict front-end definition (assembly-stage main groups excluded, N = 908)</w:t>
      </w:r>
    </w:p>
    <w:p>
      <w:pPr>
        <w:pStyle w:val="FirstParagraph"/>
      </w:pPr>
      <w:r>
        <w:t xml:space="preserve">Type distribution: assembly-only 425, integrated 338, process-only 145 (20 applications with no symbol left in either class excluded). Front-end orientation 52.0%. Period shares (assembly/integrated/process): to 2014 27.2/31.2/41.6; 2015–2019 25.5/61.8/12.8; 2020–2024 61.4/29.8/8.8.</w:t>
      </w:r>
    </w:p>
    <w:p>
      <w:pPr>
        <w:pStyle w:val="BodyText"/>
      </w:pPr>
      <w:r>
        <w:rPr>
          <w:b/>
          <w:bCs/>
        </w:rPr>
        <w:t xml:space="preserve">Table S24.</w:t>
      </w:r>
      <w:r>
        <w:t xml:space="preserve"> </w:t>
      </w:r>
      <w:r>
        <w:t xml:space="preserve">Binary logit, strict definition (dependent variable has_process (strict definition); N = 908; log-likelihood = -557.7; AIC = 1135.3; AUC = 0.710)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23"/>
        <w:gridCol w:w="1554"/>
        <w:gridCol w:w="1425"/>
        <w:gridCol w:w="1166"/>
      </w:tblGrid>
      <w:tr>
        <w:trPr>
          <w:tblHeader w:val="on"/>
          <w:cantSplit/>
        </w:trPr>
        <w:tc>
          <w:tcPr>
            <w:tcW w:type="dxa" w:w="492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5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Odds ratio</w:t>
            </w:r>
          </w:p>
        </w:tc>
        <w:tc>
          <w:tcPr>
            <w:tcW w:type="dxa" w:w="14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16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0.928***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(0.012)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Technological scope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1.235***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(0.024)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1.963***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(0.202)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2.027**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(0.320)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0.027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2.040**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(0.282)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0.666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(0.490)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0.406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1.140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(0.260)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0.615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1.486*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0.092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2.523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(0.585)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0.114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S25.</w:t>
      </w:r>
      <w:r>
        <w:t xml:space="preserve"> </w:t>
      </w:r>
      <w:r>
        <w:t xml:space="preserve">Multinomial logit, strict definition (N = 908; log-likelihood = -755.9; AIC = 1551.8)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825"/>
        <w:gridCol w:w="1486"/>
        <w:gridCol w:w="817"/>
        <w:gridCol w:w="669"/>
        <w:gridCol w:w="1784"/>
        <w:gridCol w:w="817"/>
        <w:gridCol w:w="669"/>
      </w:tblGrid>
      <w:tr>
        <w:trPr>
          <w:tblHeader w:val="on"/>
          <w:cantSplit/>
        </w:trPr>
        <w:tc>
          <w:tcPr>
            <w:tcW w:type="dxa" w:w="28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48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Integrated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7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Process-only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Filing year (yc)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0.967**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0.025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0.898***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Technological scope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1.352***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0.923*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(0.045)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0.076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China (CN)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(0.235)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0.151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3.299***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(0.285)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Korea (KR)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1.684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(0.371)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0.161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2.636**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(0.422)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Taiwan (TW)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1.763*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(0.315)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0.071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2.683**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(0.416)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Japan (JP)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(0.536)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0.530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0.103***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(0.833)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0.006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 (EP)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1.215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(0.288)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0.500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0.956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(0.443)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0.918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 (WO)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1.193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0.518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2.170**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(0.339)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Other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2.631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(0.663)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0.145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2.385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(0.758)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0.251</w:t>
            </w:r>
          </w:p>
        </w:tc>
      </w:tr>
    </w:tbl>
    <w:bookmarkEnd w:id="24"/>
    <w:bookmarkStart w:id="25" w:name="Xf06f2ef18fb0c5a9028abed4cae588fe7542d18"/>
    <w:p>
      <w:pPr>
        <w:pStyle w:val="Heading3"/>
      </w:pPr>
      <w:r>
        <w:t xml:space="preserve">S1.9 Exclusion of irrelevant uses of the search terms (N = 860; list in Section S2)</w:t>
      </w:r>
    </w:p>
    <w:p>
      <w:pPr>
        <w:pStyle w:val="FirstParagraph"/>
      </w:pPr>
      <w:r>
        <w:rPr>
          <w:b/>
          <w:bCs/>
        </w:rPr>
        <w:t xml:space="preserve">Table S26.</w:t>
      </w:r>
      <w:r>
        <w:t xml:space="preserve"> </w:t>
      </w:r>
      <w:r>
        <w:t xml:space="preserve">Negative binomial, irrelevant uses excluded (N = 860; α = 0.254 (SE 0.020); log-likelihood = -2270.0; AIC = 4560.0)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388"/>
        <w:gridCol w:w="1755"/>
        <w:gridCol w:w="1609"/>
        <w:gridCol w:w="1316"/>
      </w:tblGrid>
      <w:tr>
        <w:trPr>
          <w:tblHeader w:val="on"/>
          <w:cantSplit/>
        </w:trPr>
        <w:tc>
          <w:tcPr>
            <w:tcW w:type="dxa" w:w="438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160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31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1.001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(0.004)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0.730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0.961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(0.094)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0.675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1.012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(0.082)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0.885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1.397**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(0.145)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0.021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0.989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(0.082)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0.892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0.820***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(0.073)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0.007</w:t>
            </w:r>
          </w:p>
        </w:tc>
      </w:tr>
      <w:tr>
        <w:trPr>
          <w:cantSplit/>
        </w:trPr>
        <w:tc>
          <w:tcPr>
            <w:tcW w:type="dxa" w:w="438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0.938</w:t>
            </w:r>
          </w:p>
        </w:tc>
        <w:tc>
          <w:tcPr>
            <w:tcW w:type="dxa" w:w="160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(0.169)</w:t>
            </w:r>
          </w:p>
        </w:tc>
        <w:tc>
          <w:tcPr>
            <w:tcW w:type="dxa" w:w="131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0.705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S27.</w:t>
      </w:r>
      <w:r>
        <w:t xml:space="preserve"> </w:t>
      </w:r>
      <w:r>
        <w:t xml:space="preserve">Binary logit, irrelevant uses excluded (dependent variable has_process (front-end orientation); N = 860; log-likelihood = -482.8; AIC = 985.6; AUC = 0.752)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23"/>
        <w:gridCol w:w="1554"/>
        <w:gridCol w:w="1425"/>
        <w:gridCol w:w="1166"/>
      </w:tblGrid>
      <w:tr>
        <w:trPr>
          <w:tblHeader w:val="on"/>
          <w:cantSplit/>
        </w:trPr>
        <w:tc>
          <w:tcPr>
            <w:tcW w:type="dxa" w:w="492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5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Odds ratio</w:t>
            </w:r>
          </w:p>
        </w:tc>
        <w:tc>
          <w:tcPr>
            <w:tcW w:type="dxa" w:w="14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SE (log)</w:t>
            </w:r>
          </w:p>
        </w:tc>
        <w:tc>
          <w:tcPr>
            <w:tcW w:type="dxa" w:w="116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Filing year (yc)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0.883***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(0.018)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Technological scope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1.266***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(0.028)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China (CN)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1.831***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(0.218)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0.005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Korea (KR)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1.169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(0.349)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0.656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Taiwan (TW)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1.630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(0.297)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0.100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Japan (JP)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1.006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(0.656)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 (EP)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1.400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0.246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 (WO)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1.377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(0.248)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0.197</w:t>
            </w:r>
          </w:p>
        </w:tc>
      </w:tr>
      <w:tr>
        <w:trPr>
          <w:cantSplit/>
        </w:trPr>
        <w:tc>
          <w:tcPr>
            <w:tcW w:type="dxa" w:w="4923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155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1.698</w:t>
            </w:r>
          </w:p>
        </w:tc>
        <w:tc>
          <w:tcPr>
            <w:tcW w:type="dxa" w:w="142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(0.640)</w:t>
            </w:r>
          </w:p>
        </w:tc>
        <w:tc>
          <w:tcPr>
            <w:tcW w:type="dxa" w:w="116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0.408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S28.</w:t>
      </w:r>
      <w:r>
        <w:t xml:space="preserve"> </w:t>
      </w:r>
      <w:r>
        <w:t xml:space="preserve">Multinomial logit, irrelevant uses excluded (N = 860; log-likelihood = -682.7; AIC = 1405.4)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825"/>
        <w:gridCol w:w="1486"/>
        <w:gridCol w:w="817"/>
        <w:gridCol w:w="669"/>
        <w:gridCol w:w="1784"/>
        <w:gridCol w:w="817"/>
        <w:gridCol w:w="669"/>
      </w:tblGrid>
      <w:tr>
        <w:trPr>
          <w:tblHeader w:val="on"/>
          <w:cantSplit/>
        </w:trPr>
        <w:tc>
          <w:tcPr>
            <w:tcW w:type="dxa" w:w="282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48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Integrated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7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Process-only RRR</w:t>
            </w:r>
          </w:p>
        </w:tc>
        <w:tc>
          <w:tcPr>
            <w:tcW w:type="dxa" w:w="81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SE (log)</w:t>
            </w:r>
          </w:p>
        </w:tc>
        <w:tc>
          <w:tcPr>
            <w:tcW w:type="dxa" w:w="66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Filing year (yc)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0.949**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(0.022)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0.015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0.820***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Technological scope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1.384***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0.916*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0.078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China (CN)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1.350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(0.241)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0.214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3.235***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Korea (KR)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1.128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0.754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1.175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(0.510)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0.752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Taiwan (TW)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1.402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(0.323)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0.296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2.294*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(0.445)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0.062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Japan (JP)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1.643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(0.654)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0.448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0.015***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(1.466)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0.004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 (EP)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1.522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0.170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1.089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0.863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 (WO)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1.145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0.622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2.046*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(0.366)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Other</w:t>
            </w:r>
          </w:p>
        </w:tc>
        <w:tc>
          <w:tcPr>
            <w:tcW w:type="dxa" w:w="148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2.051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(0.680)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0.291</w:t>
            </w:r>
          </w:p>
        </w:tc>
        <w:tc>
          <w:tcPr>
            <w:tcW w:type="dxa" w:w="17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0.996</w:t>
            </w:r>
          </w:p>
        </w:tc>
        <w:tc>
          <w:tcPr>
            <w:tcW w:type="dxa" w:w="817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(0.914)</w:t>
            </w:r>
          </w:p>
        </w:tc>
        <w:tc>
          <w:tcPr>
            <w:tcW w:type="dxa" w:w="66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0.997</w:t>
            </w:r>
          </w:p>
        </w:tc>
      </w:tr>
    </w:tbl>
    <w:bookmarkEnd w:id="25"/>
    <w:bookmarkStart w:id="26" w:name="Xe8d6e2c42f238bed25c039cfc182962a5622882"/>
    <w:p>
      <w:pPr>
        <w:pStyle w:val="Heading3"/>
      </w:pPr>
      <w:r>
        <w:t xml:space="preserve">S1.10 Indirect check of the independence of irrelevant alternatives</w:t>
      </w:r>
    </w:p>
    <w:p>
      <w:pPr>
        <w:pStyle w:val="FirstParagraph"/>
      </w:pPr>
      <w:r>
        <w:t xml:space="preserve">Binary logit of integrated against assembly-only in the sample without process-only applications (N = 763): technological scope OR 1.463, filing year 0.987, China 1.177, Korea 1.206, Taiwan 1.440, Japan 1.243, EPO 1.316, PCT 1.150, other 2.162. These are close to the integrated equation of main-text Table 6 (1.403, 0.993, 1.205, 1.166, 1.312, 1.046, 1.307, 1.126, 2.326).</w:t>
      </w:r>
    </w:p>
    <w:bookmarkEnd w:id="26"/>
    <w:bookmarkStart w:id="27" w:name="Xf6548d859e4d36d73617800ecc6c3d080710edb"/>
    <w:p>
      <w:pPr>
        <w:pStyle w:val="Heading3"/>
      </w:pPr>
      <w:r>
        <w:t xml:space="preserve">S1.11 Counts used in the classification-practice check</w:t>
      </w:r>
    </w:p>
    <w:p>
      <w:pPr>
        <w:pStyle w:val="Compact"/>
        <w:numPr>
          <w:ilvl w:val="0"/>
          <w:numId w:val="1002"/>
        </w:numPr>
      </w:pPr>
      <w:r>
        <w:t xml:space="preserve">Of the 60 H01L24 subgroups, 28 are assigned to applications filed before 2010. Of the 662 applications with bonding symbols filed from 2015 onwards, 97.6% carry at least one pre-existing symbol; 76.7% of the H01L24 records in that period are assigned to pre-existing symbols.</w:t>
      </w:r>
    </w:p>
    <w:p>
      <w:pPr>
        <w:pStyle w:val="Compact"/>
        <w:numPr>
          <w:ilvl w:val="0"/>
          <w:numId w:val="1002"/>
        </w:numPr>
      </w:pPr>
      <w:r>
        <w:t xml:space="preserve">H01L24 symbols per application: –2014 3.03, 2015–2019 4.73, 2020–2024 3.91; H01L21 symbols per application: –2014 2.12, 2015–2019 2.23, 2020–2024 1.46; share of applications with a bonding symbol: –2014 56.4%, 2015–2019 85.2%, 2020–2024 89.6%.</w:t>
      </w:r>
    </w:p>
    <w:bookmarkEnd w:id="27"/>
    <w:bookmarkStart w:id="28" w:name="Xe7a9ab8a3af62d0a6d4d8b6b162f13f055fd9bb"/>
    <w:p>
      <w:pPr>
        <w:pStyle w:val="Heading3"/>
      </w:pPr>
      <w:r>
        <w:t xml:space="preserve">S1.12 Predicted values behind main-text Figures 3 and 4</w:t>
      </w:r>
    </w:p>
    <w:p>
      <w:pPr>
        <w:pStyle w:val="Compact"/>
        <w:numPr>
          <w:ilvl w:val="0"/>
          <w:numId w:val="1003"/>
        </w:numPr>
      </w:pPr>
      <w:r>
        <w:t xml:space="preserve">Figure 3 (negative binomial, filing year fixed at the sample mean yc = 49.7): US 5.98 [5.59, 6.39], CN 4.69 [4.23, 5.20], KR 6.08 [5.12, 7.22], TW 6.10 [5.26, 7.08], JP 7.59 [5.90, 9.77], EP 5.94 [5.15, 6.85], WO 4.94 [4.35, 5.60], Other 6.32 [4.55, 8.77].</w:t>
      </w:r>
    </w:p>
    <w:p>
      <w:pPr>
        <w:pStyle w:val="Compact"/>
        <w:numPr>
          <w:ilvl w:val="0"/>
          <w:numId w:val="1003"/>
        </w:numPr>
      </w:pPr>
      <w:r>
        <w:t xml:space="preserve">Figure 4 (multinomial logit, average predicted probabilities): US 0.143 [0.113, 0.177], CN 0.255 [0.202, 0.312], KR 0.209 [0.133, 0.311], TW 0.216 [0.142, 0.318], JP 0.021 [0.006, 0.069], EP 0.120 [0.069, 0.194], WO 0.217 [0.156, 0.284], Other 0.170 [0.069, 0.352]. Predictions with covariates fixed at their means (for reference): US 0.102, CN 0.216, KR 0.166, TW 0.170, JP 0.009, EP 0.078, WO 0.176, Other 0.113.</w:t>
      </w:r>
    </w:p>
    <w:bookmarkEnd w:id="28"/>
    <w:bookmarkEnd w:id="29"/>
    <w:bookmarkStart w:id="30" w:name="Xdecf17dfed86f67824e918948f2cb5d316c20f3"/>
    <w:p>
      <w:pPr>
        <w:pStyle w:val="Heading2"/>
      </w:pPr>
      <w:r>
        <w:t xml:space="preserve">S2. Applications excluded as irrelevant uses of the search terms</w:t>
      </w:r>
    </w:p>
    <w:p>
      <w:pPr>
        <w:pStyle w:val="BlockText"/>
      </w:pPr>
      <w:r>
        <w:t xml:space="preserve">Basis of Section 4.1 and the eighth robustness item of Section 5.4 in the main text. Applications whose titles contain the following terms were judged irrelevant uses of</w:t>
      </w:r>
      <w:r>
        <w:t xml:space="preserve"> </w:t>
      </w:r>
      <w:r>
        <w:t xml:space="preserve">“direct bonding”</w:t>
      </w:r>
      <w:r>
        <w:t xml:space="preserve">: ceramic, DBC (direct bonded copper), alumina, zirconia and aluminium nitride substrates; copper alloys (</w:t>
      </w:r>
      <w:r>
        <w:t xml:space="preserve">“copper alloy having … direct bonding property”</w:t>
      </w:r>
      <w:r>
        <w:t xml:space="preserve">); diamond-to-molybdenum bonding; laser precursors; electrostatic chucks; power-module and power-device substrates; heat spreaders; direct bonded metal or copper substrates; direct bond circuit assemblies; and sp3–sp2</w:t>
      </w:r>
      <w:r>
        <w:t xml:space="preserve"> </w:t>
      </w:r>
      <w:r>
        <w:t xml:space="preserve">“hybrid bonding”</w:t>
      </w:r>
      <w:r>
        <w:t xml:space="preserve"> </w:t>
      </w:r>
      <w:r>
        <w:t xml:space="preserve">in the chemical sense. Total 68 applications (36 filed before 2015). By office: US 35, CN 11, JP 7, EP 7, WO 5, KR 2, TW 1, Other 0. By type: Assembly 34, Integrated 17, Process 17, None 0.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054"/>
        <w:gridCol w:w="1045"/>
        <w:gridCol w:w="871"/>
        <w:gridCol w:w="1742"/>
        <w:gridCol w:w="4356"/>
      </w:tblGrid>
      <w:tr>
        <w:trPr>
          <w:tblHeader w:val="on"/>
          <w:cantSplit/>
        </w:trPr>
        <w:tc>
          <w:tcPr>
            <w:tcW w:type="dxa" w:w="10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Filing year</w:t>
            </w:r>
          </w:p>
        </w:tc>
        <w:tc>
          <w:tcPr>
            <w:tcW w:type="dxa" w:w="10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Office</w:t>
            </w:r>
          </w:p>
        </w:tc>
        <w:tc>
          <w:tcPr>
            <w:tcW w:type="dxa" w:w="87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Scope</w:t>
            </w:r>
          </w:p>
        </w:tc>
        <w:tc>
          <w:tcPr>
            <w:tcW w:type="dxa" w:w="1742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Strategy type</w:t>
            </w:r>
          </w:p>
        </w:tc>
        <w:tc>
          <w:tcPr>
            <w:tcW w:type="dxa" w:w="435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1968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BONDING OF DIAMOND TO MOLYBDENUM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1975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bonding of metals to ceramics and metals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1981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Blister-free direct bonding of metals to ceramics and metals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GOOD DIRECT BONDING PROPERTIES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SUPERIOR DIRECT BONDING PROPERTY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SUPERIOR DIRECT BONDING PROPERTY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GOOD DIRECT BONDING PROPERTIES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SUPERIOR DIRECT BONDING PROPERTY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 circuit assembly with crimped lead frame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 circuit assembly with ground plane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Hermetic direct bond circuit assembly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GOOD DIRECT BONDING PROPERTIES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1990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metal-substrate structures.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1990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Circuit assembly and method with direct bonded terminal pin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1994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heat spreader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1995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Zirconia-added alumina substrate with direct bonding of copper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1996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Zirconia-added alumina substrate with direct bonding of copper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1996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Zirconia-added alumina substrate with direct bonding of copper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2001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High frequency 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System and method for fabricating efficient semiconductor lasers via use of precursors having a direct bond between a group III atom and a nitrogen atom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manufacturing a power semiconductor device and direct bonded substrate thereof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KR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2003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substrate for a power semiconductor device.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2003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HIGHLY EFFICIENT SEMICONDUCTOR LASER MANUFACTURING SYSTEM AND METHOD USING PRECURSOR HAVING DIRECT BONDING BETWEEN GROUP III ATOM AND NITROGEN ATOM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2007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direct bonding of metallic conductors to a ceramic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2010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NON-DIRECT BOND COPPER ISOLATED LATERAL WIDE BAND GAP SEMICONDUCTOR DEVICE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ELECTRONICS SUBSTRATE WITH ENHANCED DIRECT BONDED METAL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Microchannel direct bonded copper substrate and packaging structure and process of power device thereof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Non-direct bond copper isolated lateral wide band gap semiconductor device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ELECTRONICS SUBSTRATE WITH ENHANCED DIRECT BONDED METAL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MICROCHANNEL DIRECT BONDED COPPER SUBSTRATE AND PACKAGING STRUCTURE AND PROCESS OF POWER DEVICE THEREOF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2013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KR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CERAMIC ELECTROSTATIC CHUCK FOR APPLICATIONS OF CO-FIRED BY DIRECT BONDING AND METHOD FOR MANUFACTURING THE SAME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2014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Package structure with direct bond copper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2014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of producing electronics substrate with enhanced direct bonded metal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2015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2017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2017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 assembly with a direct bonded copper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LOW TEMPERATURE DIRECT BONDING OF ALUMINUM NITRIDE TO ALSIC SUBSTRATES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uniformizing temperature field of current assisted sintered nano-silver soldering paste on basis of DBC (Direct Bonded Copper) ceramic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 ASSEMBLY WITH A DIRECT BONDED COPPER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power module with elevated common source inductance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Low temperature direct bonding of aluminum nitride to AlSiC substrates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 ASSEMBLY WITH A DIRECT BONDED COPPER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power module with elevated common source inductance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metal substrates with encapsulated phase change materials and electronic assemblies incorporating the same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TW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CERAMIC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ceramic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SUBSTRATES FABRICATED USING SILVER SINTERING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substrates fabricated using silver sintering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Automotive power devices on direct bond copper embedded in PCB driver boards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 COPPER SUBSTRATE WITH METAL FILLED CERAMIC SUBSTRATE INDENTATIONS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 SHEET AND COOLED SEMICONDUCTOR POWER MODULE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MODULE PACKAGE WITH STACKED DIRECT BONDED METAL SUBSTRATES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 SHEET AND COOLED SEMICONDUCTOR POWER MODULE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DUAL SIDE COOLED POWER MODULE WITH THREE-DIMENSIONAL DIRECT BONDED METAL SUBSTRATES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bonding sheet and cooling semiconductor power module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substrates fabricated using silver sintering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forming sharp corner pattern on DBC (Direct Bonding Copper)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Two-sided cooling power module employing three-dimensional direct bonding metal substrates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Preparation method and application of sp3-sp2 hybrid bonding network layer of diamond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THICK FILM PRINTED COOLER FOR IMPROVED THERMAL MANAGEMENT OF DIRECT BONDED POWER DEVICES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fragmenting DBC (Direct Bonding Copper)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2024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PACKAGE COMPRISING A DIRECT BONDED METAL SUBSTRATE AND A COOLING JACKET, METHOD OF FORMING THE PACKAGE AND A DIRECT BONDED METAL SUBSTRATE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2024</w:t>
            </w:r>
          </w:p>
        </w:tc>
        <w:tc>
          <w:tcPr>
            <w:tcW w:type="dxa" w:w="10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871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74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435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 SHEET AND COOLED SEMICONDUCTOR POWER MODULE</w:t>
            </w:r>
          </w:p>
        </w:tc>
      </w:tr>
    </w:tbl>
    <w:bookmarkEnd w:id="30"/>
    <w:bookmarkEnd w:id="31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2026-09-24T06:01:53Z</dcterms:created>
  <dcterms:modified xsi:type="dcterms:W3CDTF">2026-09-24T06:01:53Z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