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ascii="Times New Roman" w:hAnsi="Times New Roman" w:cs="Times New Roman"/>
          <w:b/>
          <w:bCs/>
          <w:color w:val="000000"/>
          <w:sz w:val="28"/>
        </w:rPr>
        <w:t xml:space="preserve">Cross-stage technology convergence in semiconductor hybrid bonding: A patent-based longitudinal analysis</w:t>
      </w:r>
    </w:p>
    <w:p>
      <w:pPr>
        <w:pStyle w:val="BodyText"/>
      </w:pPr>
      <w:r>
        <w:rPr>
          <w:rFonts w:ascii="Times New Roman" w:hAnsi="Times New Roman" w:cs="Times New Roman"/>
          <w:b/>
          <w:bCs/>
        </w:rPr>
        <w:t xml:space="preserve">HyungKyu Lee</w:t>
      </w:r>
      <w:r>
        <w:rPr>
          <w:rFonts w:ascii="Times New Roman" w:hAnsi="Times New Roman" w:cs="Times New Roman"/>
          <w:b/>
          <w:bCs/>
          <w:vertAlign w:val="superscript"/>
        </w:rPr>
        <w:t xml:space="preserve">a</w:t>
      </w:r>
      <w:r>
        <w:rPr>
          <w:rFonts w:ascii="Times New Roman" w:hAnsi="Times New Roman" w:cs="Times New Roman"/>
          <w:b/>
          <w:bCs/>
        </w:rPr>
        <w:t xml:space="preserve">, Mingu Kang</w:t>
      </w:r>
      <w:r>
        <w:rPr>
          <w:rFonts w:ascii="Times New Roman" w:hAnsi="Times New Roman" w:cs="Times New Roman"/>
          <w:b/>
          <w:bCs/>
          <w:vertAlign w:val="superscript"/>
        </w:rPr>
        <w:t xml:space="preserve">a,*</w:t>
      </w:r>
    </w:p>
    <w:p>
      <w:pPr>
        <w:pStyle w:val="BodyText"/>
        <w:ind w:left="240" w:hanging="240"/>
      </w:pPr>
      <w:r>
        <w:rPr>
          <w:rFonts w:ascii="Times New Roman" w:hAnsi="Times New Roman" w:cs="Times New Roman"/>
          <w:vertAlign w:val="superscript"/>
        </w:rPr>
        <w:t xml:space="preserve">a</w:t>
      </w:r>
      <w:r>
        <w:rPr>
          <w:rFonts w:ascii="Times New Roman" w:hAnsi="Times New Roman" w:cs="Times New Roman"/>
        </w:rPr>
        <w:t xml:space="preserve"> </w:t>
      </w:r>
      <w:r>
        <w:rPr>
          <w:rFonts w:ascii="Times New Roman" w:hAnsi="Times New Roman" w:cs="Times New Roman"/>
        </w:rPr>
        <w:t xml:space="preserve">Graduate School of Technology and Innovation Management, Hanyang University,</w:t>
      </w:r>
      <w:r>
        <w:rPr>
          <w:rFonts w:ascii="Times New Roman" w:hAnsi="Times New Roman" w:cs="Times New Roman"/>
        </w:rPr>
        <w:br/>
      </w:r>
      <w:r>
        <w:rPr>
          <w:rFonts w:ascii="Times New Roman" w:hAnsi="Times New Roman" w:cs="Times New Roman"/>
        </w:rPr>
        <w:t xml:space="preserve">Seoul, Korea</w:t>
      </w:r>
    </w:p>
    <w:p>
      <w:pPr>
        <w:pStyle w:val="BodyText"/>
        <w:ind w:left="240"/>
      </w:pPr>
      <w:r>
        <w:rPr>
          <w:rFonts w:ascii="Times New Roman" w:hAnsi="Times New Roman" w:cs="Times New Roman"/>
        </w:rPr>
        <w:t xml:space="preserve">Email:</w:t>
      </w:r>
      <w:r>
        <w:rPr>
          <w:rFonts w:ascii="Times New Roman" w:hAnsi="Times New Roman" w:cs="Times New Roman"/>
        </w:rPr>
        <w:t xml:space="preserve"> </w:t>
      </w:r>
      <w:r>
        <w:rPr>
          <w:rFonts w:ascii="Times New Roman" w:hAnsi="Times New Roman" w:cs="Times New Roman"/>
          <w:highlight w:val="yellow"/>
        </w:rPr>
        <w:t xml:space="preserve">higgack@naver.com (Lee, H.); jiangmq@hanyang.ac.kr (Kang, M.)</w:t>
      </w:r>
    </w:p>
    <w:p>
      <w:r>
        <w:pict>
          <v:rect style="width:0;height:1.5pt" o:hralign="center" o:hrstd="t" o:hr="t"/>
        </w:pict>
      </w:r>
    </w:p>
    <w:bookmarkStart w:id="9" w:name="국문-초록"/>
    <w:p>
      <w:pPr>
        <w:pStyle w:val="Heading2"/>
      </w:pPr>
      <w:r>
        <w:t xml:space="preserve">국문 초록</w:t>
      </w:r>
    </w:p>
    <w:p>
      <w:pPr>
        <w:pStyle w:val="FirstParagraph"/>
      </w:pPr>
      <w:r>
        <w:t xml:space="preserve">반도체 제조에서 웨이퍼 위에 소자를 형성하는 전공정과 이를 절단하여 조립하는 후공정은 오랫동안 분리된 영역으로 다루어져 왔다. 그러나 후공정의 접합 기술인 하이브리드 본딩은 전공정의 제조공정 역량이 뒷받침되어야 요구 성능을 확보할 수 있어 공정 단계 간의 기술융합이 이루어지고 있다. 본 연구는 하이브리드 본딩 특허를 대상으로 공정 단계 간 기술융합의 수준과 유형, 그 시간적 변화, 그리고 융합의 구조적 중심 변화를 분석하고자 한다. 유럽특허청 PATSTAT에서 추출한 하이브리드 본딩 특허를 CPC 분류에 따라 접합 단독형, 공정 단독형, 통합형으로 구분하고, 다항·이항 로짓 분석과 기술 클러스터 및 네트워크 분석을 통해 공정 단계 간 기술융합의 특성과 동태적 변화를 분석하였다.</w:t>
      </w:r>
    </w:p>
    <w:p>
      <w:pPr>
        <w:pStyle w:val="BodyText"/>
      </w:pPr>
      <w:r>
        <w:t xml:space="preserve">분석 결과는 다음과 같다. 첫째, 통합형은 전체 출원 가운데 가장 큰 비중을 차지하였고 패키징 단계 공정을 제외한 좁은 정의에서도 상당한 비중을 유지하여, 공정 단계 간 융합이 예외적 현상이 아님을 확인하였다. 또한 세부 기술을 더 다양하게 포함한 출원일수록 통합형으로 분류될 가능성이 높았다. 둘째, 융합의 수준과 형태는 공정 단독형이 우세한 형성기, 통합형이 정점에 이른 확산기, 통합형이 감소하고 접합 단독형이 증가한 재편기의 세 국면을 거쳐 변화하였으며, 이 과정에서 출원의 무게중심은 제조공정에서 접합 쪽으로 이동하였다. 셋째, 기술 클러스터와 기술 네트워크 분석으로 식별한 핵심 접합 기술을 포함한 출원은 형성기에는 그렇지 않은 출원보다 제조공정 분류를 함께 가질 가능성이 매우 높았으나, 그 차이는 점차 줄어들어 재편기에는 유의하지 않았으며, 접합과 결합하는 제조공정의 중심도 웨이퍼 제조공정에서 공정 장치와 패키징 단계 공정으로 이동하였다.</w:t>
      </w:r>
    </w:p>
    <w:p>
      <w:pPr>
        <w:pStyle w:val="BodyText"/>
      </w:pPr>
      <w:r>
        <w:t xml:space="preserve">이러한 결과는 공정 단계 간 기술융합이 단선적으로 확대되는 과정이 아니라 융합의 내용과 중심이 국면에 따라 재편되는 동태적 과정이며, 그 배경에 핵심 기술 설계의 고착화가 있음을 시사한다.</w:t>
      </w:r>
    </w:p>
    <w:p>
      <w:pPr>
        <w:pStyle w:val="BodyText"/>
      </w:pPr>
      <w:r>
        <w:rPr>
          <w:b/>
          <w:bCs/>
        </w:rPr>
        <w:t xml:space="preserve">주제어:</w:t>
      </w:r>
      <w:r>
        <w:t xml:space="preserve"> </w:t>
      </w:r>
      <w:r>
        <w:t xml:space="preserve">기술융합; 공정 단계 간 융합; 하이브리드 본딩; 첨단 패키징; 기술 네트워크; 지배적 설계</w:t>
      </w:r>
    </w:p>
    <w:p>
      <w:r>
        <w:pict>
          <v:rect style="width:0;height:1.5pt" o:hralign="center" o:hrstd="t" o:hr="t"/>
        </w:pict>
      </w:r>
    </w:p>
    <w:bookmarkEnd w:id="9"/>
    <w:bookmarkStart w:id="10" w:name="서론"/>
    <w:p>
      <w:pPr>
        <w:pStyle w:val="Heading2"/>
      </w:pPr>
      <w:r>
        <w:t xml:space="preserve">1. 서론</w:t>
      </w:r>
    </w:p>
    <w:p>
      <w:pPr>
        <w:pStyle w:val="FirstParagraph"/>
      </w:pPr>
      <w:r>
        <w:t xml:space="preserve">반도체 산업의 분업 구조는 반세기 이상 유지되어 왔다. 웨이퍼 위에 트랜지스터를 형성하는 작업은 전공정(front end)이, 완성된 웨이퍼를 절단하여 조립하고 패키징하는 작업은 후공정(back end)이 담당하였다. Kapoor(2013)에 따르면 전공정은 종합반도체기업(IDM)과 파운드리가 운영하는 대규모 팹에 집중된 반면, 패키징과 테스트는 조립·테스트 전문업체(OSAT)로 외주화되었다(Macher and Mowery, 2004; Brown and Linden, 2009). 이러한 분업은 두 단계 사이의 인터페이스가 비교적 안정적으로 관리되었기 때문에 가능하였다. 그러나 첨단 패키징이 등장하면서 이 인터페이스에도 변화가 나타나고 있다. 한 단계의 성능이 다른 단계의 공정 역량에 보다 직접적으로 의존하게 된 것이다.</w:t>
      </w:r>
    </w:p>
    <w:p>
      <w:pPr>
        <w:pStyle w:val="BodyText"/>
      </w:pPr>
      <w:r>
        <w:t xml:space="preserve">이러한 변화의 배경에는 미세화의 한계가 있다. 회로 선폭을 줄이는 미세화는 집적도 향상의 둔화와 비용의 급격한 증가라는 한계에 직면하였다. 이에 따라 반도체 산업은 다이를 분할하고 적층하여 연결하는 방식에서 새로운 성능 향상의 기회를 모색하기 시작하였으며(Arden et al., 2010; Khan et al., 2018), 하이브리드 본딩은 그 중심에 있는 기술이다. Lau(2021, 2022)에 따르면 솔더 범프 없이 구리 패드와 주변 산화막을 직접 접합하는 이 기술은 기존 방식으로는 구현하기 어려운 10 µm 이하의 연결 간격을 가능하게 한다. 주목할 점은 이 기술의 성패를 좌우하는 나노미터 수준의 표면 평탄화, 표면 활성화, 정밀 정렬이 후공정의 전통적 역량이 아니라 전공정의 제조공정 역량에 해당한다는 것이다. 선도 파운드리가 첨단 패키징 역량을 내재화하려는 움직임 역시 이러한 공정 단계 간 상호의존의 심화라는 맥락에서 이해할 수 있다(Lau, 2022; KnowMade, 2024).</w:t>
      </w:r>
    </w:p>
    <w:p>
      <w:pPr>
        <w:pStyle w:val="BodyText"/>
      </w:pPr>
      <w:r>
        <w:t xml:space="preserve">이처럼 하이브리드 본딩은 전공정과 후공정의 기술적 경계가 융합되는 양상을 보여 주는 대표적 사례이며, 이러한 현상은 기술융합의 관점에서 이해할 수 있다. 기술융합 연구는 서로 구분되던 기술 영역이 중첩되고 결합하는 과정을 오랫동안 다루어 왔다(Rosenberg, 1963; Kodama, 1992; Curran and Leker, 2011; Sick and Bröring, 2022). 그러나 정보통신과 가전을 다룬 Hacklin et al.(2009), 식품과 제약을 다룬 Bröring et al.(2006), 나노기술과 바이오기술을 다룬 No와 Park(2010)의 연구에서 볼 수 있듯이, 기존 연구는 주로 서로 다른 산업이나 기술 분야 간의 중첩에 초점을 맞추어 왔다. 반면 한 산업 내에서 가치사슬의 단계를 가로지르는 융합은 충분히 다루어지지 않았다. 가치사슬 상·하류 기업 간의 특허 인용을 분석한 Karvonen과 Kässi(2012)의 연구가 가장 가까운 선례이나, 이 연구 역시 하나의 기술이 공정 단계의 경계를 넘는지를 특허 단위에서 검정하지는 않았다. 또한 융합을 단계적 과정으로 보는 이론(Hacklin et al., 2010)에 비해, 융합의 내용이 시간에 따라 어떻게 변화하는지를 분석한 실증 연구도 부족하다. 공정 단계의 경계를 넘는 발명은 누가 무엇을 생산하고 가치를 어떻게 배분하는지를 규정하는 산업의 틀(Jacobides et al., 2006)을 변화시키는 기술적 출발점이 될 수 있다는 점에서, 이러한 연구 공백을 보완할 필요가 있다.</w:t>
      </w:r>
    </w:p>
    <w:p>
      <w:pPr>
        <w:pStyle w:val="BodyText"/>
      </w:pPr>
      <w:r>
        <w:t xml:space="preserve">이에 본 연구는 공정 단계 간 기술 경계의 융합을 개별 특허 수준에서 확인할 수 있는지, 그리고 그 융합이 시간에 따라 어떠한 양태로 전개되는지를 분석한다. 이를 위해 유럽특허청(EPO) PATSTAT에서 추출한 하이브리드 본딩 관련 특허출원 928건과 각 출원에 부여된 협력적 특허분류(CPC) 기호를 활용한다. 하나의 출원에</w:t>
      </w:r>
      <w:r>
        <w:t xml:space="preserve"> </w:t>
      </w:r>
      <w:r>
        <w:rPr>
          <w:b/>
          <w:bCs/>
        </w:rPr>
        <w:t xml:space="preserve">접합·인터커넥트 분류(H01L24)</w:t>
      </w:r>
      <w:r>
        <w:t xml:space="preserve">의 기호와</w:t>
      </w:r>
      <w:r>
        <w:t xml:space="preserve"> </w:t>
      </w:r>
      <w:r>
        <w:rPr>
          <w:b/>
          <w:bCs/>
        </w:rPr>
        <w:t xml:space="preserve">제조공정 기술 분류(H01L21)</w:t>
      </w:r>
      <w:r>
        <w:t xml:space="preserve">의 기호가 함께 부여되어 있으면 해당 출원을 통합형, 즉 공정 단계의 경계를 넘는 특허로 정의하고, 접합·인터커넥트 기호만 부여된 출원은 접합 단독형, 제조공정 기호만 부여된 출원은 공정 단독형으로 분류한다. 공동분류를 통해 융합을 포착하는 방법 자체는 Curran과 Leker(2011), Kwon et al.(2020) 등이 활용해 온 표준적인 방법이다. 본 연구의 차별점은 이 방법을 두 산업 사이가 아닌 한 산업 내부의 공정 단계 경계에 적용하고, 분야 수준의 지수로 집계하는 대신 개별 특허의 유형으로 재구성한다는 데 있다.</w:t>
      </w:r>
    </w:p>
    <w:p>
      <w:pPr>
        <w:pStyle w:val="BodyText"/>
      </w:pPr>
      <w:r>
        <w:t xml:space="preserve">구체적으로 본 논문은 이하의 세 가지 연구 질문(RQ1–RQ3)을 제시한다. 첫째(RQ1), 하이브리드 본딩 기술에서 제조공정과 접합 기술 간의 융합이 어느 정도로, 어떠한 형태로</w:t>
      </w:r>
      <w:r>
        <w:t xml:space="preserve"> </w:t>
      </w:r>
      <w:r>
        <w:rPr>
          <w:highlight w:val="yellow"/>
        </w:rPr>
        <w:t xml:space="preserve">나타나는가?</w:t>
      </w:r>
      <w:r>
        <w:t xml:space="preserve"> </w:t>
      </w:r>
      <w:r>
        <w:t xml:space="preserve">둘째(RQ2),</w:t>
      </w:r>
      <w:r>
        <w:t xml:space="preserve"> </w:t>
      </w:r>
      <w:r>
        <w:rPr>
          <w:highlight w:val="yellow"/>
        </w:rPr>
        <w:t xml:space="preserve">공정 단계 간</w:t>
      </w:r>
      <w:r>
        <w:t xml:space="preserve"> </w:t>
      </w:r>
      <w:r>
        <w:t xml:space="preserve">기술융합은 시간에 따라 어떻게 변화해 왔는가? 셋째(RQ3),</w:t>
      </w:r>
      <w:r>
        <w:t xml:space="preserve"> </w:t>
      </w:r>
      <w:r>
        <w:rPr>
          <w:highlight w:val="yellow"/>
        </w:rPr>
        <w:t xml:space="preserve">공정 단계 간</w:t>
      </w:r>
      <w:r>
        <w:t xml:space="preserve"> </w:t>
      </w:r>
      <w:r>
        <w:t xml:space="preserve">기술융합의 중심이 핵심 기술과 주변 기술 사이에서 시기에 따라 어떻게 재편되는가?</w:t>
      </w:r>
    </w:p>
    <w:p>
      <w:pPr>
        <w:pStyle w:val="BodyText"/>
      </w:pPr>
      <w:r>
        <w:t xml:space="preserve">이상의</w:t>
      </w:r>
      <w:r>
        <w:t xml:space="preserve"> </w:t>
      </w:r>
      <w:r>
        <w:rPr>
          <w:highlight w:val="yellow"/>
        </w:rPr>
        <w:t xml:space="preserve">세 가지 연구 질문에 답함으로써,</w:t>
      </w:r>
      <w:r>
        <w:t xml:space="preserve"> </w:t>
      </w:r>
      <w:r>
        <w:t xml:space="preserve">본 논문은 첫째로, 기존 기술융합 연구의 분석 범위를 산업 간 또는 기술 분야 간 융합에서 동일 산업 내 서로 다른 제조공정 단계 간 기술융합으로 확장한다. 이를 통해 기술융합이 산업 경계뿐 아니라 생산공정의 기술적 경계에서도 나타나는 현상임을 실증적으로 보여 준다.</w:t>
      </w:r>
      <w:r>
        <w:t xml:space="preserve"> </w:t>
      </w:r>
      <w:r>
        <w:rPr>
          <w:highlight w:val="yellow"/>
        </w:rPr>
        <w:t xml:space="preserve">둘째로,</w:t>
      </w:r>
      <w:r>
        <w:t xml:space="preserve"> </w:t>
      </w:r>
      <w:r>
        <w:t xml:space="preserve">기술융합을 정태적인 결합 현상이 아닌 시간에 따라 변화하는 동태적 과정으로 분석한다. 하이브리드 본딩 특허에서 관찰되는 형성, 확산, 재편의 양상을 통해 기술융합이 반드시 지속적으로 확대되는 것은 아니며, 기술발전 과정에서 융합의 유형별 구성이 변화할 수 있음을 보여 준다.</w:t>
      </w:r>
      <w:r>
        <w:t xml:space="preserve"> </w:t>
      </w:r>
      <w:r>
        <w:rPr>
          <w:highlight w:val="yellow"/>
        </w:rPr>
        <w:t xml:space="preserve">셋째로,</w:t>
      </w:r>
      <w:r>
        <w:t xml:space="preserve"> </w:t>
      </w:r>
      <w:r>
        <w:t xml:space="preserve">기술융합의 양적 변화뿐 아니라 융합의 구조적 중심 변화에 주목한다. 핵심 접합 기술과 제조공정 기술 간의 결합 관계가 시기에 따라 달라지는 양상을 분석함으로써, 기술융합의 동태적 전개를 기술 아키텍처의 핵심–주변 관계 및 기술 순환 관점에서 이해할 수 있는 실증적 근거를 제공한다.</w:t>
      </w:r>
    </w:p>
    <w:p>
      <w:pPr>
        <w:pStyle w:val="BodyText"/>
      </w:pPr>
      <w:r>
        <w:t xml:space="preserve">본 논문의 구성은 다음과 같다. 제2절에서는 이론적 배경을 검토하고, 제3절에서는 하이브리드 본딩 기술과 산업을 개관한다. 제4절에서는 자료와 측정 및 분석 방법을 설명하고, 제5절에서는 세 연구 질문에 따른 분석 결과를 제시한다. 제6절에서는 이론적·실무적 함의와 연구의 한계를 논의하며, 제7절에서 결론을 맺는다.</w:t>
      </w:r>
    </w:p>
    <w:bookmarkEnd w:id="10"/>
    <w:bookmarkStart w:id="15" w:name="이론적-배경"/>
    <w:p>
      <w:pPr>
        <w:pStyle w:val="Heading2"/>
      </w:pPr>
      <w:r>
        <w:t xml:space="preserve">2. 이론적 배경</w:t>
      </w:r>
    </w:p>
    <w:bookmarkStart w:id="11" w:name="기술융합"/>
    <w:p>
      <w:pPr>
        <w:pStyle w:val="Heading3"/>
      </w:pPr>
      <w:r>
        <w:t xml:space="preserve">2.1 기술융합</w:t>
      </w:r>
    </w:p>
    <w:p>
      <w:pPr>
        <w:pStyle w:val="FirstParagraph"/>
      </w:pPr>
      <w:r>
        <w:t xml:space="preserve">특정 영역에서 개발된 기술이 그 경계를 넘어 다른 영역으로 확산된다는 논의는 오랜 연원을 가진다. Rosenberg(1963)는 19세기 공작기계 산업의 출현을 분석하면서, 총기나 재봉틀을 위해 개발된 가공 기술이 다른 제품에도 활용될 수 있음을 기업들이 인식해 가는 과정을 기술적 수렴이라 명명하였다. 이후 Kodama(1992)는 분리되어 있던 기술 분야들을 결합하여 어느 한 분야도 단독으로는 갖지 못한 역량을 창출하는 과정을 기술융합으로 개념화하였다. Hacklin et al.(2010)은 융합이 지식의 융합에서 기술과 응용의 융합을 거쳐 산업의 융합으로 단계적으로 진행된다는 단계 모형을 제시하였으며, 이 단계들이 상호 피드백을 통해 공진화적 순환을 이룬다고 보았다(Hacklin et al., 2009). 또한 Curran과 Leker(2011)는 이러한 단계를 특허 지표로 관찰하는 방법을 제안하였다. 이러한 논의를 거쳐 기술융합 연구는 기술혁신경영 분야의 독립된 연구 흐름으로 자리 잡았으며(Geum et al., 2016; Sick and Bröring, 2022), 융합의 동인에 관한 실증 연구도 축적되기 시작하였다</w:t>
      </w:r>
      <w:r>
        <w:rPr>
          <w:highlight w:val="yellow"/>
        </w:rPr>
        <w:t xml:space="preserve">(Whang, 2018)</w:t>
      </w:r>
      <w:r>
        <w:t xml:space="preserve">. 이 가운데 Caviggioli(2016)는 융합이 발생하기 쉬운 기술 분야의 특성을, Hwang(2020)은 한국 정보통신기업의 자료를 활용하여 협력 유형과 융합의 관계를 분석하였다.</w:t>
      </w:r>
    </w:p>
    <w:p>
      <w:pPr>
        <w:pStyle w:val="BodyText"/>
      </w:pPr>
      <w:r>
        <w:t xml:space="preserve">이러한 선행연구는 세 가지 특징을 공유하며, 이는 본 연구의 출발점이 된다. 첫째, 연구의 초점이 서로 다른 산업이나 기술 분야 간의 중첩에 있다. 통신과 컴퓨팅, 식품과 제약, 나노기술과 바이오기술 등 대표적인 사례는 모두 서로 다른 산업의 기업들이 지식 기반의 중첩을 발견하는 경우에 해당한다(Gambardella and Torrisi, 1998; Bröring et al., 2006; No and Park, 2010). 둘째, 융합은 일반적으로 두 분야 사이의 공동분류나 인용을 집계한 분야 수준의 지표로 측정된다(Curran et al., 2010; Cho and Kim, 2014; Song et al., 2017</w:t>
      </w:r>
      <w:r>
        <w:rPr>
          <w:highlight w:val="yellow"/>
        </w:rPr>
        <w:t xml:space="preserve">; Choi et al., 2022</w:t>
      </w:r>
      <w:r>
        <w:t xml:space="preserve">). 이러한 지표는 두 분야가 융합하는지, 그리고 언제 융합하는지를 보여 주지만, 어떠한 발명이 융합을 포함하며 어떠한 특성을 지닌 발명이 그러한지는 설명하지 못한다. 개별 특허 간의 차이가 평균 속에 가려지기 때문이다. 셋째, 융합을 지식에서 기술과 응용을 거쳐 산업으로 나아가는 단계적 과정으로 보는 이론에 비해(Hacklin et al., 2010), 실증 연구는 대체로 융합의 정도가 증가하였는지를 추세로 확인하는 데 그쳤다. 즉, 융합이 진행되면서 어떠한 기술이 결합하며 융합의 내용과 중심이 어떻게 변화하는지는 상대적으로 충분히 다루어지지 않았다. 이하에서는 이 세 가지 특징을 중심으로 가치사슬 내 공정 단계 간 기술융합(제2.2절), 기술융합의 동태적 전개(제2.3절), 특허 기반 기술융합 측정(제2.4절)을 차례로 검토한다.</w:t>
      </w:r>
    </w:p>
    <w:bookmarkEnd w:id="11"/>
    <w:bookmarkStart w:id="12" w:name="가치사슬-내-공정-단계-간-기술융합"/>
    <w:p>
      <w:pPr>
        <w:pStyle w:val="Heading3"/>
      </w:pPr>
      <w:r>
        <w:t xml:space="preserve">2.2 가치사슬 내 공정 단계 간 기술융합</w:t>
      </w:r>
    </w:p>
    <w:p>
      <w:pPr>
        <w:pStyle w:val="FirstParagraph"/>
      </w:pPr>
      <w:r>
        <w:t xml:space="preserve">선행연구의 첫째 특징과 관련하여, 융합이 발생하는 경계는 산업과 산업 사이에만 존재하는 것이 아니다. 한 산업 내에도 가치사슬의 단계를 구분하는 또 다른 경계가 존재하며, 반도체 산업은 이 경계가 수직 전문화 연구의 오랜 분석 대상이었다는 점에서 이를 살펴보기에 적절한 사례이다. Langlois와 Steinmueller(1999)는 산업 구조가 변화하는 동안 경쟁우위가 기업과 국가 사이에서 어떻게 이동하였는지를 추적하였고, Macher와 Mowery(2004)는 설계와 제조, 제조와 조립이 분리되면서 팹리스, 파운드리, 조립·테스트 전문업체가 등장한 과정을 분석하였다. Brown과 Linden(2009)은 이러한 구조가 여러 차례의 위기를 거치며 재편되어 온 과정을 기술하였다. 한편 Kapoor(2013)에 따르면 전문화가 진행되는 가운데서도 여러 단계에 걸친 역량을 유지한 기업들이 존재하였으며, 이들은 기술 전환에 차별적으로 대응하였고 그 선택이 산업 아키텍처를 형성해 왔다. 또한 Kapoor와 Adner(2012)는 DRAM 산업을 대상으로, 부품과 시스템이 상호의존적일 때 기업이 직접 생산하는 범위보다 넓은 지식을 보유할수록 유리하다는 점을 실증하였다.</w:t>
      </w:r>
    </w:p>
    <w:p>
      <w:pPr>
        <w:pStyle w:val="BodyText"/>
      </w:pPr>
      <w:r>
        <w:t xml:space="preserve">이와 같이 수직 전문화 연구는 공정 단계 간 분업의 형성과 재편을 설명해 왔으며, 기술융합 연구와는 다음과 같은 논리로 연결된다. 산업 아키텍처는 누가 무엇을 수행하고 가치가 어떻게 배분되는지를 규정하는 틀이며(Jacobides et al., 2006), 공정 단계 사이의 인터페이스가 안정적일 때 전문화를 가능하게 한다. 그러나 새로운 기술이 한 단계의 성능을 다른 단계의 지식에 의존하게 만들면 인터페이스는 불안정해지고, 기업은 경계 반대편의 지식을 획득하거나 통합해야 한다. 이때 지식의 결합은 우선 발명 수준에서 나타난다. 즉, 하나의 발명이 두 단계의 기술을 함께 포함하기 시작하는 것이며, 특허의 공동분류는 이러한 지식 경계 확장의 흔적으로 볼 수 있다. 하이브리드 본딩은 바로 한 단계의 성능을 다른 단계의 지식에 의존하게 만드는 기술에 해당한다. 수율이 평탄화, 표면 화학, 정렬과 같이 전공정에 속한 제조공정 역량에 좌우되므로, 제조와 패키징 사이의 인터페이스는 더 이상 안정적이지 않다. 그 결과 두 산업 사이가 아닌 한 산업의 두 단계 사이에서 융합이 발생한다. 이러한 현상은 미세화의 한계에 관한 연구에서 예견되었고(Arden et al., 2010; Iyer, 2016; Khan et al., 2018) 패키징 공학 연구에서 기술적으로 기록되어 왔으나(Lau, 2021, 2022), 이를 발명의 기록에서 관찰하는 방법은 거의 제시되지 않았다.</w:t>
      </w:r>
    </w:p>
    <w:bookmarkEnd w:id="12"/>
    <w:bookmarkStart w:id="13" w:name="기술융합의-동태적-전개"/>
    <w:p>
      <w:pPr>
        <w:pStyle w:val="Heading3"/>
      </w:pPr>
      <w:r>
        <w:t xml:space="preserve">2.3 기술융합의 동태적 전개</w:t>
      </w:r>
    </w:p>
    <w:p>
      <w:pPr>
        <w:pStyle w:val="FirstParagraph"/>
      </w:pPr>
      <w:r>
        <w:t xml:space="preserve">제2.1절에서 살펴본 선행연구의 셋째 특징이 시사하듯, 앞서 논의한 공정 단계 간 융합은 고정된 상태가 아니라 시간에 따라 전개되는 과정으로 이해할 필요가 있다. 융합은 한 번에 일어나는 사건이 아니라 여러 단계를 거쳐 진행되는 과정이기 때문이다(Hacklin et al., 2010). 또한 기술 순환 모형(Anderson and Tushman, 1990)에 따르면 새로운 기술은 여러 설계가 경쟁하는 격동기를 거쳐 하나의 지배적 설계로 수렴한다. 두 관점을 결합하면, 공정 단계 간 융합 역시 기술의 발전 단계에 따라 서로 다른 양상을 보일 것으로 예상할 수 있다. 기술이 형성되는 시기에는 직접 접합을 가능하게 하는 공정 발명이 주를 이루고, 기술이 확산되는 시기에는 공정 지식이 접합 발명과 결합하는 사례가 증가할 것이다. 이후 하나의 설계 방식이 지배적 설계로 자리 잡으면 두 기술의 결합은 응용에 필요한 주변 공정으로 이동할 것이다.</w:t>
      </w:r>
    </w:p>
    <w:p>
      <w:pPr>
        <w:pStyle w:val="BodyText"/>
      </w:pPr>
      <w:r>
        <w:t xml:space="preserve">이러한 관점은 하이브리드 본딩의 기술 발전 과정에도 적용할 수 있다. 융합의 단계 모형(Hacklin et al., 2010; Jeong et al., 2015)에 따르면 기술이 발전함에 따라 융합의 형태도 변화한다. 하이브리드 본딩의 초기 발명은 표면 준비, 저온 어닐링, 평탄화와 같이 직접 접합을 가능하게 하는 공정 단계에 관한 것이었으므로 공정 발명으로 분류되는 경우가 많았다. 이후 적용 범위가 이미지센서와 3D NAND의 웨이퍼 단위 접합에서 고대역폭 메모리(HBM)와 로직을 위한 다이 단위 접합으로 확대되면서 발명의 중심은 접합 구조와 적층으로 이동하였다(Lau, 2021). 따라서 최근 출원일수록 제조공정 발명보다 접합 발명의 비중이 커질 것으로 예상할 수 있다.</w:t>
      </w:r>
    </w:p>
    <w:p>
      <w:pPr>
        <w:pStyle w:val="BodyText"/>
      </w:pPr>
      <w:r>
        <w:t xml:space="preserve">나아가 융합의 변화는 출원 유형의 구성뿐 아니라 기술을 구성하는 요소 간의 관계에서도 나타날 수 있다. 복합적인 기술은 다른 요소와 밀접하게 연관된 핵심 요소와 그렇지 않은 주변 요소로 구성되며, 핵심 요소의 설계가 변경되면 그와 연관된 다른 요소도 함께 변경되어야 한다(Murmann and Frenken, 2006). 하이브리드 본딩의 핵심은 범프나 솔더 없이 접합 패드끼리 직접 접합하는 연결 방식이다(Lau, 2021). 이 핵심 요소를 다루는 발명이 경계 반대편의 지식을 어느 정도 함께 포함하는지는 기술의 발전 단계에 따라 달라질 것이다.</w:t>
      </w:r>
    </w:p>
    <w:p>
      <w:pPr>
        <w:pStyle w:val="BodyText"/>
      </w:pPr>
      <w:r>
        <w:t xml:space="preserve">이러한 차이는 기술 순환 모형의 관점에서 설명할 수 있다. 새로운 기술이 등장한 직후의 격동기에는 여러 설계가 경쟁하며, 핵심 요소와 다른 요소 사이의 인터페이스가 확정되지 않는다. 그러나 지배적 설계가 자리 잡으면 인터페이스가 고착화되고, 이후의 발명은 정해진 설계를 개선하는 점진적 혁신으로 전환된다(Anderson and Tushman, 1990). 인터페이스가 확정되지 않은 단계에서는 접합 패드의 직접 연결을 발명하기 위해 표면 평탄화와 웨이퍼 접합 같은 제조공정 지식을 함께 다루어야 한다. 반면 인터페이스가 고착화되면 이러한 지식은 주어진 조건으로 전제되며, 핵심 기술의 발명은 접합 영역 안에서 이루어질 수 있다. Brusoni et al.(2001)은 기업이 직접 생산하는 범위보다 넓은 지식을 보유해야 하는 이유를 구성요소 사이의 예측하기 어려운 상호의존에서 찾았다. 같은 논리에서, 상호의존이 예측 가능해질수록 하나의 발명이 경계 반대편의 지식을 함께 포함할 필요성은 감소한다. 하이브리드 본딩은 이미지센서와 3D NAND의 웨이퍼 단위 접합에서 먼저 상용화된 이후 다이 단위 접합으로 적용 범위가 확대되었으므로(Lau, 2021, 2022), 출원 시기가 늦을수록 핵심 기술의 설계가 고착화된 단계에 해당할 가능성이 높다. 따라서 핵심 기술을 포함한 출원은 기술 형성기에는 제조공정 지식을 함께 포함하는 경우가 많지만, 시간이 지날수록 그 차이는 줄어들 것으로 예상할 수 있다. 핵심 기술은 제4.4절의 기술 클러스터와 기술 네트워크 분석을 통해 식별한다.</w:t>
      </w:r>
    </w:p>
    <w:p>
      <w:pPr>
        <w:pStyle w:val="BodyText"/>
      </w:pPr>
      <w:r>
        <w:rPr>
          <w:b/>
          <w:bCs/>
        </w:rPr>
        <w:t xml:space="preserve">이상의 논의를 바탕으로 본 연구는 공정 단계 간 융합의 수준과 형태가 시간에 따라 어떻게</w:t>
      </w:r>
      <w:r>
        <w:rPr>
          <w:b/>
          <w:bCs/>
        </w:rPr>
        <w:t xml:space="preserve"> </w:t>
      </w:r>
      <w:r>
        <w:rPr>
          <w:b/>
          <w:bCs/>
          <w:highlight w:val="yellow"/>
        </w:rPr>
        <w:t xml:space="preserve">변화하는지,</w:t>
      </w:r>
      <w:r>
        <w:rPr>
          <w:b/>
          <w:bCs/>
        </w:rPr>
        <w:t xml:space="preserve"> </w:t>
      </w:r>
      <w:r>
        <w:rPr>
          <w:b/>
          <w:bCs/>
        </w:rPr>
        <w:t xml:space="preserve">그리고 융합의 중심이 핵심 기술과 주변 기술 사이에서 어떻게</w:t>
      </w:r>
      <w:r>
        <w:rPr>
          <w:b/>
          <w:bCs/>
        </w:rPr>
        <w:t xml:space="preserve"> </w:t>
      </w:r>
      <w:r>
        <w:rPr>
          <w:b/>
          <w:bCs/>
          <w:highlight w:val="yellow"/>
        </w:rPr>
        <w:t xml:space="preserve">이동하는지를</w:t>
      </w:r>
      <w:r>
        <w:rPr>
          <w:b/>
          <w:bCs/>
        </w:rPr>
        <w:t xml:space="preserve"> </w:t>
      </w:r>
      <w:r>
        <w:rPr>
          <w:b/>
          <w:bCs/>
        </w:rPr>
        <w:t xml:space="preserve">분석한다.</w:t>
      </w:r>
    </w:p>
    <w:bookmarkEnd w:id="13"/>
    <w:bookmarkStart w:id="14" w:name="특허-기반-기술융합-측정"/>
    <w:p>
      <w:pPr>
        <w:pStyle w:val="Heading3"/>
      </w:pPr>
      <w:r>
        <w:t xml:space="preserve">2.4 특허 기반 기술융합 측정</w:t>
      </w:r>
    </w:p>
    <w:p>
      <w:pPr>
        <w:pStyle w:val="FirstParagraph"/>
      </w:pPr>
      <w:r>
        <w:t xml:space="preserve">앞서 논의한 공정 단계 간 융합의 수준과 형태, 그리고 그 변화를 실증적으로 분석하기 위해서는 적절한 측정 방법이 필요하다. 융합 측정에 특허가 가장 널리 활용되는 이유는 분류 기호가 각 발명을 하나 이상의 기술 분야에 배치하기 때문이다(Curran and Leker, 2011). 기존 연구는 대체로 두 분야의 기호가 함께 부여된 특허의 수를 집계하여 분야 수준의 지수로 융합을 측정해 왔다(Cho and Kim, 2014; Jeong et al., 2015; Lee et al., 2015;</w:t>
      </w:r>
      <w:r>
        <w:t xml:space="preserve"> </w:t>
      </w:r>
      <w:r>
        <w:rPr>
          <w:highlight w:val="yellow"/>
        </w:rPr>
        <w:t xml:space="preserve">Yun and Geum, 2019;</w:t>
      </w:r>
      <w:r>
        <w:t xml:space="preserve"> </w:t>
      </w:r>
      <w:r>
        <w:t xml:space="preserve">Kwon et al., 2020). 한편 분류 체계가 발명을 사후적으로 반영한다는 한계를 보완하기 위해 특허 텍스트를 활용하는 연구도 이루어졌다(Preschitschek et al., 2013; Zhu and Motohashi, 2022).</w:t>
      </w:r>
    </w:p>
    <w:p>
      <w:pPr>
        <w:pStyle w:val="BodyText"/>
      </w:pPr>
      <w:r>
        <w:t xml:space="preserve">이 두 흐름 가운데 본 연구는 공동분류를 융합의 신호로 활용한다는 점에서 전자에 속하지만, 분석 단위에서 차이가 있다. 본 연구는 공동분류를 분야 수준으로 집계하는 대신, 개별 특허를 접합·인터커넥트 기호(H01L24)만 부여된 접합 단독형, 제조공정 기호(H01L21)만 부여된 공정 단독형, 두 기호가 함께 부여된 통합형의 세 가지 공동분류 유형으로 구분한다. 이 가운데 통합형이 공정 단계의 경계를 넘는 특허에 해당한다. 이러한 구분은 개별 특허 단위로 정의되므로 표준적인 이산선택 모형으로 분석할 수 있으며, 집계 지수에서는 평균화되어 사라지는 특허 간 차이도 보존된다. 이는 제2.1절에서 지적한 선행연구의 둘째 특징, 즉 분야 수준의 지표로는 개별 발명 간의 차이를 설명하기 어렵다는 한계를 보완하기 위한 것이다. 다만 CPC 기호는 심사관이 발명의 기술 내용에 따라 부여하는 것이므로, 공동분류는 두 영역의 기술이 한 발명에 함께 포함되었다는 사실의 대리측정치이며 법적 청구범위의 측정치는 아니라는 점에 유의할 필요가 있다. 이 점은 제4.2절에서 다시 정리한다.</w:t>
      </w:r>
    </w:p>
    <w:p>
      <w:pPr>
        <w:pStyle w:val="BodyText"/>
      </w:pPr>
      <w:r>
        <w:t xml:space="preserve">한편 하이브리드 본딩의 핵심 기술 식별과 공동분류 유형을 설명하는 변수의 구성은 다음 두 가지 특허 연구에 근거한다. 첫째는 기술 네트워크에 관한 연구이다. 분류 기호를 노드로, 한 특허에 함께 부여된 기호의 쌍을 연결로 보면 기술 요소 간의 결합 구조를 네트워크로 나타낼 수 있다(Sternitzke et al., 2008). 두 기호가 함께 부여되는 빈도는 두 기술 사이의 지식 관련성을 반영하며(Breschi et al., 2003), 다수의 특허가 공통으로 포함하면서 서로 강하게 연결된 기호의 집합, 즉 기술 클러스터는 해당 기술의 핵심 요소를 보여 준다. 본 연구는 이 방법으로 하이브리드 본딩의 핵심 기술을 식별하고(제4.4절), 핵심 기술을 포함한 특허가 공정 단계의 경계를 넘는지를 분석한다. 둘째는 특허 범위에 관한 연구이다. Lerner(1994)는 특허가 포괄하는 분류의 수로 특허 범위를 측정하고 범위가 경제적 가치를 가진다는 점을 보였으며, 반도체 산업에서는 기술 시장이 세분화되어 있을수록 기업이 넓은 특허 포트폴리오를 구축한다는 점이 알려져 있다(Hall and Ziedonis, 2001; Ziedonis, 2004). 본 연구의 기술범위는 이러한 전통을 따르되, 두 클래스 내의 세부 분류 수로 한정한 측정치이다.</w:t>
      </w:r>
    </w:p>
    <w:p>
      <w:pPr>
        <w:pStyle w:val="BodyText"/>
      </w:pPr>
      <w:r>
        <w:t xml:space="preserve">이러한 기술범위는 기술융합의 개념과도 밀접하게 관련된다. Kodama(1992)의 기술융합과 Rosenberg(1963)의 기술적 수렴은 모두 둘 이상의 기술 영역에 걸친 발명을 전제하기 때문이다. 이 관점에 따르면 두 클래스 안에서 더 다양한 세부 기술 요소를 포함하는 출원일수록 두 영역의 기호를 함께 부여받을 가능성이 높을 것이다. 다만 이 관계에는 기계적인 측면도 존재한다. 기술범위와 공동분류 유형이 동일한 CPC 집합에서 도출되고, 통합형은 정의상 두 클래스의 기호를 각각 하나 이상 가지므로 범위가 2 이상이기 때문이다. 이러한 정의상의 최소 기호 수 차이는 제5.4절에서 유형 최소치 조정 CPC 범위를 이용하여 탐색적으로 검토한다.</w:t>
      </w:r>
      <w:r>
        <w:t xml:space="preserve"> </w:t>
      </w:r>
      <w:r>
        <w:rPr>
          <w:b/>
          <w:bCs/>
        </w:rPr>
        <w:t xml:space="preserve">이에 따라</w:t>
      </w:r>
      <w:r>
        <w:rPr>
          <w:b/>
          <w:bCs/>
        </w:rPr>
        <w:t xml:space="preserve"> </w:t>
      </w:r>
      <w:r>
        <w:rPr>
          <w:b/>
          <w:bCs/>
          <w:highlight w:val="yellow"/>
        </w:rPr>
        <w:t xml:space="preserve">본 연구는</w:t>
      </w:r>
      <w:r>
        <w:rPr>
          <w:b/>
          <w:bCs/>
        </w:rPr>
        <w:t xml:space="preserve"> </w:t>
      </w:r>
      <w:r>
        <w:rPr>
          <w:b/>
          <w:bCs/>
        </w:rPr>
        <w:t xml:space="preserve">공정 단계 간 융합의 수준과 함께 기술적 다양성과 통합형의 관계를 분석한다.</w:t>
      </w:r>
    </w:p>
    <w:bookmarkEnd w:id="14"/>
    <w:bookmarkEnd w:id="15"/>
    <w:bookmarkStart w:id="24" w:name="연구-맥락-하이브리드-본딩-기술과-산업"/>
    <w:p>
      <w:pPr>
        <w:pStyle w:val="Heading2"/>
      </w:pPr>
      <w:r>
        <w:t xml:space="preserve">3. 연구 맥락: 하이브리드 본딩 기술과 산업</w:t>
      </w:r>
    </w:p>
    <w:p>
      <w:pPr>
        <w:pStyle w:val="FirstParagraph"/>
      </w:pPr>
      <w:r>
        <w:t xml:space="preserve">제2절에서 논의한 공정 단계 간 기술융합을 실증적으로 분석하기에 앞서, 본 절에서는 분석 대상인 하이브리드 본딩의 기술적 특성(제3.1절)과 제조공정과 접합 기술의 상호의존성 및 관련 산업의 동향(제3.2절)을 살펴본다.</w:t>
      </w:r>
    </w:p>
    <w:bookmarkStart w:id="19" w:name="하이브리드-본딩의-기술적-특성"/>
    <w:p>
      <w:pPr>
        <w:pStyle w:val="Heading3"/>
      </w:pPr>
      <w:r>
        <w:t xml:space="preserve">3.1 하이브리드 본딩의 기술적 특성</w:t>
      </w:r>
    </w:p>
    <w:p>
      <w:pPr>
        <w:pStyle w:val="FirstParagraph"/>
      </w:pPr>
      <w:r>
        <w:t xml:space="preserve">하이브리드 본딩은 유전체 내부에 구리 패드가 형성된 두 평탄한 표면을 맞대어, 상온에서 유전체를 먼저 접합하고 저온 어닐링을 통해 구리 패드를 접합함으로써 영구적인 전기적 연결을 형성하는 기술이다. 솔더 범프를 사용하지 않으므로 연결 간격은 마이크로범프 플립칩으로는 구현하기 어려운 10 µm 이하로 줄어들며, 연구 단계에서는 1 µm 이하에 이른다(Lau, 2021, 2022). 이 기술은 접합 대상에 따라 주로 두 가지 형태로 구분된다. 웨이퍼-투-웨이퍼(W2W) 접합은 웨이퍼 전체를 접합하는 방식으로, CMOS 이미지센서와 3D NAND에서 먼저 상용화되었다. 다이-투-웨이퍼(D2W) 접합은 개별 다이를 웨이퍼에 접합하는 방식으로, 칩렛, HBM, 3D 로직의 구현에 필요하다.</w:t>
      </w:r>
      <w:r>
        <w:t xml:space="preserve"> </w:t>
      </w:r>
      <w:r>
        <w:rPr>
          <w:highlight w:val="yellow"/>
        </w:rPr>
        <w:t xml:space="preserve">그림 1은</w:t>
      </w:r>
      <w:r>
        <w:t xml:space="preserve"> </w:t>
      </w:r>
      <w:r>
        <w:t xml:space="preserve">이러한 하이브리드 본딩의 구성을 기반 공정, 접합 형태, 소자 구조, 적용 제품의 네 층위로 정리한 것이다.</w:t>
      </w:r>
    </w:p>
    <w:p>
      <w:pPr>
        <w:pStyle w:val="BodyText"/>
        <w:keepNext/>
      </w:pPr>
      <w:r>
        <w:drawing>
          <wp:inline>
            <wp:extent cx="5334000" cy="4233333"/>
            <wp:effectExtent b="0" l="0" r="0" t="0"/>
            <wp:docPr descr="" title="" id="17" name="Picture"/>
            <a:graphic>
              <a:graphicData uri="http://schemas.openxmlformats.org/drawingml/2006/picture">
                <pic:pic>
                  <pic:nvPicPr>
                    <pic:cNvPr descr="figures/fig_framework_psp.png" id="18" name="Picture"/>
                    <pic:cNvPicPr>
                      <a:picLocks noChangeArrowheads="1" noChangeAspect="1"/>
                    </pic:cNvPicPr>
                  </pic:nvPicPr>
                  <pic:blipFill>
                    <a:blip r:embed="rId16"/>
                    <a:stretch>
                      <a:fillRect/>
                    </a:stretch>
                  </pic:blipFill>
                  <pic:spPr bwMode="auto">
                    <a:xfrm>
                      <a:off x="0" y="0"/>
                      <a:ext cx="5334000" cy="4233333"/>
                    </a:xfrm>
                    <a:prstGeom prst="rect">
                      <a:avLst/>
                    </a:prstGeom>
                    <a:noFill/>
                    <a:ln w="9525">
                      <a:noFill/>
                      <a:headEnd/>
                      <a:tailEnd/>
                    </a:ln>
                  </pic:spPr>
                </pic:pic>
              </a:graphicData>
            </a:graphic>
          </wp:inline>
        </w:drawing>
      </w:r>
    </w:p>
    <w:p>
      <w:pPr>
        <w:pStyle w:val="BodyText"/>
      </w:pPr>
      <w:r>
        <w:rPr>
          <w:b/>
          <w:bCs/>
          <w:highlight w:val="yellow"/>
          <w:sz w:val="20"/>
          <w:szCs w:val="20"/>
        </w:rPr>
        <w:t xml:space="preserve">그림 1.</w:t>
      </w:r>
      <w:r>
        <w:rPr>
          <w:sz w:val="20"/>
          <w:szCs w:val="20"/>
        </w:rPr>
        <w:t xml:space="preserve"> </w:t>
      </w:r>
      <w:r>
        <w:rPr>
          <w:sz w:val="20"/>
          <w:szCs w:val="20"/>
        </w:rPr>
        <w:t xml:space="preserve">하이브리드 본딩의 기반 공정, 접합 형태, 소자 구조, 적용 제품(저자 작성; Lau(2021, 2022)의 기술 설명을 바탕으로 재구성).</w:t>
      </w:r>
    </w:p>
    <w:bookmarkEnd w:id="19"/>
    <w:bookmarkStart w:id="23" w:name="제조공정과-접합-기술의-상호의존성"/>
    <w:p>
      <w:pPr>
        <w:pStyle w:val="Heading3"/>
      </w:pPr>
      <w:r>
        <w:t xml:space="preserve">3.2 제조공정과 접합 기술의 상호의존성</w:t>
      </w:r>
    </w:p>
    <w:p>
      <w:pPr>
        <w:pStyle w:val="FirstParagraph"/>
      </w:pPr>
      <w:r>
        <w:t xml:space="preserve">이러한 기술적 특성으로 인해 하이브리드 본딩에서는 제조공정과 접합 기술이 밀접하게 상호의존한다. W2W와 D2W 두 형태 모두에서 수율을 좌우하는 단계, 즉 나노미터 이하의 거칠기로 표면을 연마하는 화학적 기계연마(CMP), 플라즈마 표면 활성화, 파티클 제어, 정밀 정렬은 CPC 분류상 반도체 제조공정 클래스(H01L21)에 속한다(제4.1절, 표 1). 이에 따라</w:t>
      </w:r>
      <w:r>
        <w:t xml:space="preserve"> </w:t>
      </w:r>
      <w:r>
        <w:rPr>
          <w:highlight w:val="yellow"/>
        </w:rPr>
        <w:t xml:space="preserve">그림 1의</w:t>
      </w:r>
      <w:r>
        <w:t xml:space="preserve"> </w:t>
      </w:r>
      <w:r>
        <w:t xml:space="preserve">기반 공정은 주로 제조공정 클래스(H01L21)와, 접합 형태 및 인터커넥트 구성은 주로 접합·인터커넥트 클래스(H01L24)와 대응한다. 이러한 상호의존은 실제 공정 흐름에서도 확인할 수 있다.</w:t>
      </w:r>
      <w:r>
        <w:t xml:space="preserve"> </w:t>
      </w:r>
      <w:r>
        <w:rPr>
          <w:highlight w:val="yellow"/>
        </w:rPr>
        <w:t xml:space="preserve">그림 2는</w:t>
      </w:r>
      <w:r>
        <w:t xml:space="preserve"> </w:t>
      </w:r>
      <w:r>
        <w:t xml:space="preserve">D2W 하이브리드 본딩의 공정 흐름을 나타낸 것으로, 다이를 절단하여 접합하기 전까지 층간 절연막 증착, 다마신 식각, 구리 배리어·시드 증착, 구리 도금, 화학적 기계연마가 순차적으로 이루어지며, 이는 모두 전공정에서 사용되던 공정과 장비이다.</w:t>
      </w:r>
    </w:p>
    <w:p>
      <w:pPr>
        <w:pStyle w:val="BodyText"/>
        <w:keepNext/>
      </w:pPr>
      <w:r>
        <w:drawing>
          <wp:inline>
            <wp:extent cx="5334000" cy="3412748"/>
            <wp:effectExtent b="0" l="0" r="0" t="0"/>
            <wp:docPr descr="" title="" id="21" name="Picture"/>
            <a:graphic>
              <a:graphicData uri="http://schemas.openxmlformats.org/drawingml/2006/picture">
                <pic:pic>
                  <pic:nvPicPr>
                    <pic:cNvPr descr="figures/fig_d2w_flow_amat_ko.png" id="22" name="Picture"/>
                    <pic:cNvPicPr>
                      <a:picLocks noChangeArrowheads="1" noChangeAspect="1"/>
                    </pic:cNvPicPr>
                  </pic:nvPicPr>
                  <pic:blipFill>
                    <a:blip r:embed="rId20"/>
                    <a:stretch>
                      <a:fillRect/>
                    </a:stretch>
                  </pic:blipFill>
                  <pic:spPr bwMode="auto">
                    <a:xfrm>
                      <a:off x="0" y="0"/>
                      <a:ext cx="5334000" cy="3412748"/>
                    </a:xfrm>
                    <a:prstGeom prst="rect">
                      <a:avLst/>
                    </a:prstGeom>
                    <a:noFill/>
                    <a:ln w="9525">
                      <a:noFill/>
                      <a:headEnd/>
                      <a:tailEnd/>
                    </a:ln>
                  </pic:spPr>
                </pic:pic>
              </a:graphicData>
            </a:graphic>
          </wp:inline>
        </w:drawing>
      </w:r>
    </w:p>
    <w:p>
      <w:pPr>
        <w:pStyle w:val="BodyText"/>
      </w:pPr>
      <w:r>
        <w:rPr>
          <w:b/>
          <w:bCs/>
          <w:highlight w:val="yellow"/>
          <w:sz w:val="20"/>
          <w:szCs w:val="20"/>
        </w:rPr>
        <w:t xml:space="preserve">그림 2.</w:t>
      </w:r>
      <w:r>
        <w:rPr>
          <w:sz w:val="20"/>
          <w:szCs w:val="20"/>
        </w:rPr>
        <w:t xml:space="preserve"> </w:t>
      </w:r>
      <w:r>
        <w:rPr>
          <w:sz w:val="20"/>
          <w:szCs w:val="20"/>
        </w:rPr>
        <w:t xml:space="preserve">다이-투-웨이퍼(D2W) 하이브리드 본딩의 공정 흐름과 단계별 장비(출처: Applied Materials, 2025).</w:t>
      </w:r>
    </w:p>
    <w:p>
      <w:pPr>
        <w:pStyle w:val="BodyText"/>
      </w:pPr>
      <w:r>
        <w:t xml:space="preserve">산업 지형 또한 이러한 기술적 상호의존을 반영한다. 하이브리드 본딩 특허에 관한 독립적 산업 분석은 TSMC, Adeia, YMTC, Intel, Samsung을 특허 활동을 주도하는 출원인으로 제시한다(KnowMade, 2024). 원천기술을 보유한 라이선싱 기업, 첨단 패키징을 직접 운영하는 파운드리, 메모리 제조사가 함께 특허 활동을 주도하고 있다는 사실은 접합 기술이 더 이상 후공정 전문기업만의 영역이 아님을 보여 준다. 이상의 기술적·산업적 특성은 하이브리드 본딩이 공정 단계 간 기술융합을 분석하기에 적합한 사례임을 시사한다. 다음 절에서는 이를 실증적으로 분석하기 위한 자료와 방법을 제시한다.</w:t>
      </w:r>
    </w:p>
    <w:bookmarkEnd w:id="23"/>
    <w:bookmarkEnd w:id="24"/>
    <w:bookmarkStart w:id="36" w:name="자료와-방법"/>
    <w:p>
      <w:pPr>
        <w:pStyle w:val="Heading2"/>
      </w:pPr>
      <w:r>
        <w:t xml:space="preserve">4. 자료와 방법</w:t>
      </w:r>
    </w:p>
    <w:bookmarkStart w:id="25" w:name="자료-수집"/>
    <w:p>
      <w:pPr>
        <w:pStyle w:val="Heading3"/>
      </w:pPr>
      <w:r>
        <w:t xml:space="preserve">4.1 자료 수집</w:t>
      </w:r>
    </w:p>
    <w:p>
      <w:pPr>
        <w:pStyle w:val="FirstParagraph"/>
      </w:pPr>
      <w:r>
        <w:t xml:space="preserve">본 연구의 자료는 유럽특허청의 PATSTAT Global 2025년판에서 추출하였다(European Patent Office, 2025). 먼저 CPC 분류 H01L21(반도체 제조공정) 또는 H01L24(반도체 접합·인터커넥트 기술) 계열의 기호를 하나 이상 보유한 출원을 후보로 검색한 후, 제목에 하이브리드 본딩 관련 키워드(</w:t>
      </w:r>
      <w:r>
        <w:rPr>
          <w:i/>
          <w:iCs/>
        </w:rPr>
        <w:t xml:space="preserve">hybrid bonding</w:t>
      </w:r>
      <w:r>
        <w:t xml:space="preserve">,</w:t>
      </w:r>
      <w:r>
        <w:t xml:space="preserve"> </w:t>
      </w:r>
      <w:r>
        <w:rPr>
          <w:i/>
          <w:iCs/>
        </w:rPr>
        <w:t xml:space="preserve">direct bonding</w:t>
      </w:r>
      <w:r>
        <w:t xml:space="preserve">,</w:t>
      </w:r>
      <w:r>
        <w:t xml:space="preserve"> </w:t>
      </w:r>
      <w:r>
        <w:rPr>
          <w:i/>
          <w:iCs/>
        </w:rPr>
        <w:t xml:space="preserve">Cu–Cu</w:t>
      </w:r>
      <w:r>
        <w:t xml:space="preserve">,</w:t>
      </w:r>
      <w:r>
        <w:t xml:space="preserve"> </w:t>
      </w:r>
      <w:r>
        <w:rPr>
          <w:i/>
          <w:iCs/>
        </w:rPr>
        <w:t xml:space="preserve">copper to copper</w:t>
      </w:r>
      <w:r>
        <w:t xml:space="preserve">,</w:t>
      </w:r>
      <w:r>
        <w:t xml:space="preserve"> </w:t>
      </w:r>
      <w:r>
        <w:rPr>
          <w:i/>
          <w:iCs/>
        </w:rPr>
        <w:t xml:space="preserve">metal-oxide bond</w:t>
      </w:r>
      <w:r>
        <w:t xml:space="preserve">) 가운데 하나 이상이 포함된 출원만을 선별하였다(표 1). 그 결과 출원–CPC 쌍 5,277건, 출원 단위로는 1968–2024년에 출원된 928건이 표본으로 구성되었다. 따라서 본 연구의 표본은 하이브리드 본딩 특허 전체가 아니라 이 검색식으로 식별된 관련 출원이며, 제목에 관련어가 포함되지 않은 출원은 표본에 포함되지 않는다. 또한 이 광의의 표본은 현대의 하이브리드 본딩뿐 아니라 그 기술적 기반이 된 초기 직접 접합(direct bonding) 전구 기술까지 함께 포착하도록 설계되었다. 추출 단계에서 두 클래스 이외의 기호는 보존되지 않았으므로, 회귀분석 자료의 기호는 모두 H01L21 계열(202개)과 H01L24 계열(60개)의 서브그룹 기호(사선 뒤의 세부 번호까지 포함한 전체 기호, 예: H01L 21/603) 262개로 구성된다. 다만 제4.4절의 기술 클러스터와 기술 네트워크 표는 동일한 928건에 부여된 전체 CPC 기호(접합의 인덱싱 코드 H01L2224와 소자 조립체 클래스 H01L25 포함)를 저자가 별도로 집계한 결과이며, 회귀분석에는 사용하지 않는다. 본 연구의 분석 단위는 PATSTAT의 개별 특허출원이며, 동일한 발명이 여러 출원청에 제출된 경우 각 출원을 별도의 관측치로 포함한다.</w:t>
      </w:r>
    </w:p>
    <w:p>
      <w:pPr>
        <w:pStyle w:val="BodyText"/>
        <w:keepNext/>
      </w:pPr>
      <w:r>
        <w:rPr>
          <w:b/>
          <w:bCs/>
          <w:sz w:val="20"/>
          <w:szCs w:val="20"/>
        </w:rPr>
        <w:t xml:space="preserve">표 1.</w:t>
      </w:r>
      <w:r>
        <w:rPr>
          <w:sz w:val="20"/>
          <w:szCs w:val="20"/>
        </w:rPr>
        <w:t xml:space="preserve"> </w:t>
      </w:r>
      <w:r>
        <w:rPr>
          <w:sz w:val="20"/>
          <w:szCs w:val="20"/>
        </w:rPr>
        <w:t xml:space="preserve">하이브리드 본딩 관련 특허의 검색 전략.</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217"/>
        <w:gridCol w:w="1209"/>
        <w:gridCol w:w="5643"/>
      </w:tblGrid>
      <w:tr>
        <w:trPr>
          <w:tblHeader w:val="on"/>
          <w:cantSplit/>
        </w:trPr>
        <w:tc>
          <w:tcPr>
            <w:tcW w:type="dxa" w:w="2217"/>
            <w:tcBorders>
              <w:bottom w:val="single" w:sz="4" w:space="0" w:color="000000"/>
            </w:tcBorders>
          </w:tcPr>
          <w:p>
            <w:pPr>
              <w:pStyle w:val="Compact"/>
              <w:spacing w:before="20" w:after="20" w:line="240" w:lineRule="auto"/>
              <w:keepNext/>
            </w:pPr>
            <w:r>
              <w:rPr>
                <w:sz w:val="18"/>
                <w:szCs w:val="18"/>
              </w:rPr>
              <w:t xml:space="preserve">단계</w:t>
            </w:r>
          </w:p>
        </w:tc>
        <w:tc>
          <w:tcPr>
            <w:tcW w:type="dxa" w:w="1209"/>
            <w:tcBorders>
              <w:bottom w:val="single" w:sz="4" w:space="0" w:color="000000"/>
            </w:tcBorders>
          </w:tcPr>
          <w:p>
            <w:pPr>
              <w:pStyle w:val="Compact"/>
              <w:spacing w:before="20" w:after="20" w:line="240" w:lineRule="auto"/>
              <w:keepNext/>
            </w:pPr>
            <w:r>
              <w:rPr>
                <w:sz w:val="18"/>
                <w:szCs w:val="18"/>
              </w:rPr>
              <w:t xml:space="preserve">조건</w:t>
            </w:r>
          </w:p>
        </w:tc>
        <w:tc>
          <w:tcPr>
            <w:tcW w:type="dxa" w:w="5643"/>
            <w:tcBorders>
              <w:bottom w:val="single" w:sz="4" w:space="0" w:color="000000"/>
            </w:tcBorders>
          </w:tcPr>
          <w:p>
            <w:pPr>
              <w:pStyle w:val="Compact"/>
              <w:spacing w:before="20" w:after="20" w:line="240" w:lineRule="auto"/>
              <w:keepNext/>
            </w:pPr>
            <w:r>
              <w:rPr>
                <w:sz w:val="18"/>
                <w:szCs w:val="18"/>
              </w:rPr>
              <w:t xml:space="preserve">내용</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H01L21</w:t>
            </w:r>
          </w:p>
        </w:tc>
        <w:tc>
          <w:tcPr>
            <w:tcW w:type="dxa" w:w="5643"/>
          </w:tcPr>
          <w:p>
            <w:pPr>
              <w:pStyle w:val="Compact"/>
              <w:spacing w:before="20" w:after="20" w:line="240" w:lineRule="auto"/>
              <w:keepNext/>
            </w:pPr>
            <w:r>
              <w:rPr>
                <w:sz w:val="18"/>
                <w:szCs w:val="18"/>
              </w:rPr>
              <w:t xml:space="preserve">반도체 제조공정 기술. 웨이퍼 직접 접합(21/18, 21/20), 소자 분리·배선·TSV(21/76), 기판·절연층 처리(21/02), 화학적 기계연마(21/30–21/32) 등. 패키징 단계의 제조공정(21/48, 21/50–21/58, 21/60, 21/78)과 공정 장치(21/67–21/68)도 포함</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H01L24</w:t>
            </w:r>
          </w:p>
        </w:tc>
        <w:tc>
          <w:tcPr>
            <w:tcW w:type="dxa" w:w="5643"/>
          </w:tcPr>
          <w:p>
            <w:pPr>
              <w:pStyle w:val="Compact"/>
              <w:spacing w:before="20" w:after="20" w:line="240" w:lineRule="auto"/>
              <w:keepNext/>
            </w:pPr>
            <w:r>
              <w:rPr>
                <w:sz w:val="18"/>
                <w:szCs w:val="18"/>
              </w:rPr>
              <w:t xml:space="preserve">반도체 또는 고체소자의 연결·분리를 위한 커넥터 구조, 범프·층·와이어 연결, 관련 연결 방법 및 장치 등</w:t>
            </w:r>
          </w:p>
        </w:tc>
      </w:tr>
      <w:tr>
        <w:trPr>
          <w:cantSplit/>
        </w:trPr>
        <w:tc>
          <w:tcPr>
            <w:tcW w:type="dxa" w:w="2217"/>
          </w:tcPr>
          <w:p>
            <w:pPr>
              <w:pStyle w:val="Compact"/>
              <w:spacing w:before="20" w:after="20" w:line="240" w:lineRule="auto"/>
              <w:keepNext/>
            </w:pPr>
            <w:r>
              <w:rPr>
                <w:sz w:val="18"/>
                <w:szCs w:val="18"/>
              </w:rPr>
              <w:t xml:space="preserve">2차: 키워드</w:t>
            </w:r>
          </w:p>
        </w:tc>
        <w:tc>
          <w:tcPr>
            <w:tcW w:type="dxa" w:w="1209"/>
          </w:tcPr>
          <w:p>
            <w:pPr>
              <w:pStyle w:val="Compact"/>
              <w:spacing w:before="20" w:after="20" w:line="240" w:lineRule="auto"/>
              <w:keepNext/>
            </w:pPr>
            <w:r>
              <w:rPr>
                <w:sz w:val="18"/>
                <w:szCs w:val="18"/>
              </w:rPr>
              <w:t xml:space="preserve">제목</w:t>
            </w:r>
          </w:p>
        </w:tc>
        <w:tc>
          <w:tcPr>
            <w:tcW w:type="dxa" w:w="5643"/>
          </w:tcPr>
          <w:p>
            <w:pPr>
              <w:pStyle w:val="Compact"/>
              <w:spacing w:before="20" w:after="20" w:line="240" w:lineRule="auto"/>
              <w:keepNext/>
            </w:pPr>
            <w:r>
              <w:rPr>
                <w:i/>
                <w:iCs/>
                <w:sz w:val="18"/>
                <w:szCs w:val="18"/>
              </w:rPr>
              <w:t xml:space="preserve">hybrid bonding</w:t>
            </w:r>
            <w:r>
              <w:rPr>
                <w:sz w:val="18"/>
                <w:szCs w:val="18"/>
              </w:rPr>
              <w:t xml:space="preserve">,</w:t>
            </w:r>
            <w:r>
              <w:rPr>
                <w:sz w:val="18"/>
                <w:szCs w:val="18"/>
              </w:rPr>
              <w:t xml:space="preserve"> </w:t>
            </w:r>
            <w:r>
              <w:rPr>
                <w:i/>
                <w:iCs/>
                <w:sz w:val="18"/>
                <w:szCs w:val="18"/>
              </w:rPr>
              <w:t xml:space="preserve">direct bonding</w:t>
            </w:r>
            <w:r>
              <w:rPr>
                <w:sz w:val="18"/>
                <w:szCs w:val="18"/>
              </w:rPr>
              <w:t xml:space="preserve">,</w:t>
            </w:r>
            <w:r>
              <w:rPr>
                <w:sz w:val="18"/>
                <w:szCs w:val="18"/>
              </w:rPr>
              <w:t xml:space="preserve"> </w:t>
            </w:r>
            <w:r>
              <w:rPr>
                <w:i/>
                <w:iCs/>
                <w:sz w:val="18"/>
                <w:szCs w:val="18"/>
              </w:rPr>
              <w:t xml:space="preserve">Cu–Cu</w:t>
            </w:r>
            <w:r>
              <w:rPr>
                <w:sz w:val="18"/>
                <w:szCs w:val="18"/>
              </w:rPr>
              <w:t xml:space="preserve">,</w:t>
            </w:r>
            <w:r>
              <w:rPr>
                <w:sz w:val="18"/>
                <w:szCs w:val="18"/>
              </w:rPr>
              <w:t xml:space="preserve"> </w:t>
            </w:r>
            <w:r>
              <w:rPr>
                <w:i/>
                <w:iCs/>
                <w:sz w:val="18"/>
                <w:szCs w:val="18"/>
              </w:rPr>
              <w:t xml:space="preserve">copper to copper</w:t>
            </w:r>
            <w:r>
              <w:rPr>
                <w:sz w:val="18"/>
                <w:szCs w:val="18"/>
              </w:rPr>
              <w:t xml:space="preserve">,</w:t>
            </w:r>
            <w:r>
              <w:rPr>
                <w:sz w:val="18"/>
                <w:szCs w:val="18"/>
              </w:rPr>
              <w:t xml:space="preserve"> </w:t>
            </w:r>
            <w:r>
              <w:rPr>
                <w:i/>
                <w:iCs/>
                <w:sz w:val="18"/>
                <w:szCs w:val="18"/>
              </w:rPr>
              <w:t xml:space="preserve">metal-oxide bond</w:t>
            </w:r>
            <w:r>
              <w:rPr>
                <w:sz w:val="18"/>
                <w:szCs w:val="18"/>
              </w:rPr>
              <w:t xml:space="preserve"> </w:t>
            </w:r>
            <w:r>
              <w:rPr>
                <w:sz w:val="18"/>
                <w:szCs w:val="18"/>
              </w:rPr>
              <w:t xml:space="preserve">가운데 하나 이상</w:t>
            </w:r>
          </w:p>
        </w:tc>
      </w:tr>
    </w:tbl>
    <w:p>
      <w:pPr>
        <w:pStyle w:val="BodyText"/>
      </w:pPr>
      <w:r>
        <w:rPr>
          <w:i/>
          <w:iCs/>
          <w:sz w:val="20"/>
          <w:szCs w:val="20"/>
        </w:rPr>
        <w:t xml:space="preserve">주:</w:t>
      </w:r>
      <w:r>
        <w:rPr>
          <w:sz w:val="20"/>
          <w:szCs w:val="20"/>
        </w:rPr>
        <w:t xml:space="preserve"> </w:t>
      </w:r>
      <w:r>
        <w:rPr>
          <w:sz w:val="20"/>
          <w:szCs w:val="20"/>
        </w:rPr>
        <w:t xml:space="preserve">1차 조건은 두 클래스 가운데 하나 이상, 2차 조건은 키워드 가운데 하나 이상이며, 두 조건을 모두 만족해야 한다. 검색에는 두 클래스의 인덱싱 코드(예: H01L2224)도 사용하였으나, 추출된 레코드에는 본 클래스의 기호만 보존되었으므로 인덱싱 코드는 기술범위 계산에 포함되지 않는다.</w:t>
      </w:r>
    </w:p>
    <w:p>
      <w:pPr>
        <w:pStyle w:val="BodyText"/>
      </w:pPr>
      <w:r>
        <w:t xml:space="preserve">이와 같이 구축한 자료에 대해서는 분석에 앞서 세 가지 특성을 밝혀 둘 필요가 있다. 첫째,</w:t>
      </w:r>
      <w:r>
        <w:t xml:space="preserve"> </w:t>
      </w:r>
      <w:r>
        <w:rPr>
          <w:i/>
          <w:iCs/>
        </w:rPr>
        <w:t xml:space="preserve">hybrid bonding</w:t>
      </w:r>
      <w:r>
        <w:t xml:space="preserve">은 비교적 정밀한 검색어인 반면</w:t>
      </w:r>
      <w:r>
        <w:t xml:space="preserve"> </w:t>
      </w:r>
      <w:r>
        <w:rPr>
          <w:i/>
          <w:iCs/>
        </w:rPr>
        <w:t xml:space="preserve">direct bonding</w:t>
      </w:r>
      <w:r>
        <w:t xml:space="preserve">은 의미의 범위가 넓다. 제목에</w:t>
      </w:r>
      <w:r>
        <w:t xml:space="preserve"> </w:t>
      </w:r>
      <w:r>
        <w:rPr>
          <w:i/>
          <w:iCs/>
        </w:rPr>
        <w:t xml:space="preserve">hybrid bonding</w:t>
      </w:r>
      <w:r>
        <w:t xml:space="preserve">이 포함된 출원은 467건이며, 이 표본(이하</w:t>
      </w:r>
      <w:r>
        <w:t xml:space="preserve"> </w:t>
      </w:r>
      <w:r>
        <w:rPr>
          <w:i/>
          <w:iCs/>
        </w:rPr>
        <w:t xml:space="preserve">hybrid bonding</w:t>
      </w:r>
      <w:r>
        <w:t xml:space="preserve"> </w:t>
      </w:r>
      <w:r>
        <w:t xml:space="preserve">표본)으로 재추정한 결과를 제5.4절에 보고한다. 둘째, 키워드 필터만으로는 검색어의 무관한 용법을 걸러낼 수 없다. 이러한 출원의 대부분은 세라믹 기판에 구리를 접합하는 DBC 기판, 구리 합금, 전력 모듈과 같이</w:t>
      </w:r>
      <w:r>
        <w:t xml:space="preserve"> </w:t>
      </w:r>
      <w:r>
        <w:rPr>
          <w:i/>
          <w:iCs/>
        </w:rPr>
        <w:t xml:space="preserve">direct bonding</w:t>
      </w:r>
      <w:r>
        <w:t xml:space="preserve">이 다른 의미로 사용된 경우이며, 화학 결합이나 전력 모듈용 접합 시트를 의미하는</w:t>
      </w:r>
      <w:r>
        <w:t xml:space="preserve"> </w:t>
      </w:r>
      <w:r>
        <w:rPr>
          <w:i/>
          <w:iCs/>
        </w:rPr>
        <w:t xml:space="preserve">hybrid bonding</w:t>
      </w:r>
      <w:r>
        <w:t xml:space="preserve">도 일부 포함되어 있다. 제목으로 식별한 이러한 출원은 68건(</w:t>
      </w:r>
      <w:r>
        <w:rPr>
          <w:i/>
          <w:iCs/>
        </w:rPr>
        <w:t xml:space="preserve">direct bonding</w:t>
      </w:r>
      <w:r>
        <w:t xml:space="preserve"> </w:t>
      </w:r>
      <w:r>
        <w:t xml:space="preserve">63건,</w:t>
      </w:r>
      <w:r>
        <w:t xml:space="preserve"> </w:t>
      </w:r>
      <w:r>
        <w:rPr>
          <w:i/>
          <w:iCs/>
        </w:rPr>
        <w:t xml:space="preserve">hybrid bonding</w:t>
      </w:r>
      <w:r>
        <w:t xml:space="preserve"> </w:t>
      </w:r>
      <w:r>
        <w:t xml:space="preserve">5건)이며, 이를 제외한 재추정 결과 역시 제5.4절에 보고한다(판정 기준과 분포는 부록 B). 셋째, 원자료에는 공식 특허 패밀리 식별자가 없어 패밀리 단위의 중복을 직접 제거할 수 없으며, 따라서 동일한 발명이 여러 국가에 출원되면 여러 건으로 집계된다. 이에 대한 민감도 분석으로, 동일한 제목을 가진 출원을 하나의 중복군으로 간주하고 각 제목군에서 가장 이른 출원 1건만을 남긴 결과를 제5.4절에 보고한다. 928건은 473개의 고유 제목으로 구성되며, 이 중 149개 제목은 둘 이상의 출원청에 출원되었다.</w:t>
      </w:r>
    </w:p>
    <w:bookmarkEnd w:id="25"/>
    <w:bookmarkStart w:id="26" w:name="조작적-정의와-측정"/>
    <w:p>
      <w:pPr>
        <w:pStyle w:val="Heading3"/>
      </w:pPr>
      <w:r>
        <w:t xml:space="preserve">4.2 조작적 정의와 측정</w:t>
      </w:r>
    </w:p>
    <w:p>
      <w:pPr>
        <w:pStyle w:val="FirstParagraph"/>
      </w:pPr>
      <w:r>
        <w:t xml:space="preserve">앞 절에서 구축한 자료로 공정 단계 간 기술융합을 측정하기 위해서는 먼저 이론적 개념, 관찰 현상, 조작적 지표를 구분할 필요가 있다(표 2). 본 연구에서 이론적 개념은 공정 단계 간 기술융합이고, 관찰 현상은 제조공정 기술과 접합·인터커넥트 기술이 하나의 출원에 함께 포함되는 것이며, 조작적 지표는 H01L21과 H01L24의 공동분류이다. 이때 H01L21을 전공정 그 자체로, H01L24를 후공정 그 자체로 간주하지는 않는다. H01L21에는 웨이퍼 제조공정 외에도 패키지 부품 제조, 실장·봉지, 리드 부착, 다이싱과 같은 패키징 단계의 제조공정과 공정 장치가 함께 포함되어 있으며, H01L24 역시 조직적 의미의 후공정 산업 경계와 일치하지는 않기 때문이다. 그럼에도 두 클래스의 공동분류를 대리측정치로 사용할 수 있는 근거는, 하이브리드 본딩의 성능을 좌우하는 웨이퍼 준비, 표면 처리, 평탄화 및 관련 제조공정이 H01L21에 다수 포함되어 있고 접합·인터커넥트 기술은 H01L24에 집중되어 있다는 데 있다. 표본에 포함된 H01L21 계열 기호 1,636건은 웨이퍼 제조공정 905건(55.3%), 공정 장치 328건(20.0%), 패키징 단계 공정 403건(24.6%)으로 구성된다. 패키징 단계 공정을 제조공정에서 제외한 좁은 정의로 재추정한 결과는 제5.4절에 제시하였으며, 이 경우에도 회귀분석의 결론은 달라지지 않았다.</w:t>
      </w:r>
    </w:p>
    <w:p>
      <w:pPr>
        <w:pStyle w:val="BodyText"/>
        <w:keepNext/>
      </w:pPr>
      <w:r>
        <w:rPr>
          <w:b/>
          <w:bCs/>
          <w:sz w:val="20"/>
          <w:szCs w:val="20"/>
        </w:rPr>
        <w:t xml:space="preserve">표 2.</w:t>
      </w:r>
      <w:r>
        <w:rPr>
          <w:sz w:val="20"/>
          <w:szCs w:val="20"/>
        </w:rPr>
        <w:t xml:space="preserve"> </w:t>
      </w:r>
      <w:r>
        <w:rPr>
          <w:sz w:val="20"/>
          <w:szCs w:val="20"/>
        </w:rPr>
        <w:t xml:space="preserve">개념 수준별 정의와 본 연구에서의 위치.</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35"/>
        <w:gridCol w:w="2871"/>
        <w:gridCol w:w="4763"/>
      </w:tblGrid>
      <w:tr>
        <w:trPr>
          <w:tblHeader w:val="on"/>
          <w:cantSplit/>
        </w:trPr>
        <w:tc>
          <w:tcPr>
            <w:tcW w:type="dxa" w:w="1435"/>
            <w:tcBorders>
              <w:bottom w:val="single" w:sz="4" w:space="0" w:color="000000"/>
            </w:tcBorders>
          </w:tcPr>
          <w:p>
            <w:pPr>
              <w:pStyle w:val="Compact"/>
              <w:spacing w:before="20" w:after="20" w:line="240" w:lineRule="auto"/>
              <w:keepNext/>
            </w:pPr>
            <w:r>
              <w:rPr>
                <w:sz w:val="18"/>
                <w:szCs w:val="18"/>
              </w:rPr>
              <w:t xml:space="preserve">수준</w:t>
            </w:r>
          </w:p>
        </w:tc>
        <w:tc>
          <w:tcPr>
            <w:tcW w:type="dxa" w:w="2871"/>
            <w:tcBorders>
              <w:bottom w:val="single" w:sz="4" w:space="0" w:color="000000"/>
            </w:tcBorders>
          </w:tcPr>
          <w:p>
            <w:pPr>
              <w:pStyle w:val="Compact"/>
              <w:spacing w:before="20" w:after="20" w:line="240" w:lineRule="auto"/>
              <w:keepNext/>
            </w:pPr>
            <w:r>
              <w:rPr>
                <w:sz w:val="18"/>
                <w:szCs w:val="18"/>
              </w:rPr>
              <w:t xml:space="preserve">개념</w:t>
            </w:r>
          </w:p>
        </w:tc>
        <w:tc>
          <w:tcPr>
            <w:tcW w:type="dxa" w:w="4763"/>
            <w:tcBorders>
              <w:bottom w:val="single" w:sz="4" w:space="0" w:color="000000"/>
            </w:tcBorders>
          </w:tcPr>
          <w:p>
            <w:pPr>
              <w:pStyle w:val="Compact"/>
              <w:spacing w:before="20" w:after="20" w:line="240" w:lineRule="auto"/>
              <w:keepNext/>
            </w:pPr>
            <w:r>
              <w:rPr>
                <w:sz w:val="18"/>
                <w:szCs w:val="18"/>
              </w:rPr>
              <w:t xml:space="preserve">본 연구에서의 위치</w:t>
            </w:r>
          </w:p>
        </w:tc>
      </w:tr>
      <w:tr>
        <w:trPr>
          <w:cantSplit/>
        </w:trPr>
        <w:tc>
          <w:tcPr>
            <w:tcW w:type="dxa" w:w="1435"/>
          </w:tcPr>
          <w:p>
            <w:pPr>
              <w:pStyle w:val="Compact"/>
              <w:spacing w:before="20" w:after="20" w:line="240" w:lineRule="auto"/>
              <w:keepNext/>
            </w:pPr>
            <w:r>
              <w:rPr>
                <w:sz w:val="18"/>
                <w:szCs w:val="18"/>
              </w:rPr>
              <w:t xml:space="preserve">기술 시스템</w:t>
            </w:r>
          </w:p>
        </w:tc>
        <w:tc>
          <w:tcPr>
            <w:tcW w:type="dxa" w:w="2871"/>
          </w:tcPr>
          <w:p>
            <w:pPr>
              <w:pStyle w:val="Compact"/>
              <w:spacing w:before="20" w:after="20" w:line="240" w:lineRule="auto"/>
              <w:keepNext/>
            </w:pPr>
            <w:r>
              <w:rPr>
                <w:sz w:val="18"/>
                <w:szCs w:val="18"/>
              </w:rPr>
              <w:t xml:space="preserve">공정 단계 간 기술융합</w:t>
            </w:r>
          </w:p>
        </w:tc>
        <w:tc>
          <w:tcPr>
            <w:tcW w:type="dxa" w:w="4763"/>
          </w:tcPr>
          <w:p>
            <w:pPr>
              <w:pStyle w:val="Compact"/>
              <w:spacing w:before="20" w:after="20" w:line="240" w:lineRule="auto"/>
              <w:keepNext/>
            </w:pPr>
            <w:r>
              <w:rPr>
                <w:sz w:val="18"/>
                <w:szCs w:val="18"/>
              </w:rPr>
              <w:t xml:space="preserve">핵심 이론적 현상</w:t>
            </w:r>
          </w:p>
        </w:tc>
      </w:tr>
      <w:tr>
        <w:trPr>
          <w:cantSplit/>
        </w:trPr>
        <w:tc>
          <w:tcPr>
            <w:tcW w:type="dxa" w:w="1435"/>
          </w:tcPr>
          <w:p>
            <w:pPr>
              <w:pStyle w:val="Compact"/>
              <w:spacing w:before="20" w:after="20" w:line="240" w:lineRule="auto"/>
              <w:keepNext/>
            </w:pPr>
            <w:r>
              <w:rPr>
                <w:sz w:val="18"/>
                <w:szCs w:val="18"/>
              </w:rPr>
              <w:t xml:space="preserve">발명</w:t>
            </w:r>
          </w:p>
        </w:tc>
        <w:tc>
          <w:tcPr>
            <w:tcW w:type="dxa" w:w="2871"/>
          </w:tcPr>
          <w:p>
            <w:pPr>
              <w:pStyle w:val="Compact"/>
              <w:spacing w:before="20" w:after="20" w:line="240" w:lineRule="auto"/>
              <w:keepNext/>
            </w:pPr>
            <w:r>
              <w:rPr>
                <w:sz w:val="18"/>
                <w:szCs w:val="18"/>
              </w:rPr>
              <w:t xml:space="preserve">경계를 넘는 발명</w:t>
            </w:r>
          </w:p>
        </w:tc>
        <w:tc>
          <w:tcPr>
            <w:tcW w:type="dxa" w:w="4763"/>
          </w:tcPr>
          <w:p>
            <w:pPr>
              <w:pStyle w:val="Compact"/>
              <w:spacing w:before="20" w:after="20" w:line="240" w:lineRule="auto"/>
              <w:keepNext/>
            </w:pPr>
            <w:r>
              <w:rPr>
                <w:sz w:val="18"/>
                <w:szCs w:val="18"/>
              </w:rPr>
              <w:t xml:space="preserve">분석 대상</w:t>
            </w:r>
          </w:p>
        </w:tc>
      </w:tr>
      <w:tr>
        <w:trPr>
          <w:cantSplit/>
        </w:trPr>
        <w:tc>
          <w:tcPr>
            <w:tcW w:type="dxa" w:w="1435"/>
          </w:tcPr>
          <w:p>
            <w:pPr>
              <w:pStyle w:val="Compact"/>
              <w:spacing w:before="20" w:after="20" w:line="240" w:lineRule="auto"/>
              <w:keepNext/>
            </w:pPr>
            <w:r>
              <w:rPr>
                <w:sz w:val="18"/>
                <w:szCs w:val="18"/>
              </w:rPr>
              <w:t xml:space="preserve">측정</w:t>
            </w:r>
          </w:p>
        </w:tc>
        <w:tc>
          <w:tcPr>
            <w:tcW w:type="dxa" w:w="2871"/>
          </w:tcPr>
          <w:p>
            <w:pPr>
              <w:pStyle w:val="Compact"/>
              <w:spacing w:before="20" w:after="20" w:line="240" w:lineRule="auto"/>
              <w:keepNext/>
            </w:pPr>
            <w:r>
              <w:rPr>
                <w:sz w:val="18"/>
                <w:szCs w:val="18"/>
              </w:rPr>
              <w:t xml:space="preserve">H01L21–H01L24 공동분류</w:t>
            </w:r>
          </w:p>
        </w:tc>
        <w:tc>
          <w:tcPr>
            <w:tcW w:type="dxa" w:w="4763"/>
          </w:tcPr>
          <w:p>
            <w:pPr>
              <w:pStyle w:val="Compact"/>
              <w:spacing w:before="20" w:after="20" w:line="240" w:lineRule="auto"/>
              <w:keepNext/>
            </w:pPr>
            <w:r>
              <w:rPr>
                <w:sz w:val="18"/>
                <w:szCs w:val="18"/>
              </w:rPr>
              <w:t xml:space="preserve">조작적 지표(대리측정치)</w:t>
            </w:r>
          </w:p>
        </w:tc>
      </w:tr>
      <w:tr>
        <w:trPr>
          <w:cantSplit/>
        </w:trPr>
        <w:tc>
          <w:tcPr>
            <w:tcW w:type="dxa" w:w="1435"/>
          </w:tcPr>
          <w:p>
            <w:pPr>
              <w:pStyle w:val="Compact"/>
              <w:spacing w:before="20" w:after="20" w:line="240" w:lineRule="auto"/>
              <w:keepNext/>
            </w:pPr>
            <w:r>
              <w:rPr>
                <w:sz w:val="18"/>
                <w:szCs w:val="18"/>
              </w:rPr>
              <w:t xml:space="preserve">특허 특성</w:t>
            </w:r>
          </w:p>
        </w:tc>
        <w:tc>
          <w:tcPr>
            <w:tcW w:type="dxa" w:w="2871"/>
          </w:tcPr>
          <w:p>
            <w:pPr>
              <w:pStyle w:val="Compact"/>
              <w:spacing w:before="20" w:after="20" w:line="240" w:lineRule="auto"/>
              <w:keepNext/>
            </w:pPr>
            <w:r>
              <w:rPr>
                <w:sz w:val="18"/>
                <w:szCs w:val="18"/>
              </w:rPr>
              <w:t xml:space="preserve">두 클래스 안의 CPC 서브그룹 수</w:t>
            </w:r>
          </w:p>
        </w:tc>
        <w:tc>
          <w:tcPr>
            <w:tcW w:type="dxa" w:w="4763"/>
          </w:tcPr>
          <w:p>
            <w:pPr>
              <w:pStyle w:val="Compact"/>
              <w:spacing w:before="20" w:after="20" w:line="240" w:lineRule="auto"/>
              <w:keepNext/>
            </w:pPr>
            <w:r>
              <w:rPr>
                <w:sz w:val="18"/>
                <w:szCs w:val="18"/>
              </w:rPr>
              <w:t xml:space="preserve">기술적 다양성(클래스 내 기술범위)</w:t>
            </w:r>
          </w:p>
        </w:tc>
      </w:tr>
      <w:tr>
        <w:trPr>
          <w:cantSplit/>
        </w:trPr>
        <w:tc>
          <w:tcPr>
            <w:tcW w:type="dxa" w:w="1435"/>
          </w:tcPr>
          <w:p>
            <w:pPr>
              <w:pStyle w:val="Compact"/>
              <w:spacing w:before="20" w:after="20" w:line="240" w:lineRule="auto"/>
              <w:keepNext/>
            </w:pPr>
            <w:r>
              <w:rPr>
                <w:sz w:val="18"/>
                <w:szCs w:val="18"/>
              </w:rPr>
              <w:t xml:space="preserve">기술 구조</w:t>
            </w:r>
          </w:p>
        </w:tc>
        <w:tc>
          <w:tcPr>
            <w:tcW w:type="dxa" w:w="2871"/>
          </w:tcPr>
          <w:p>
            <w:pPr>
              <w:pStyle w:val="Compact"/>
              <w:spacing w:before="20" w:after="20" w:line="240" w:lineRule="auto"/>
              <w:keepNext/>
            </w:pPr>
            <w:r>
              <w:rPr>
                <w:sz w:val="18"/>
                <w:szCs w:val="18"/>
              </w:rPr>
              <w:t xml:space="preserve">핵심 기술(출원 200건 이상에 부여된 H01L24 기호)</w:t>
            </w:r>
          </w:p>
        </w:tc>
        <w:tc>
          <w:tcPr>
            <w:tcW w:type="dxa" w:w="4763"/>
          </w:tcPr>
          <w:p>
            <w:pPr>
              <w:pStyle w:val="Compact"/>
              <w:spacing w:before="20" w:after="20" w:line="240" w:lineRule="auto"/>
              <w:keepNext/>
            </w:pPr>
            <w:r>
              <w:rPr>
                <w:sz w:val="18"/>
                <w:szCs w:val="18"/>
              </w:rPr>
              <w:t xml:space="preserve">기술 클러스터·네트워크로 식별(제4.4절)</w:t>
            </w:r>
          </w:p>
        </w:tc>
      </w:tr>
    </w:tbl>
    <w:p>
      <w:pPr>
        <w:pStyle w:val="BodyText"/>
      </w:pPr>
      <w:r>
        <w:t xml:space="preserve">한편 CPC 기호는 심사관이 발명의 기술 내용에 따라 부여하는 것으로, 청구항의 문구와 항상 일치하지는 않는다. 따라서 이하에서 어떤 출원이 특정 기술을 ‘포함한다’ 또는 특정 기술로 ‘분류된다’는 표현은 해당 클래스의 기호가 그 출원에 부여되어 있음을 의미하며, 법적 청구범위에 관한 진술이 아니다.</w:t>
      </w:r>
    </w:p>
    <w:bookmarkEnd w:id="26"/>
    <w:bookmarkStart w:id="30" w:name="분석변수의-정의"/>
    <w:p>
      <w:pPr>
        <w:pStyle w:val="Heading3"/>
      </w:pPr>
      <w:r>
        <w:t xml:space="preserve">4.3 분석변수의 정의</w:t>
      </w:r>
    </w:p>
    <w:p>
      <w:pPr>
        <w:pStyle w:val="FirstParagraph"/>
      </w:pPr>
      <w:r>
        <w:t xml:space="preserve">이상의 조작적 정의에 따라 분석에 사용하는 변수를 표 3과 같이 정의하였다. 기술범위(breadth)는 출원에 부여된 H01L21·H01L24 계열의 서로 다른 서브그룹 기호의 수이다. 이는 분류 기호의 수로 특허의 범위를 측정하는 Lerner(1994)의 방식을 두 클래스 내부에 적용한 것으로, 두 클래스 안에서 출원에 부여된 세부 기술의 다양성을 의미하며, 반도체 이외의 분야로 확장되는 정도나 법적 청구범위를 측정하지는 않는다. 다만 공동분류 유형과 기술범위는 동일한 CPC 정보로부터 산출되므로, 통합형은 정의상 H01L21과 H01L24 기호를 각각 하나 이상 보유하여 최소 breadth가 2인 반면 단독형의 최소 breadth는 1이다. 이러한 기계적 최소치의 차이를 완화하기 위해 출원이 보유한 클래스마다 최소 1개의 기호를 차감한 유형 최소치 조정 CPC 범위(breadth_adj = breadth − I[H01L21 보유] − I[H01L24 보유])를 별도로 구성하였다. 예를 들어 H01L21 기호 2개와 H01L24 기호 1개를 가진 통합형 출원은 breadth 3, breadth_adj 1이며, H01L24 기호 4개만을 가진 접합 단독형 출원은 breadth 4, breadth_adj 3이다. breadth_adj는 유형을 성립시키는 최소한의 분류 정보를 제외하고 남는 추가적인 CPC 다양성으로, 종속변수의 유형 정보를 반영하므로 탐색적 강건성 지표로만 사용한다. 공동분류 유형(tech_cat)은 각 출원을 접합 단독형(H01L24 기호만 보유), 통합형(두 클래스 모두 보유), 공정 단독형(H01L21 기호만 보유)으로 구분하며, 두 클래스의 기호가 함께 부여된 통합형이 경계 넘기의 측정치이다. 제조공정 분류 여부(has_process)는 H01L21 기호를 하나라도 보유하면 1인 지표로, 통합형과 공정 단독형을 합한 것이다. 출원연도(yc)는 표본의 첫 출원 연도인 1968년으로부터 경과한 햇수이며, 출원 시기(period)는 출원이 드문 1968–2014년을 하나의 시기로 묶고 이후를 2015–2019년과 2020–2024년으로 구분한 세 범주이다. 핵심 기술 보유(core)는 제4.4절에서 식별한 핵심 접합 기호 네 개(24/03, 24/05, 24/08, 24/80) 가운데 하나 이상을 보유하면 1이다. 출원청(ccode)은 출원이 제출된 특허청 또는 출원 경로로, 8개 수준으로 구성된다. 출원청마다 출원 시기와 기술 구성이 상이하므로 모든 모형에 통제변수로 포함하되, 출원청 간 차이는 본 연구의 분석 대상이 아니므로 그 계수는 해석하지 않는다.</w:t>
      </w:r>
    </w:p>
    <w:p>
      <w:pPr>
        <w:pStyle w:val="BodyText"/>
        <w:keepNext/>
      </w:pPr>
      <w:r>
        <w:rPr>
          <w:b/>
          <w:bCs/>
          <w:sz w:val="20"/>
          <w:szCs w:val="20"/>
        </w:rPr>
        <w:t xml:space="preserve">표 3.</w:t>
      </w:r>
      <w:r>
        <w:rPr>
          <w:sz w:val="20"/>
          <w:szCs w:val="20"/>
        </w:rPr>
        <w:t xml:space="preserve"> </w:t>
      </w:r>
      <w:r>
        <w:rPr>
          <w:sz w:val="20"/>
          <w:szCs w:val="20"/>
        </w:rPr>
        <w:t xml:space="preserve">변수 정의.</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47"/>
        <w:gridCol w:w="3220"/>
        <w:gridCol w:w="1511"/>
        <w:gridCol w:w="2891"/>
      </w:tblGrid>
      <w:tr>
        <w:trPr>
          <w:tblHeader w:val="on"/>
          <w:cantSplit/>
        </w:trPr>
        <w:tc>
          <w:tcPr>
            <w:tcW w:type="dxa" w:w="1447"/>
            <w:tcBorders>
              <w:bottom w:val="single" w:sz="4" w:space="0" w:color="000000"/>
            </w:tcBorders>
          </w:tcPr>
          <w:p>
            <w:pPr>
              <w:pStyle w:val="Compact"/>
              <w:spacing w:before="20" w:after="20" w:line="240" w:lineRule="auto"/>
              <w:keepNext/>
            </w:pPr>
            <w:r>
              <w:rPr>
                <w:sz w:val="18"/>
                <w:szCs w:val="18"/>
              </w:rPr>
              <w:t xml:space="preserve">변수</w:t>
            </w:r>
          </w:p>
        </w:tc>
        <w:tc>
          <w:tcPr>
            <w:tcW w:type="dxa" w:w="3220"/>
            <w:tcBorders>
              <w:bottom w:val="single" w:sz="4" w:space="0" w:color="000000"/>
            </w:tcBorders>
          </w:tcPr>
          <w:p>
            <w:pPr>
              <w:pStyle w:val="Compact"/>
              <w:spacing w:before="20" w:after="20" w:line="240" w:lineRule="auto"/>
              <w:keepNext/>
            </w:pPr>
            <w:r>
              <w:rPr>
                <w:sz w:val="18"/>
                <w:szCs w:val="18"/>
              </w:rPr>
              <w:t xml:space="preserve">정의</w:t>
            </w:r>
          </w:p>
        </w:tc>
        <w:tc>
          <w:tcPr>
            <w:tcW w:type="dxa" w:w="1511"/>
            <w:tcBorders>
              <w:bottom w:val="single" w:sz="4" w:space="0" w:color="000000"/>
            </w:tcBorders>
          </w:tcPr>
          <w:p>
            <w:pPr>
              <w:pStyle w:val="Compact"/>
              <w:spacing w:before="20" w:after="20" w:line="240" w:lineRule="auto"/>
              <w:keepNext/>
            </w:pPr>
            <w:r>
              <w:rPr>
                <w:sz w:val="18"/>
                <w:szCs w:val="18"/>
              </w:rPr>
              <w:t xml:space="preserve">유형</w:t>
            </w:r>
          </w:p>
        </w:tc>
        <w:tc>
          <w:tcPr>
            <w:tcW w:type="dxa" w:w="2891"/>
            <w:tcBorders>
              <w:bottom w:val="single" w:sz="4" w:space="0" w:color="000000"/>
            </w:tcBorders>
          </w:tcPr>
          <w:p>
            <w:pPr>
              <w:pStyle w:val="Compact"/>
              <w:spacing w:before="20" w:after="20" w:line="240" w:lineRule="auto"/>
              <w:keepNext/>
            </w:pPr>
            <w:r>
              <w:rPr>
                <w:sz w:val="18"/>
                <w:szCs w:val="18"/>
              </w:rPr>
              <w:t xml:space="preserve">해석상 주의</w:t>
            </w:r>
          </w:p>
        </w:tc>
      </w:tr>
      <w:tr>
        <w:trPr>
          <w:cantSplit/>
        </w:trPr>
        <w:tc>
          <w:tcPr>
            <w:tcW w:type="dxa" w:w="1447"/>
          </w:tcPr>
          <w:p>
            <w:pPr>
              <w:pStyle w:val="Compact"/>
              <w:spacing w:before="20" w:after="20" w:line="240" w:lineRule="auto"/>
              <w:keepNext/>
            </w:pPr>
            <w:r>
              <w:rPr>
                <w:sz w:val="18"/>
                <w:szCs w:val="18"/>
              </w:rPr>
              <w:t xml:space="preserve">breadth</w:t>
            </w:r>
          </w:p>
        </w:tc>
        <w:tc>
          <w:tcPr>
            <w:tcW w:type="dxa" w:w="3220"/>
          </w:tcPr>
          <w:p>
            <w:pPr>
              <w:pStyle w:val="Compact"/>
              <w:spacing w:before="20" w:after="20" w:line="240" w:lineRule="auto"/>
              <w:keepNext/>
            </w:pPr>
            <w:r>
              <w:rPr>
                <w:sz w:val="18"/>
                <w:szCs w:val="18"/>
              </w:rPr>
              <w:t xml:space="preserve">출원별로 부여된 H01L21·H01L24 계열의 서로 다른 CPC 서브그룹 수(클래스 내 CPC 범위)</w:t>
            </w:r>
          </w:p>
        </w:tc>
        <w:tc>
          <w:tcPr>
            <w:tcW w:type="dxa" w:w="1511"/>
          </w:tcPr>
          <w:p>
            <w:pPr>
              <w:pStyle w:val="Compact"/>
              <w:spacing w:before="20" w:after="20" w:line="240" w:lineRule="auto"/>
              <w:keepNext/>
            </w:pPr>
            <w:r>
              <w:rPr>
                <w:sz w:val="18"/>
                <w:szCs w:val="18"/>
              </w:rPr>
              <w:t xml:space="preserve">카운트, 1–21</w:t>
            </w:r>
          </w:p>
        </w:tc>
        <w:tc>
          <w:tcPr>
            <w:tcW w:type="dxa" w:w="2891"/>
          </w:tcPr>
          <w:p>
            <w:pPr>
              <w:pStyle w:val="Compact"/>
              <w:spacing w:before="20" w:after="20" w:line="240" w:lineRule="auto"/>
              <w:keepNext/>
            </w:pPr>
            <w:r>
              <w:rPr>
                <w:sz w:val="18"/>
                <w:szCs w:val="18"/>
              </w:rPr>
              <w:t xml:space="preserve">전체 CPC 범위나 법적 청구범위가 아니라 두 클래스 내부의 기술적 다양성</w:t>
            </w:r>
          </w:p>
        </w:tc>
      </w:tr>
      <w:tr>
        <w:trPr>
          <w:cantSplit/>
        </w:trPr>
        <w:tc>
          <w:tcPr>
            <w:tcW w:type="dxa" w:w="1447"/>
          </w:tcPr>
          <w:p>
            <w:pPr>
              <w:pStyle w:val="Compact"/>
              <w:spacing w:before="20" w:after="20" w:line="240" w:lineRule="auto"/>
              <w:keepNext/>
            </w:pPr>
            <w:r>
              <w:rPr>
                <w:sz w:val="18"/>
                <w:szCs w:val="18"/>
              </w:rPr>
              <w:t xml:space="preserve">breadth_adj</w:t>
            </w:r>
          </w:p>
        </w:tc>
        <w:tc>
          <w:tcPr>
            <w:tcW w:type="dxa" w:w="3220"/>
          </w:tcPr>
          <w:p>
            <w:pPr>
              <w:pStyle w:val="Compact"/>
              <w:spacing w:before="20" w:after="20" w:line="240" w:lineRule="auto"/>
              <w:keepNext/>
            </w:pPr>
            <w:r>
              <w:rPr>
                <w:sz w:val="18"/>
                <w:szCs w:val="18"/>
              </w:rPr>
              <w:t xml:space="preserve">유형 최소치 조정 CPC 범위: 출원이 보유한 클래스마다 최소 1개 기호를 차감하고 남은 추가 CPC 서브그룹 수(단독형은 breadth − 1, 통합형은 breadth − 2; 제5.4절)</w:t>
            </w:r>
          </w:p>
        </w:tc>
        <w:tc>
          <w:tcPr>
            <w:tcW w:type="dxa" w:w="1511"/>
          </w:tcPr>
          <w:p>
            <w:pPr>
              <w:pStyle w:val="Compact"/>
              <w:spacing w:before="20" w:after="20" w:line="240" w:lineRule="auto"/>
              <w:keepNext/>
            </w:pPr>
            <w:r>
              <w:rPr>
                <w:sz w:val="18"/>
                <w:szCs w:val="18"/>
              </w:rPr>
              <w:t xml:space="preserve">카운트, 0–19</w:t>
            </w:r>
          </w:p>
        </w:tc>
        <w:tc>
          <w:tcPr>
            <w:tcW w:type="dxa" w:w="2891"/>
          </w:tcPr>
          <w:p>
            <w:pPr>
              <w:pStyle w:val="Compact"/>
              <w:spacing w:before="20" w:after="20" w:line="240" w:lineRule="auto"/>
              <w:keepNext/>
            </w:pPr>
            <w:r>
              <w:rPr>
                <w:sz w:val="18"/>
                <w:szCs w:val="18"/>
              </w:rPr>
              <w:t xml:space="preserve">유형별 최소 CPC 수의 기계적 차이를 완화하는 탐색적 지표. 유형 정보를 이용하므로 독립적인 범위 측정치는 아님</w:t>
            </w:r>
          </w:p>
        </w:tc>
      </w:tr>
      <w:tr>
        <w:trPr>
          <w:cantSplit/>
        </w:trPr>
        <w:tc>
          <w:tcPr>
            <w:tcW w:type="dxa" w:w="1447"/>
          </w:tcPr>
          <w:p>
            <w:pPr>
              <w:pStyle w:val="Compact"/>
              <w:spacing w:before="20" w:after="20" w:line="240" w:lineRule="auto"/>
              <w:keepNext/>
            </w:pPr>
            <w:r>
              <w:rPr>
                <w:sz w:val="18"/>
                <w:szCs w:val="18"/>
              </w:rPr>
              <w:t xml:space="preserve">tech_cat</w:t>
            </w:r>
          </w:p>
        </w:tc>
        <w:tc>
          <w:tcPr>
            <w:tcW w:type="dxa" w:w="3220"/>
          </w:tcPr>
          <w:p>
            <w:pPr>
              <w:pStyle w:val="Compact"/>
              <w:spacing w:before="20" w:after="20" w:line="240" w:lineRule="auto"/>
              <w:keepNext/>
            </w:pPr>
            <w:r>
              <w:rPr>
                <w:sz w:val="18"/>
                <w:szCs w:val="18"/>
              </w:rPr>
              <w:t xml:space="preserve">공동분류 유형: 접합 단독형(H01L24만) / 통합형(둘 다) / 공정 단독형(H01L21만)</w:t>
            </w:r>
          </w:p>
        </w:tc>
        <w:tc>
          <w:tcPr>
            <w:tcW w:type="dxa" w:w="1511"/>
          </w:tcPr>
          <w:p>
            <w:pPr>
              <w:pStyle w:val="Compact"/>
              <w:spacing w:before="20" w:after="20" w:line="240" w:lineRule="auto"/>
              <w:keepNext/>
            </w:pPr>
            <w:r>
              <w:rPr>
                <w:sz w:val="18"/>
                <w:szCs w:val="18"/>
              </w:rPr>
              <w:t xml:space="preserve">범주, 3</w:t>
            </w:r>
          </w:p>
        </w:tc>
        <w:tc>
          <w:tcPr>
            <w:tcW w:type="dxa" w:w="2891"/>
          </w:tcPr>
          <w:p>
            <w:pPr>
              <w:pStyle w:val="Compact"/>
              <w:spacing w:before="20" w:after="20" w:line="240" w:lineRule="auto"/>
              <w:keepNext/>
            </w:pPr>
            <w:r>
              <w:rPr>
                <w:sz w:val="18"/>
                <w:szCs w:val="18"/>
              </w:rPr>
              <w:t xml:space="preserve">분류의 조합</w:t>
            </w:r>
          </w:p>
        </w:tc>
      </w:tr>
      <w:tr>
        <w:trPr>
          <w:cantSplit/>
        </w:trPr>
        <w:tc>
          <w:tcPr>
            <w:tcW w:type="dxa" w:w="1447"/>
          </w:tcPr>
          <w:p>
            <w:pPr>
              <w:pStyle w:val="Compact"/>
              <w:spacing w:before="20" w:after="20" w:line="240" w:lineRule="auto"/>
              <w:keepNext/>
            </w:pPr>
            <w:r>
              <w:rPr>
                <w:sz w:val="18"/>
                <w:szCs w:val="18"/>
              </w:rPr>
              <w:t xml:space="preserve">has_process</w:t>
            </w:r>
          </w:p>
        </w:tc>
        <w:tc>
          <w:tcPr>
            <w:tcW w:type="dxa" w:w="3220"/>
          </w:tcPr>
          <w:p>
            <w:pPr>
              <w:pStyle w:val="Compact"/>
              <w:spacing w:before="20" w:after="20" w:line="240" w:lineRule="auto"/>
              <w:keepNext/>
            </w:pPr>
            <w:r>
              <w:rPr>
                <w:sz w:val="18"/>
                <w:szCs w:val="18"/>
              </w:rPr>
              <w:t xml:space="preserve">H01L21 기호를 하나라도 가지면 1(제조공정 분류), 아니면 0</w:t>
            </w:r>
          </w:p>
        </w:tc>
        <w:tc>
          <w:tcPr>
            <w:tcW w:type="dxa" w:w="1511"/>
          </w:tcPr>
          <w:p>
            <w:pPr>
              <w:pStyle w:val="Compact"/>
              <w:spacing w:before="20" w:after="20" w:line="240" w:lineRule="auto"/>
              <w:keepNext/>
            </w:pPr>
            <w:r>
              <w:rPr>
                <w:sz w:val="18"/>
                <w:szCs w:val="18"/>
              </w:rPr>
              <w:t xml:space="preserve">이항</w:t>
            </w:r>
          </w:p>
        </w:tc>
        <w:tc>
          <w:tcPr>
            <w:tcW w:type="dxa" w:w="2891"/>
          </w:tcPr>
          <w:p>
            <w:pPr>
              <w:pStyle w:val="Compact"/>
              <w:spacing w:before="20" w:after="20" w:line="240" w:lineRule="auto"/>
              <w:keepNext/>
            </w:pPr>
            <w:r>
              <w:rPr>
                <w:sz w:val="18"/>
                <w:szCs w:val="18"/>
              </w:rPr>
              <w:t xml:space="preserve">전공정 자체가 아닌 제조공정 관련 분류</w:t>
            </w:r>
          </w:p>
        </w:tc>
      </w:tr>
      <w:tr>
        <w:trPr>
          <w:cantSplit/>
        </w:trPr>
        <w:tc>
          <w:tcPr>
            <w:tcW w:type="dxa" w:w="1447"/>
          </w:tcPr>
          <w:p>
            <w:pPr>
              <w:pStyle w:val="Compact"/>
              <w:spacing w:before="20" w:after="20" w:line="240" w:lineRule="auto"/>
              <w:keepNext/>
            </w:pPr>
            <w:r>
              <w:rPr>
                <w:sz w:val="18"/>
                <w:szCs w:val="18"/>
              </w:rPr>
              <w:t xml:space="preserve">yc</w:t>
            </w:r>
          </w:p>
        </w:tc>
        <w:tc>
          <w:tcPr>
            <w:tcW w:type="dxa" w:w="3220"/>
          </w:tcPr>
          <w:p>
            <w:pPr>
              <w:pStyle w:val="Compact"/>
              <w:spacing w:before="20" w:after="20" w:line="240" w:lineRule="auto"/>
              <w:keepNext/>
            </w:pPr>
            <w:r>
              <w:rPr>
                <w:sz w:val="18"/>
                <w:szCs w:val="18"/>
              </w:rPr>
              <w:t xml:space="preserve">출원연도(1968년 = 0부터 지난 햇수); 표본 평균 49.7(2017.7년)</w:t>
            </w:r>
          </w:p>
        </w:tc>
        <w:tc>
          <w:tcPr>
            <w:tcW w:type="dxa" w:w="1511"/>
          </w:tcPr>
          <w:p>
            <w:pPr>
              <w:pStyle w:val="Compact"/>
              <w:spacing w:before="20" w:after="20" w:line="240" w:lineRule="auto"/>
              <w:keepNext/>
            </w:pPr>
            <w:r>
              <w:rPr>
                <w:sz w:val="18"/>
                <w:szCs w:val="18"/>
              </w:rPr>
              <w:t xml:space="preserve">정수, 0–56</w:t>
            </w:r>
          </w:p>
        </w:tc>
        <w:tc>
          <w:tcPr>
            <w:tcW w:type="dxa" w:w="2891"/>
          </w:tcPr>
          <w:p>
            <w:pPr>
              <w:pStyle w:val="Compact"/>
              <w:spacing w:before="20" w:after="20" w:line="240" w:lineRule="auto"/>
              <w:keepNext/>
            </w:pPr>
            <w:r>
              <w:rPr>
                <w:sz w:val="18"/>
                <w:szCs w:val="18"/>
              </w:rPr>
              <w:t xml:space="preserve">기술 성숙의 직접 측정치가 아님</w:t>
            </w:r>
          </w:p>
        </w:tc>
      </w:tr>
      <w:tr>
        <w:trPr>
          <w:cantSplit/>
        </w:trPr>
        <w:tc>
          <w:tcPr>
            <w:tcW w:type="dxa" w:w="1447"/>
          </w:tcPr>
          <w:p>
            <w:pPr>
              <w:pStyle w:val="Compact"/>
              <w:spacing w:before="20" w:after="20" w:line="240" w:lineRule="auto"/>
              <w:keepNext/>
            </w:pPr>
            <w:r>
              <w:rPr>
                <w:sz w:val="18"/>
                <w:szCs w:val="18"/>
              </w:rPr>
              <w:t xml:space="preserve">period</w:t>
            </w:r>
          </w:p>
        </w:tc>
        <w:tc>
          <w:tcPr>
            <w:tcW w:type="dxa" w:w="3220"/>
          </w:tcPr>
          <w:p>
            <w:pPr>
              <w:pStyle w:val="Compact"/>
              <w:spacing w:before="20" w:after="20" w:line="240" w:lineRule="auto"/>
              <w:keepNext/>
            </w:pPr>
            <w:r>
              <w:rPr>
                <w:sz w:val="18"/>
                <w:szCs w:val="18"/>
              </w:rPr>
              <w:t xml:space="preserve">출원 시기: 1968–2014년(기준), 2015–2019년, 2020–2024년</w:t>
            </w:r>
          </w:p>
        </w:tc>
        <w:tc>
          <w:tcPr>
            <w:tcW w:type="dxa" w:w="1511"/>
          </w:tcPr>
          <w:p>
            <w:pPr>
              <w:pStyle w:val="Compact"/>
              <w:spacing w:before="20" w:after="20" w:line="240" w:lineRule="auto"/>
              <w:keepNext/>
            </w:pPr>
            <w:r>
              <w:rPr>
                <w:sz w:val="18"/>
                <w:szCs w:val="18"/>
              </w:rPr>
              <w:t xml:space="preserve">범주, 3</w:t>
            </w:r>
          </w:p>
        </w:tc>
        <w:tc>
          <w:tcPr>
            <w:tcW w:type="dxa" w:w="2891"/>
          </w:tcPr>
          <w:p>
            <w:pPr>
              <w:pStyle w:val="Compact"/>
              <w:spacing w:before="20" w:after="20" w:line="240" w:lineRule="auto"/>
              <w:keepNext/>
            </w:pPr>
            <w:r>
              <w:rPr>
                <w:sz w:val="18"/>
                <w:szCs w:val="18"/>
              </w:rPr>
              <w:t xml:space="preserve">첫 시기가 이후 두 시기보다 김</w:t>
            </w:r>
          </w:p>
        </w:tc>
      </w:tr>
      <w:tr>
        <w:trPr>
          <w:cantSplit/>
        </w:trPr>
        <w:tc>
          <w:tcPr>
            <w:tcW w:type="dxa" w:w="1447"/>
          </w:tcPr>
          <w:p>
            <w:pPr>
              <w:pStyle w:val="Compact"/>
              <w:spacing w:before="20" w:after="20" w:line="240" w:lineRule="auto"/>
              <w:keepNext/>
            </w:pPr>
            <w:r>
              <w:rPr>
                <w:sz w:val="18"/>
                <w:szCs w:val="18"/>
              </w:rPr>
              <w:t xml:space="preserve">core</w:t>
            </w:r>
          </w:p>
        </w:tc>
        <w:tc>
          <w:tcPr>
            <w:tcW w:type="dxa" w:w="3220"/>
          </w:tcPr>
          <w:p>
            <w:pPr>
              <w:pStyle w:val="Compact"/>
              <w:spacing w:before="20" w:after="20" w:line="240" w:lineRule="auto"/>
              <w:keepNext/>
            </w:pPr>
            <w:r>
              <w:rPr>
                <w:sz w:val="18"/>
                <w:szCs w:val="18"/>
              </w:rPr>
              <w:t xml:space="preserve">핵심 접합 기호(24/03, 24/05, 24/08, 24/80) 가운데 하나 이상을 가지면 1, 아니면 0</w:t>
            </w:r>
          </w:p>
        </w:tc>
        <w:tc>
          <w:tcPr>
            <w:tcW w:type="dxa" w:w="1511"/>
          </w:tcPr>
          <w:p>
            <w:pPr>
              <w:pStyle w:val="Compact"/>
              <w:spacing w:before="20" w:after="20" w:line="240" w:lineRule="auto"/>
              <w:keepNext/>
            </w:pPr>
            <w:r>
              <w:rPr>
                <w:sz w:val="18"/>
                <w:szCs w:val="18"/>
              </w:rPr>
              <w:t xml:space="preserve">이항</w:t>
            </w:r>
          </w:p>
        </w:tc>
        <w:tc>
          <w:tcPr>
            <w:tcW w:type="dxa" w:w="2891"/>
          </w:tcPr>
          <w:p>
            <w:pPr>
              <w:pStyle w:val="Compact"/>
              <w:spacing w:before="20" w:after="20" w:line="240" w:lineRule="auto"/>
              <w:keepNext/>
            </w:pPr>
            <w:r>
              <w:rPr>
                <w:sz w:val="18"/>
                <w:szCs w:val="18"/>
              </w:rPr>
              <w:t xml:space="preserve">H01L24 기호를 가진 출원(N = 763)에서만 정의</w:t>
            </w:r>
          </w:p>
        </w:tc>
      </w:tr>
      <w:tr>
        <w:trPr>
          <w:cantSplit/>
        </w:trPr>
        <w:tc>
          <w:tcPr>
            <w:tcW w:type="dxa" w:w="1447"/>
          </w:tcPr>
          <w:p>
            <w:pPr>
              <w:pStyle w:val="Compact"/>
              <w:spacing w:before="20" w:after="20" w:line="240" w:lineRule="auto"/>
              <w:keepNext/>
            </w:pPr>
            <w:r>
              <w:rPr>
                <w:sz w:val="18"/>
                <w:szCs w:val="18"/>
              </w:rPr>
              <w:t xml:space="preserve">ccode</w:t>
            </w:r>
          </w:p>
        </w:tc>
        <w:tc>
          <w:tcPr>
            <w:tcW w:type="dxa" w:w="3220"/>
          </w:tcPr>
          <w:p>
            <w:pPr>
              <w:pStyle w:val="Compact"/>
              <w:spacing w:before="20" w:after="20" w:line="240" w:lineRule="auto"/>
              <w:keepNext/>
            </w:pPr>
            <w:r>
              <w:rPr>
                <w:sz w:val="18"/>
                <w:szCs w:val="18"/>
              </w:rPr>
              <w:t xml:space="preserve">출원청 또는 출원 경로: US(기준), CN, KR, TW, JP, EP, WO(PCT), 기타</w:t>
            </w:r>
          </w:p>
        </w:tc>
        <w:tc>
          <w:tcPr>
            <w:tcW w:type="dxa" w:w="1511"/>
          </w:tcPr>
          <w:p>
            <w:pPr>
              <w:pStyle w:val="Compact"/>
              <w:spacing w:before="20" w:after="20" w:line="240" w:lineRule="auto"/>
              <w:keepNext/>
            </w:pPr>
            <w:r>
              <w:rPr>
                <w:sz w:val="18"/>
                <w:szCs w:val="18"/>
              </w:rPr>
              <w:t xml:space="preserve">범주, 8</w:t>
            </w:r>
          </w:p>
        </w:tc>
        <w:tc>
          <w:tcPr>
            <w:tcW w:type="dxa" w:w="2891"/>
          </w:tcPr>
          <w:p>
            <w:pPr>
              <w:pStyle w:val="Compact"/>
              <w:spacing w:before="20" w:after="20" w:line="240" w:lineRule="auto"/>
              <w:keepNext/>
            </w:pPr>
            <w:r>
              <w:rPr>
                <w:sz w:val="18"/>
                <w:szCs w:val="18"/>
              </w:rPr>
              <w:t xml:space="preserve">통제변수(해석하지 않음)</w:t>
            </w:r>
          </w:p>
        </w:tc>
      </w:tr>
    </w:tbl>
    <w:p>
      <w:pPr>
        <w:pStyle w:val="BodyText"/>
      </w:pPr>
      <w:r>
        <w:t xml:space="preserve">주요 변수의 기술통계는 다음과 같다. 기술범위는 평균 5.69개(표준편차 4.07, 범위 1–21)이며, 유형별로는 통합형 7.89개, 접합 단독형 4.16개, 공정 단독형 3.15개로 차이를 보인다. 출원청별로는 미국 382건, 중국 175건, PCT 경로 113건, EPO 83건, 대만 75건, 한국 58건, 일본 26건, 기타 16건이다.</w:t>
      </w:r>
      <w:r>
        <w:t xml:space="preserve"> </w:t>
      </w:r>
      <w:r>
        <w:rPr>
          <w:highlight w:val="yellow"/>
        </w:rPr>
        <w:t xml:space="preserve">그림 3은</w:t>
      </w:r>
      <w:r>
        <w:t xml:space="preserve"> </w:t>
      </w:r>
      <w:r>
        <w:t xml:space="preserve">연도별 출원 건수를 나타낸 것으로, 출원은 2010년 이전에는 드물었으나 2010년대 후반에 급증하여 2022년경 정점에 이르렀다. 유형별로는 통합형 425건(45.8%), 접합 단독형 338건(36.4%), 공정 단독형 165건(17.8%)이며, 제조공정 기호를 보유한 출원은 590건(63.6%)이다.</w:t>
      </w:r>
    </w:p>
    <w:p>
      <w:pPr>
        <w:pStyle w:val="BodyText"/>
        <w:keepNext/>
      </w:pPr>
      <w:r>
        <w:drawing>
          <wp:inline>
            <wp:extent cx="5334000" cy="3048000"/>
            <wp:effectExtent b="0" l="0" r="0" t="0"/>
            <wp:docPr descr="" title="" id="28" name="Picture"/>
            <a:graphic>
              <a:graphicData uri="http://schemas.openxmlformats.org/drawingml/2006/picture">
                <pic:pic>
                  <pic:nvPicPr>
                    <pic:cNvPr descr="figures/fig2_applications_by_year_ko.png" id="29" name="Picture"/>
                    <pic:cNvPicPr>
                      <a:picLocks noChangeArrowheads="1" noChangeAspect="1"/>
                    </pic:cNvPicPr>
                  </pic:nvPicPr>
                  <pic:blipFill>
                    <a:blip r:embed="rId27"/>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
          <w:bCs/>
          <w:highlight w:val="yellow"/>
          <w:sz w:val="20"/>
          <w:szCs w:val="20"/>
        </w:rPr>
        <w:t xml:space="preserve">그림 3.</w:t>
      </w:r>
      <w:r>
        <w:rPr>
          <w:sz w:val="20"/>
          <w:szCs w:val="20"/>
        </w:rPr>
        <w:t xml:space="preserve"> </w:t>
      </w:r>
      <w:r>
        <w:rPr>
          <w:sz w:val="20"/>
          <w:szCs w:val="20"/>
        </w:rPr>
        <w:t xml:space="preserve">출원연도별 하이브리드 본딩 관련 출원 건수, 1968–2024(N = 928). 2023–2024년의 감소에는 출원 후 공개까지의 시차가 영향을 미쳤을 가능성이 크다.</w:t>
      </w:r>
    </w:p>
    <w:bookmarkEnd w:id="30"/>
    <w:bookmarkStart w:id="34" w:name="핵심-기술의-식별-기술-클러스터와-기술-네트워크"/>
    <w:p>
      <w:pPr>
        <w:pStyle w:val="Heading3"/>
      </w:pPr>
      <w:r>
        <w:t xml:space="preserve">4.4 핵심 기술의 식별: 기술 클러스터와 기술 네트워크</w:t>
      </w:r>
    </w:p>
    <w:p>
      <w:pPr>
        <w:pStyle w:val="FirstParagraph"/>
      </w:pPr>
      <w:r>
        <w:t xml:space="preserve">앞서 정의한 변수 가운데 핵심 기술 보유(core)를 측정하고</w:t>
      </w:r>
      <w:r>
        <w:t xml:space="preserve"> </w:t>
      </w:r>
      <w:r>
        <w:rPr>
          <w:highlight w:val="yellow"/>
        </w:rPr>
        <w:t xml:space="preserve">융합의 구조적 중심 변화를</w:t>
      </w:r>
      <w:r>
        <w:t xml:space="preserve"> </w:t>
      </w:r>
      <w:r>
        <w:t xml:space="preserve">분석하기 위해서는 하이브리드 본딩의 핵심 기술을 먼저 규정할 필요가 있다. 이에 본 절에서는 두 가지 방법으로 핵심 기술을 식별한다. 기술 클러스터는 다수의 출원이 공통으로 포함하는 기호, 즉 이 기술의 필수 요소를 찾는 방법이며, 기술 네트워크는 한 출원에 함께 부여된 기호의 쌍을 연결로 간주하여 요소들이 결합하는 방식을 파악하는 방법이다(Breschi et al., 2003; Sternitzke et al., 2008).</w:t>
      </w:r>
    </w:p>
    <w:p>
      <w:pPr>
        <w:pStyle w:val="BodyText"/>
      </w:pPr>
      <w:r>
        <w:rPr>
          <w:b/>
          <w:bCs/>
        </w:rPr>
        <w:t xml:space="preserve">기술 클러스터.</w:t>
      </w:r>
      <w:r>
        <w:t xml:space="preserve"> </w:t>
      </w:r>
      <w:r>
        <w:t xml:space="preserve">표 4는 928건에 부여된 전체 CPC 기호 가운데 200건 이상의 출원에 공통으로 부여된 11개 기호를 정리한 것으로, 각 기호의 설명은 CPC 공식 정의를 요약하였다. 가장 많은 출원에 부여된 기호는 접합 패드(bonding area)를 이용한 연결 방법(24/80, 529건, 57.0%)과 연결 후 접합 패드의 구조(24/08, 513건, 55.3%)이며, 그다음은 도전성 표면끼리의 직접 접합(2224/80895, 504건)과 절연성 표면끼리의 직접 접합(2224/80896, 488건)이다. 이 기호들을 연결하면 분류 체계 안에서 하이브리드 본딩의 정의가 그대로 드러난다.</w:t>
      </w:r>
      <w:r>
        <w:t xml:space="preserve"> </w:t>
      </w:r>
      <w:r>
        <w:rPr>
          <w:b/>
          <w:bCs/>
        </w:rPr>
        <w:t xml:space="preserve">하이브리드 본딩은 구리를 주성분으로 한 접합 패드(2224/05647)를 표면과 같은 높이로 형성하고(2224/80357), 금속(2224/80895)과 절연막(2224/80896)을 함께 직접 접합하여(24/08, 24/80), 범프 없이 칩을 수직으로 적층하는(2224/08145, 25/0657) 기술이다.</w:t>
      </w:r>
      <w:r>
        <w:t xml:space="preserve"> </w:t>
      </w:r>
      <w:r>
        <w:t xml:space="preserve">이 가운데 하이브리드 본딩을 다른 접합 방식과 구별하는 특징은 금속–금속 직접 접합과 절연막–절연막 직접 접합이 한 출원에 함께 부여되는 조합이다.</w:t>
      </w:r>
    </w:p>
    <w:p>
      <w:pPr>
        <w:pStyle w:val="BodyText"/>
        <w:keepNext/>
      </w:pPr>
      <w:r>
        <w:rPr>
          <w:b/>
          <w:bCs/>
          <w:sz w:val="20"/>
          <w:szCs w:val="20"/>
        </w:rPr>
        <w:t xml:space="preserve">표 4.</w:t>
      </w:r>
      <w:r>
        <w:rPr>
          <w:sz w:val="20"/>
          <w:szCs w:val="20"/>
        </w:rPr>
        <w:t xml:space="preserve"> </w:t>
      </w:r>
      <w:r>
        <w:rPr>
          <w:sz w:val="20"/>
          <w:szCs w:val="20"/>
        </w:rPr>
        <w:t xml:space="preserve">기술 클러스터: 출원 200건 이상에 부여된 CPC 기호(N = 928; 비중은 928건 대비).</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600"/>
        <w:gridCol w:w="2250"/>
        <w:gridCol w:w="4051"/>
        <w:gridCol w:w="600"/>
        <w:gridCol w:w="825"/>
        <w:gridCol w:w="742"/>
      </w:tblGrid>
      <w:tr>
        <w:trPr>
          <w:tblHeader w:val="on"/>
          <w:cantSplit/>
        </w:trPr>
        <w:tc>
          <w:tcPr>
            <w:tcW w:type="dxa" w:w="600"/>
            <w:tcBorders>
              <w:bottom w:val="single" w:sz="4" w:space="0" w:color="000000"/>
            </w:tcBorders>
          </w:tcPr>
          <w:p>
            <w:pPr>
              <w:pStyle w:val="Compact"/>
              <w:spacing w:before="20" w:after="20" w:line="240" w:lineRule="auto"/>
              <w:jc w:val="right"/>
              <w:keepNext/>
            </w:pPr>
            <w:r>
              <w:rPr>
                <w:sz w:val="15"/>
                <w:szCs w:val="15"/>
              </w:rPr>
              <w:t xml:space="preserve">순위</w:t>
            </w:r>
          </w:p>
        </w:tc>
        <w:tc>
          <w:tcPr>
            <w:tcW w:type="dxa" w:w="2250"/>
            <w:tcBorders>
              <w:bottom w:val="single" w:sz="4" w:space="0" w:color="000000"/>
            </w:tcBorders>
          </w:tcPr>
          <w:p>
            <w:pPr>
              <w:pStyle w:val="Compact"/>
              <w:spacing w:before="20" w:after="20" w:line="240" w:lineRule="auto"/>
              <w:keepNext/>
            </w:pPr>
            <w:r>
              <w:rPr>
                <w:sz w:val="15"/>
                <w:szCs w:val="15"/>
              </w:rPr>
              <w:t xml:space="preserve">CPC 기호</w:t>
            </w:r>
          </w:p>
        </w:tc>
        <w:tc>
          <w:tcPr>
            <w:tcW w:type="dxa" w:w="4051"/>
            <w:tcBorders>
              <w:bottom w:val="single" w:sz="4" w:space="0" w:color="000000"/>
            </w:tcBorders>
          </w:tcPr>
          <w:p>
            <w:pPr>
              <w:pStyle w:val="Compact"/>
              <w:spacing w:before="20" w:after="20" w:line="240" w:lineRule="auto"/>
              <w:keepNext/>
            </w:pPr>
            <w:r>
              <w:rPr>
                <w:sz w:val="15"/>
                <w:szCs w:val="15"/>
              </w:rPr>
              <w:t xml:space="preserve">공식 정의(요약)</w:t>
            </w:r>
          </w:p>
        </w:tc>
        <w:tc>
          <w:tcPr>
            <w:tcW w:type="dxa" w:w="600"/>
            <w:tcBorders>
              <w:bottom w:val="single" w:sz="4" w:space="0" w:color="000000"/>
            </w:tcBorders>
          </w:tcPr>
          <w:p>
            <w:pPr>
              <w:pStyle w:val="Compact"/>
              <w:spacing w:before="20" w:after="20" w:line="240" w:lineRule="auto"/>
              <w:jc w:val="right"/>
              <w:keepNext/>
            </w:pPr>
            <w:r>
              <w:rPr>
                <w:sz w:val="15"/>
                <w:szCs w:val="15"/>
              </w:rPr>
              <w:t xml:space="preserve">출원 수</w:t>
            </w:r>
          </w:p>
        </w:tc>
        <w:tc>
          <w:tcPr>
            <w:tcW w:type="dxa" w:w="825"/>
            <w:tcBorders>
              <w:bottom w:val="single" w:sz="4" w:space="0" w:color="000000"/>
            </w:tcBorders>
          </w:tcPr>
          <w:p>
            <w:pPr>
              <w:pStyle w:val="Compact"/>
              <w:spacing w:before="20" w:after="20" w:line="240" w:lineRule="auto"/>
              <w:jc w:val="right"/>
              <w:keepNext/>
            </w:pPr>
            <w:r>
              <w:rPr>
                <w:sz w:val="15"/>
                <w:szCs w:val="15"/>
              </w:rPr>
              <w:t xml:space="preserve">비중(%)</w:t>
            </w:r>
          </w:p>
        </w:tc>
        <w:tc>
          <w:tcPr>
            <w:tcW w:type="dxa" w:w="742"/>
            <w:tcBorders>
              <w:bottom w:val="single" w:sz="4" w:space="0" w:color="000000"/>
            </w:tcBorders>
          </w:tcPr>
          <w:p>
            <w:pPr>
              <w:pStyle w:val="Compact"/>
              <w:spacing w:before="20" w:after="20" w:line="240" w:lineRule="auto"/>
              <w:jc w:val="center"/>
              <w:keepNext/>
            </w:pPr>
            <w:r>
              <w:rPr>
                <w:sz w:val="15"/>
                <w:szCs w:val="15"/>
              </w:rPr>
              <w:t xml:space="preserve">회귀 자료</w:t>
            </w:r>
          </w:p>
        </w:tc>
      </w:tr>
      <w:tr>
        <w:trPr>
          <w:cantSplit/>
        </w:trPr>
        <w:tc>
          <w:tcPr>
            <w:tcW w:type="dxa" w:w="600"/>
          </w:tcPr>
          <w:p>
            <w:pPr>
              <w:pStyle w:val="Compact"/>
              <w:spacing w:before="20" w:after="20" w:line="240" w:lineRule="auto"/>
              <w:jc w:val="right"/>
              <w:keepNext/>
            </w:pPr>
            <w:r>
              <w:rPr>
                <w:sz w:val="15"/>
                <w:szCs w:val="15"/>
              </w:rPr>
              <w:t xml:space="preserve">1</w:t>
            </w:r>
          </w:p>
        </w:tc>
        <w:tc>
          <w:tcPr>
            <w:tcW w:type="dxa" w:w="2250"/>
          </w:tcPr>
          <w:p>
            <w:pPr>
              <w:pStyle w:val="Compact"/>
              <w:spacing w:before="20" w:after="20" w:line="240" w:lineRule="auto"/>
              <w:keepNext/>
            </w:pPr>
            <w:r>
              <w:rPr>
                <w:sz w:val="15"/>
                <w:szCs w:val="15"/>
              </w:rPr>
              <w:t xml:space="preserve">H01L 24/80</w:t>
            </w:r>
          </w:p>
        </w:tc>
        <w:tc>
          <w:tcPr>
            <w:tcW w:type="dxa" w:w="4051"/>
          </w:tcPr>
          <w:p>
            <w:pPr>
              <w:pStyle w:val="Compact"/>
              <w:spacing w:before="20" w:after="20" w:line="240" w:lineRule="auto"/>
              <w:keepNext/>
            </w:pPr>
            <w:r>
              <w:rPr>
                <w:sz w:val="15"/>
                <w:szCs w:val="15"/>
              </w:rPr>
              <w:t xml:space="preserve">접합 패드를 이용한 연결 방법</w:t>
            </w:r>
          </w:p>
        </w:tc>
        <w:tc>
          <w:tcPr>
            <w:tcW w:type="dxa" w:w="600"/>
          </w:tcPr>
          <w:p>
            <w:pPr>
              <w:pStyle w:val="Compact"/>
              <w:spacing w:before="20" w:after="20" w:line="240" w:lineRule="auto"/>
              <w:jc w:val="right"/>
              <w:keepNext/>
            </w:pPr>
            <w:r>
              <w:rPr>
                <w:sz w:val="15"/>
                <w:szCs w:val="15"/>
              </w:rPr>
              <w:t xml:space="preserve">529</w:t>
            </w:r>
          </w:p>
        </w:tc>
        <w:tc>
          <w:tcPr>
            <w:tcW w:type="dxa" w:w="825"/>
          </w:tcPr>
          <w:p>
            <w:pPr>
              <w:pStyle w:val="Compact"/>
              <w:spacing w:before="20" w:after="20" w:line="240" w:lineRule="auto"/>
              <w:jc w:val="right"/>
              <w:keepNext/>
            </w:pPr>
            <w:r>
              <w:rPr>
                <w:sz w:val="15"/>
                <w:szCs w:val="15"/>
              </w:rPr>
              <w:t xml:space="preserve">57.0</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2</w:t>
            </w:r>
          </w:p>
        </w:tc>
        <w:tc>
          <w:tcPr>
            <w:tcW w:type="dxa" w:w="2250"/>
          </w:tcPr>
          <w:p>
            <w:pPr>
              <w:pStyle w:val="Compact"/>
              <w:spacing w:before="20" w:after="20" w:line="240" w:lineRule="auto"/>
              <w:keepNext/>
            </w:pPr>
            <w:r>
              <w:rPr>
                <w:sz w:val="15"/>
                <w:szCs w:val="15"/>
              </w:rPr>
              <w:t xml:space="preserve">H01L 24/08</w:t>
            </w:r>
          </w:p>
        </w:tc>
        <w:tc>
          <w:tcPr>
            <w:tcW w:type="dxa" w:w="4051"/>
          </w:tcPr>
          <w:p>
            <w:pPr>
              <w:pStyle w:val="Compact"/>
              <w:spacing w:before="20" w:after="20" w:line="240" w:lineRule="auto"/>
              <w:keepNext/>
            </w:pPr>
            <w:r>
              <w:rPr>
                <w:sz w:val="15"/>
                <w:szCs w:val="15"/>
              </w:rPr>
              <w:t xml:space="preserve">연결 후 개별 접합 패드의 구조·형상·재료·배치</w:t>
            </w:r>
          </w:p>
        </w:tc>
        <w:tc>
          <w:tcPr>
            <w:tcW w:type="dxa" w:w="600"/>
          </w:tcPr>
          <w:p>
            <w:pPr>
              <w:pStyle w:val="Compact"/>
              <w:spacing w:before="20" w:after="20" w:line="240" w:lineRule="auto"/>
              <w:jc w:val="right"/>
              <w:keepNext/>
            </w:pPr>
            <w:r>
              <w:rPr>
                <w:sz w:val="15"/>
                <w:szCs w:val="15"/>
              </w:rPr>
              <w:t xml:space="preserve">513</w:t>
            </w:r>
          </w:p>
        </w:tc>
        <w:tc>
          <w:tcPr>
            <w:tcW w:type="dxa" w:w="825"/>
          </w:tcPr>
          <w:p>
            <w:pPr>
              <w:pStyle w:val="Compact"/>
              <w:spacing w:before="20" w:after="20" w:line="240" w:lineRule="auto"/>
              <w:jc w:val="right"/>
              <w:keepNext/>
            </w:pPr>
            <w:r>
              <w:rPr>
                <w:sz w:val="15"/>
                <w:szCs w:val="15"/>
              </w:rPr>
              <w:t xml:space="preserve">55.3</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3</w:t>
            </w:r>
          </w:p>
        </w:tc>
        <w:tc>
          <w:tcPr>
            <w:tcW w:type="dxa" w:w="2250"/>
          </w:tcPr>
          <w:p>
            <w:pPr>
              <w:pStyle w:val="Compact"/>
              <w:spacing w:before="20" w:after="20" w:line="240" w:lineRule="auto"/>
              <w:keepNext/>
            </w:pPr>
            <w:r>
              <w:rPr>
                <w:sz w:val="15"/>
                <w:szCs w:val="15"/>
              </w:rPr>
              <w:t xml:space="preserve">H01L 2224/80895</w:t>
            </w:r>
          </w:p>
        </w:tc>
        <w:tc>
          <w:tcPr>
            <w:tcW w:type="dxa" w:w="4051"/>
          </w:tcPr>
          <w:p>
            <w:pPr>
              <w:pStyle w:val="Compact"/>
              <w:spacing w:before="20" w:after="20" w:line="240" w:lineRule="auto"/>
              <w:keepNext/>
            </w:pPr>
            <w:r>
              <w:rPr>
                <w:sz w:val="15"/>
                <w:szCs w:val="15"/>
              </w:rPr>
              <w:t xml:space="preserve">도전성 표면끼리의 직접 접합(예: 구리–구리)</w:t>
            </w:r>
          </w:p>
        </w:tc>
        <w:tc>
          <w:tcPr>
            <w:tcW w:type="dxa" w:w="600"/>
          </w:tcPr>
          <w:p>
            <w:pPr>
              <w:pStyle w:val="Compact"/>
              <w:spacing w:before="20" w:after="20" w:line="240" w:lineRule="auto"/>
              <w:jc w:val="right"/>
              <w:keepNext/>
            </w:pPr>
            <w:r>
              <w:rPr>
                <w:sz w:val="15"/>
                <w:szCs w:val="15"/>
              </w:rPr>
              <w:t xml:space="preserve">504</w:t>
            </w:r>
          </w:p>
        </w:tc>
        <w:tc>
          <w:tcPr>
            <w:tcW w:type="dxa" w:w="825"/>
          </w:tcPr>
          <w:p>
            <w:pPr>
              <w:pStyle w:val="Compact"/>
              <w:spacing w:before="20" w:after="20" w:line="240" w:lineRule="auto"/>
              <w:jc w:val="right"/>
              <w:keepNext/>
            </w:pPr>
            <w:r>
              <w:rPr>
                <w:sz w:val="15"/>
                <w:szCs w:val="15"/>
              </w:rPr>
              <w:t xml:space="preserve">54.3</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4</w:t>
            </w:r>
          </w:p>
        </w:tc>
        <w:tc>
          <w:tcPr>
            <w:tcW w:type="dxa" w:w="2250"/>
          </w:tcPr>
          <w:p>
            <w:pPr>
              <w:pStyle w:val="Compact"/>
              <w:spacing w:before="20" w:after="20" w:line="240" w:lineRule="auto"/>
              <w:keepNext/>
            </w:pPr>
            <w:r>
              <w:rPr>
                <w:sz w:val="15"/>
                <w:szCs w:val="15"/>
              </w:rPr>
              <w:t xml:space="preserve">H01L 2224/80896</w:t>
            </w:r>
          </w:p>
        </w:tc>
        <w:tc>
          <w:tcPr>
            <w:tcW w:type="dxa" w:w="4051"/>
          </w:tcPr>
          <w:p>
            <w:pPr>
              <w:pStyle w:val="Compact"/>
              <w:spacing w:before="20" w:after="20" w:line="240" w:lineRule="auto"/>
              <w:keepNext/>
            </w:pPr>
            <w:r>
              <w:rPr>
                <w:sz w:val="15"/>
                <w:szCs w:val="15"/>
              </w:rPr>
              <w:t xml:space="preserve">절연성 표면끼리의 직접 접합(예: 산화막·질화막)</w:t>
            </w:r>
          </w:p>
        </w:tc>
        <w:tc>
          <w:tcPr>
            <w:tcW w:type="dxa" w:w="600"/>
          </w:tcPr>
          <w:p>
            <w:pPr>
              <w:pStyle w:val="Compact"/>
              <w:spacing w:before="20" w:after="20" w:line="240" w:lineRule="auto"/>
              <w:jc w:val="right"/>
              <w:keepNext/>
            </w:pPr>
            <w:r>
              <w:rPr>
                <w:sz w:val="15"/>
                <w:szCs w:val="15"/>
              </w:rPr>
              <w:t xml:space="preserve">488</w:t>
            </w:r>
          </w:p>
        </w:tc>
        <w:tc>
          <w:tcPr>
            <w:tcW w:type="dxa" w:w="825"/>
          </w:tcPr>
          <w:p>
            <w:pPr>
              <w:pStyle w:val="Compact"/>
              <w:spacing w:before="20" w:after="20" w:line="240" w:lineRule="auto"/>
              <w:jc w:val="right"/>
              <w:keepNext/>
            </w:pPr>
            <w:r>
              <w:rPr>
                <w:sz w:val="15"/>
                <w:szCs w:val="15"/>
              </w:rPr>
              <w:t xml:space="preserve">52.6</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5</w:t>
            </w:r>
          </w:p>
        </w:tc>
        <w:tc>
          <w:tcPr>
            <w:tcW w:type="dxa" w:w="2250"/>
          </w:tcPr>
          <w:p>
            <w:pPr>
              <w:pStyle w:val="Compact"/>
              <w:spacing w:before="20" w:after="20" w:line="240" w:lineRule="auto"/>
              <w:keepNext/>
            </w:pPr>
            <w:r>
              <w:rPr>
                <w:sz w:val="15"/>
                <w:szCs w:val="15"/>
              </w:rPr>
              <w:t xml:space="preserve">H01L 2224/08145</w:t>
            </w:r>
          </w:p>
        </w:tc>
        <w:tc>
          <w:tcPr>
            <w:tcW w:type="dxa" w:w="4051"/>
          </w:tcPr>
          <w:p>
            <w:pPr>
              <w:pStyle w:val="Compact"/>
              <w:spacing w:before="20" w:after="20" w:line="240" w:lineRule="auto"/>
              <w:keepNext/>
            </w:pPr>
            <w:r>
              <w:rPr>
                <w:sz w:val="15"/>
                <w:szCs w:val="15"/>
              </w:rPr>
              <w:t xml:space="preserve">접합 패드끼리 직접 연결된(범프 없는) 적층 칩 사이의 접합</w:t>
            </w:r>
          </w:p>
        </w:tc>
        <w:tc>
          <w:tcPr>
            <w:tcW w:type="dxa" w:w="600"/>
          </w:tcPr>
          <w:p>
            <w:pPr>
              <w:pStyle w:val="Compact"/>
              <w:spacing w:before="20" w:after="20" w:line="240" w:lineRule="auto"/>
              <w:jc w:val="right"/>
              <w:keepNext/>
            </w:pPr>
            <w:r>
              <w:rPr>
                <w:sz w:val="15"/>
                <w:szCs w:val="15"/>
              </w:rPr>
              <w:t xml:space="preserve">436</w:t>
            </w:r>
          </w:p>
        </w:tc>
        <w:tc>
          <w:tcPr>
            <w:tcW w:type="dxa" w:w="825"/>
          </w:tcPr>
          <w:p>
            <w:pPr>
              <w:pStyle w:val="Compact"/>
              <w:spacing w:before="20" w:after="20" w:line="240" w:lineRule="auto"/>
              <w:jc w:val="right"/>
              <w:keepNext/>
            </w:pPr>
            <w:r>
              <w:rPr>
                <w:sz w:val="15"/>
                <w:szCs w:val="15"/>
              </w:rPr>
              <w:t xml:space="preserve">47.0</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6</w:t>
            </w:r>
          </w:p>
        </w:tc>
        <w:tc>
          <w:tcPr>
            <w:tcW w:type="dxa" w:w="2250"/>
          </w:tcPr>
          <w:p>
            <w:pPr>
              <w:pStyle w:val="Compact"/>
              <w:spacing w:before="20" w:after="20" w:line="240" w:lineRule="auto"/>
              <w:keepNext/>
            </w:pPr>
            <w:r>
              <w:rPr>
                <w:sz w:val="15"/>
                <w:szCs w:val="15"/>
              </w:rPr>
              <w:t xml:space="preserve">H01L 25/50</w:t>
            </w:r>
          </w:p>
        </w:tc>
        <w:tc>
          <w:tcPr>
            <w:tcW w:type="dxa" w:w="4051"/>
          </w:tcPr>
          <w:p>
            <w:pPr>
              <w:pStyle w:val="Compact"/>
              <w:spacing w:before="20" w:after="20" w:line="240" w:lineRule="auto"/>
              <w:keepNext/>
            </w:pPr>
            <w:r>
              <w:rPr>
                <w:sz w:val="15"/>
                <w:szCs w:val="15"/>
              </w:rPr>
              <w:t xml:space="preserve">소자 조립체의 다단계 제조공정</w:t>
            </w:r>
          </w:p>
        </w:tc>
        <w:tc>
          <w:tcPr>
            <w:tcW w:type="dxa" w:w="600"/>
          </w:tcPr>
          <w:p>
            <w:pPr>
              <w:pStyle w:val="Compact"/>
              <w:spacing w:before="20" w:after="20" w:line="240" w:lineRule="auto"/>
              <w:jc w:val="right"/>
              <w:keepNext/>
            </w:pPr>
            <w:r>
              <w:rPr>
                <w:sz w:val="15"/>
                <w:szCs w:val="15"/>
              </w:rPr>
              <w:t xml:space="preserve">363</w:t>
            </w:r>
          </w:p>
        </w:tc>
        <w:tc>
          <w:tcPr>
            <w:tcW w:type="dxa" w:w="825"/>
          </w:tcPr>
          <w:p>
            <w:pPr>
              <w:pStyle w:val="Compact"/>
              <w:spacing w:before="20" w:after="20" w:line="240" w:lineRule="auto"/>
              <w:jc w:val="right"/>
              <w:keepNext/>
            </w:pPr>
            <w:r>
              <w:rPr>
                <w:sz w:val="15"/>
                <w:szCs w:val="15"/>
              </w:rPr>
              <w:t xml:space="preserve">39.1</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7</w:t>
            </w:r>
          </w:p>
        </w:tc>
        <w:tc>
          <w:tcPr>
            <w:tcW w:type="dxa" w:w="2250"/>
          </w:tcPr>
          <w:p>
            <w:pPr>
              <w:pStyle w:val="Compact"/>
              <w:spacing w:before="20" w:after="20" w:line="240" w:lineRule="auto"/>
              <w:keepNext/>
            </w:pPr>
            <w:r>
              <w:rPr>
                <w:sz w:val="15"/>
                <w:szCs w:val="15"/>
              </w:rPr>
              <w:t xml:space="preserve">H01L 24/05</w:t>
            </w:r>
          </w:p>
        </w:tc>
        <w:tc>
          <w:tcPr>
            <w:tcW w:type="dxa" w:w="4051"/>
          </w:tcPr>
          <w:p>
            <w:pPr>
              <w:pStyle w:val="Compact"/>
              <w:spacing w:before="20" w:after="20" w:line="240" w:lineRule="auto"/>
              <w:keepNext/>
            </w:pPr>
            <w:r>
              <w:rPr>
                <w:sz w:val="15"/>
                <w:szCs w:val="15"/>
              </w:rPr>
              <w:t xml:space="preserve">연결 전 개별 접합 패드의 구조·형상·재료·배치</w:t>
            </w:r>
          </w:p>
        </w:tc>
        <w:tc>
          <w:tcPr>
            <w:tcW w:type="dxa" w:w="600"/>
          </w:tcPr>
          <w:p>
            <w:pPr>
              <w:pStyle w:val="Compact"/>
              <w:spacing w:before="20" w:after="20" w:line="240" w:lineRule="auto"/>
              <w:jc w:val="right"/>
              <w:keepNext/>
            </w:pPr>
            <w:r>
              <w:rPr>
                <w:sz w:val="15"/>
                <w:szCs w:val="15"/>
              </w:rPr>
              <w:t xml:space="preserve">350</w:t>
            </w:r>
          </w:p>
        </w:tc>
        <w:tc>
          <w:tcPr>
            <w:tcW w:type="dxa" w:w="825"/>
          </w:tcPr>
          <w:p>
            <w:pPr>
              <w:pStyle w:val="Compact"/>
              <w:spacing w:before="20" w:after="20" w:line="240" w:lineRule="auto"/>
              <w:jc w:val="right"/>
              <w:keepNext/>
            </w:pPr>
            <w:r>
              <w:rPr>
                <w:sz w:val="15"/>
                <w:szCs w:val="15"/>
              </w:rPr>
              <w:t xml:space="preserve">37.7</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8</w:t>
            </w:r>
          </w:p>
        </w:tc>
        <w:tc>
          <w:tcPr>
            <w:tcW w:type="dxa" w:w="2250"/>
          </w:tcPr>
          <w:p>
            <w:pPr>
              <w:pStyle w:val="Compact"/>
              <w:spacing w:before="20" w:after="20" w:line="240" w:lineRule="auto"/>
              <w:keepNext/>
            </w:pPr>
            <w:r>
              <w:rPr>
                <w:sz w:val="15"/>
                <w:szCs w:val="15"/>
              </w:rPr>
              <w:t xml:space="preserve">H01L 25/0657</w:t>
            </w:r>
          </w:p>
        </w:tc>
        <w:tc>
          <w:tcPr>
            <w:tcW w:type="dxa" w:w="4051"/>
          </w:tcPr>
          <w:p>
            <w:pPr>
              <w:pStyle w:val="Compact"/>
              <w:spacing w:before="20" w:after="20" w:line="240" w:lineRule="auto"/>
              <w:keepNext/>
            </w:pPr>
            <w:r>
              <w:rPr>
                <w:sz w:val="15"/>
                <w:szCs w:val="15"/>
              </w:rPr>
              <w:t xml:space="preserve">소자의 적층 배치</w:t>
            </w:r>
          </w:p>
        </w:tc>
        <w:tc>
          <w:tcPr>
            <w:tcW w:type="dxa" w:w="600"/>
          </w:tcPr>
          <w:p>
            <w:pPr>
              <w:pStyle w:val="Compact"/>
              <w:spacing w:before="20" w:after="20" w:line="240" w:lineRule="auto"/>
              <w:jc w:val="right"/>
              <w:keepNext/>
            </w:pPr>
            <w:r>
              <w:rPr>
                <w:sz w:val="15"/>
                <w:szCs w:val="15"/>
              </w:rPr>
              <w:t xml:space="preserve">274</w:t>
            </w:r>
          </w:p>
        </w:tc>
        <w:tc>
          <w:tcPr>
            <w:tcW w:type="dxa" w:w="825"/>
          </w:tcPr>
          <w:p>
            <w:pPr>
              <w:pStyle w:val="Compact"/>
              <w:spacing w:before="20" w:after="20" w:line="240" w:lineRule="auto"/>
              <w:jc w:val="right"/>
              <w:keepNext/>
            </w:pPr>
            <w:r>
              <w:rPr>
                <w:sz w:val="15"/>
                <w:szCs w:val="15"/>
              </w:rPr>
              <w:t xml:space="preserve">29.5</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9</w:t>
            </w:r>
          </w:p>
        </w:tc>
        <w:tc>
          <w:tcPr>
            <w:tcW w:type="dxa" w:w="2250"/>
          </w:tcPr>
          <w:p>
            <w:pPr>
              <w:pStyle w:val="Compact"/>
              <w:spacing w:before="20" w:after="20" w:line="240" w:lineRule="auto"/>
              <w:keepNext/>
            </w:pPr>
            <w:r>
              <w:rPr>
                <w:sz w:val="15"/>
                <w:szCs w:val="15"/>
              </w:rPr>
              <w:t xml:space="preserve">H01L 2224/05647</w:t>
            </w:r>
          </w:p>
        </w:tc>
        <w:tc>
          <w:tcPr>
            <w:tcW w:type="dxa" w:w="4051"/>
          </w:tcPr>
          <w:p>
            <w:pPr>
              <w:pStyle w:val="Compact"/>
              <w:spacing w:before="20" w:after="20" w:line="240" w:lineRule="auto"/>
              <w:keepNext/>
            </w:pPr>
            <w:r>
              <w:rPr>
                <w:sz w:val="15"/>
                <w:szCs w:val="15"/>
              </w:rPr>
              <w:t xml:space="preserve">구리를 주성분으로 하는 접합 패드</w:t>
            </w:r>
          </w:p>
        </w:tc>
        <w:tc>
          <w:tcPr>
            <w:tcW w:type="dxa" w:w="600"/>
          </w:tcPr>
          <w:p>
            <w:pPr>
              <w:pStyle w:val="Compact"/>
              <w:spacing w:before="20" w:after="20" w:line="240" w:lineRule="auto"/>
              <w:jc w:val="right"/>
              <w:keepNext/>
            </w:pPr>
            <w:r>
              <w:rPr>
                <w:sz w:val="15"/>
                <w:szCs w:val="15"/>
              </w:rPr>
              <w:t xml:space="preserve">239</w:t>
            </w:r>
          </w:p>
        </w:tc>
        <w:tc>
          <w:tcPr>
            <w:tcW w:type="dxa" w:w="825"/>
          </w:tcPr>
          <w:p>
            <w:pPr>
              <w:pStyle w:val="Compact"/>
              <w:spacing w:before="20" w:after="20" w:line="240" w:lineRule="auto"/>
              <w:jc w:val="right"/>
              <w:keepNext/>
            </w:pPr>
            <w:r>
              <w:rPr>
                <w:sz w:val="15"/>
                <w:szCs w:val="15"/>
              </w:rPr>
              <w:t xml:space="preserve">25.8</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10</w:t>
            </w:r>
          </w:p>
        </w:tc>
        <w:tc>
          <w:tcPr>
            <w:tcW w:type="dxa" w:w="2250"/>
          </w:tcPr>
          <w:p>
            <w:pPr>
              <w:pStyle w:val="Compact"/>
              <w:spacing w:before="20" w:after="20" w:line="240" w:lineRule="auto"/>
              <w:keepNext/>
            </w:pPr>
            <w:r>
              <w:rPr>
                <w:sz w:val="15"/>
                <w:szCs w:val="15"/>
              </w:rPr>
              <w:t xml:space="preserve">H01L 24/03</w:t>
            </w:r>
          </w:p>
        </w:tc>
        <w:tc>
          <w:tcPr>
            <w:tcW w:type="dxa" w:w="4051"/>
          </w:tcPr>
          <w:p>
            <w:pPr>
              <w:pStyle w:val="Compact"/>
              <w:spacing w:before="20" w:after="20" w:line="240" w:lineRule="auto"/>
              <w:keepNext/>
            </w:pPr>
            <w:r>
              <w:rPr>
                <w:sz w:val="15"/>
                <w:szCs w:val="15"/>
              </w:rPr>
              <w:t xml:space="preserve">접합 패드의 제조 방법</w:t>
            </w:r>
          </w:p>
        </w:tc>
        <w:tc>
          <w:tcPr>
            <w:tcW w:type="dxa" w:w="600"/>
          </w:tcPr>
          <w:p>
            <w:pPr>
              <w:pStyle w:val="Compact"/>
              <w:spacing w:before="20" w:after="20" w:line="240" w:lineRule="auto"/>
              <w:jc w:val="right"/>
              <w:keepNext/>
            </w:pPr>
            <w:r>
              <w:rPr>
                <w:sz w:val="15"/>
                <w:szCs w:val="15"/>
              </w:rPr>
              <w:t xml:space="preserve">222</w:t>
            </w:r>
          </w:p>
        </w:tc>
        <w:tc>
          <w:tcPr>
            <w:tcW w:type="dxa" w:w="825"/>
          </w:tcPr>
          <w:p>
            <w:pPr>
              <w:pStyle w:val="Compact"/>
              <w:spacing w:before="20" w:after="20" w:line="240" w:lineRule="auto"/>
              <w:jc w:val="right"/>
              <w:keepNext/>
            </w:pPr>
            <w:r>
              <w:rPr>
                <w:sz w:val="15"/>
                <w:szCs w:val="15"/>
              </w:rPr>
              <w:t xml:space="preserve">23.9</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11</w:t>
            </w:r>
          </w:p>
        </w:tc>
        <w:tc>
          <w:tcPr>
            <w:tcW w:type="dxa" w:w="2250"/>
          </w:tcPr>
          <w:p>
            <w:pPr>
              <w:pStyle w:val="Compact"/>
              <w:spacing w:before="20" w:after="20" w:line="240" w:lineRule="auto"/>
              <w:keepNext/>
            </w:pPr>
            <w:r>
              <w:rPr>
                <w:sz w:val="15"/>
                <w:szCs w:val="15"/>
              </w:rPr>
              <w:t xml:space="preserve">H01L 2224/80357</w:t>
            </w:r>
          </w:p>
        </w:tc>
        <w:tc>
          <w:tcPr>
            <w:tcW w:type="dxa" w:w="4051"/>
          </w:tcPr>
          <w:p>
            <w:pPr>
              <w:pStyle w:val="Compact"/>
              <w:spacing w:before="20" w:after="20" w:line="240" w:lineRule="auto"/>
              <w:keepNext/>
            </w:pPr>
            <w:r>
              <w:rPr>
                <w:sz w:val="15"/>
                <w:szCs w:val="15"/>
              </w:rPr>
              <w:t xml:space="preserve">표면과 같은 높이의 접합 계면</w:t>
            </w:r>
          </w:p>
        </w:tc>
        <w:tc>
          <w:tcPr>
            <w:tcW w:type="dxa" w:w="600"/>
          </w:tcPr>
          <w:p>
            <w:pPr>
              <w:pStyle w:val="Compact"/>
              <w:spacing w:before="20" w:after="20" w:line="240" w:lineRule="auto"/>
              <w:jc w:val="right"/>
              <w:keepNext/>
            </w:pPr>
            <w:r>
              <w:rPr>
                <w:sz w:val="15"/>
                <w:szCs w:val="15"/>
              </w:rPr>
              <w:t xml:space="preserve">205</w:t>
            </w:r>
          </w:p>
        </w:tc>
        <w:tc>
          <w:tcPr>
            <w:tcW w:type="dxa" w:w="825"/>
          </w:tcPr>
          <w:p>
            <w:pPr>
              <w:pStyle w:val="Compact"/>
              <w:spacing w:before="20" w:after="20" w:line="240" w:lineRule="auto"/>
              <w:jc w:val="right"/>
              <w:keepNext/>
            </w:pPr>
            <w:r>
              <w:rPr>
                <w:sz w:val="15"/>
                <w:szCs w:val="15"/>
              </w:rPr>
              <w:t xml:space="preserve">22.1</w:t>
            </w:r>
          </w:p>
        </w:tc>
        <w:tc>
          <w:tcPr>
            <w:tcW w:type="dxa" w:w="742"/>
          </w:tcPr>
          <w:p>
            <w:pPr>
              <w:pStyle w:val="Compact"/>
              <w:spacing w:before="20" w:after="20" w:line="240" w:lineRule="auto"/>
              <w:jc w:val="center"/>
              <w:keepNext/>
            </w:pPr>
            <w:r>
              <w:rPr>
                <w:sz w:val="15"/>
                <w:szCs w:val="15"/>
              </w:rPr>
              <w:t xml:space="preserve">—</w:t>
            </w:r>
          </w:p>
        </w:tc>
      </w:tr>
    </w:tbl>
    <w:p>
      <w:pPr>
        <w:pStyle w:val="BodyText"/>
      </w:pPr>
      <w:r>
        <w:rPr>
          <w:i/>
          <w:iCs/>
          <w:sz w:val="20"/>
          <w:szCs w:val="20"/>
        </w:rPr>
        <w:t xml:space="preserve">주:</w:t>
      </w:r>
      <w:r>
        <w:rPr>
          <w:sz w:val="20"/>
          <w:szCs w:val="20"/>
        </w:rPr>
        <w:t xml:space="preserve"> </w:t>
      </w:r>
      <w:r>
        <w:rPr>
          <w:sz w:val="20"/>
          <w:szCs w:val="20"/>
        </w:rPr>
        <w:t xml:space="preserve">회귀 자료 열의 ○는 회귀분석에 사용하는 H01L21·H01L24 기호 레코드에 포함된 기호이며, 이 네 기호의 출원 수는 회귀 자료에서 다시 집계한 값과 같다. —는 인덱싱 코드(H01L2224)와 소자 조립체 클래스(H01L25)로, 같은 출원의 전체 CPC 기호를 별도로 집계한 값이다.</w:t>
      </w:r>
    </w:p>
    <w:p>
      <w:pPr>
        <w:pStyle w:val="BodyText"/>
      </w:pPr>
      <w:r>
        <w:rPr>
          <w:b/>
          <w:bCs/>
        </w:rPr>
        <w:t xml:space="preserve">기술 네트워크.</w:t>
      </w:r>
      <w:r>
        <w:t xml:space="preserve"> </w:t>
      </w:r>
      <w:r>
        <w:t xml:space="preserve">기술 클러스터가 개별 기호의 빈도를 보여 준다면, 기술 네트워크는 기호 간의 결합 관계를 보여 준다. 기술 네트워크는 CPC 기호를 노드로, 한 출원에 함께 부여된 서로 다른 두 기호를 무방향 연결로 구성하며, 연결의 가중치는 두 기호가 함께 부여된 출원 수이다. 표 5는 가중치가 가장 큰 상위 10개 쌍을 제시한 것이다. 가장 강한 연결은 도전성 표면의 직접 접합과 절연성 표면의 직접 접합의 쌍(460건)으로, 금속과 절연막을 동시에 접합하는 하이브리드 본딩의 원리가 연결 강도에 그대로 반영되어 있다. 나머지 아홉 쌍 역시 모두 24/08, 24/80, 2224/80895, 2224/80896, 2224/08145의 다섯 기호 가운데 두 기호의 조합이다. 즉, 하이브리드 본딩의 핵심 기술은 서로 밀접하게 연결된 소수의 접합 기호에 집중되어 있다.</w:t>
      </w:r>
    </w:p>
    <w:p>
      <w:pPr>
        <w:pStyle w:val="BodyText"/>
        <w:keepNext/>
      </w:pPr>
      <w:r>
        <w:rPr>
          <w:b/>
          <w:bCs/>
          <w:sz w:val="20"/>
          <w:szCs w:val="20"/>
        </w:rPr>
        <w:t xml:space="preserve">표 5.</w:t>
      </w:r>
      <w:r>
        <w:rPr>
          <w:sz w:val="20"/>
          <w:szCs w:val="20"/>
        </w:rPr>
        <w:t xml:space="preserve"> </w:t>
      </w:r>
      <w:r>
        <w:rPr>
          <w:sz w:val="20"/>
          <w:szCs w:val="20"/>
        </w:rPr>
        <w:t xml:space="preserve">기술 네트워크: 함께 부여된 출원이 가장 많은 기호 쌍(N = 928; 상위 10쌍).</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806"/>
        <w:gridCol w:w="4635"/>
        <w:gridCol w:w="2821"/>
        <w:gridCol w:w="806"/>
      </w:tblGrid>
      <w:tr>
        <w:trPr>
          <w:tblHeader w:val="on"/>
          <w:cantSplit/>
        </w:trPr>
        <w:tc>
          <w:tcPr>
            <w:tcW w:type="dxa" w:w="806"/>
            <w:tcBorders>
              <w:bottom w:val="single" w:sz="4" w:space="0" w:color="000000"/>
            </w:tcBorders>
          </w:tcPr>
          <w:p>
            <w:pPr>
              <w:pStyle w:val="Compact"/>
              <w:spacing w:before="20" w:after="20" w:line="240" w:lineRule="auto"/>
              <w:jc w:val="right"/>
              <w:keepNext/>
            </w:pPr>
            <w:r>
              <w:rPr>
                <w:sz w:val="18"/>
                <w:szCs w:val="18"/>
              </w:rPr>
              <w:t xml:space="preserve">순위</w:t>
            </w:r>
          </w:p>
        </w:tc>
        <w:tc>
          <w:tcPr>
            <w:tcW w:type="dxa" w:w="4635"/>
            <w:tcBorders>
              <w:bottom w:val="single" w:sz="4" w:space="0" w:color="000000"/>
            </w:tcBorders>
          </w:tcPr>
          <w:p>
            <w:pPr>
              <w:pStyle w:val="Compact"/>
              <w:spacing w:before="20" w:after="20" w:line="240" w:lineRule="auto"/>
              <w:keepNext/>
            </w:pPr>
            <w:r>
              <w:rPr>
                <w:sz w:val="18"/>
                <w:szCs w:val="18"/>
              </w:rPr>
              <w:t xml:space="preserve">기호 쌍</w:t>
            </w:r>
          </w:p>
        </w:tc>
        <w:tc>
          <w:tcPr>
            <w:tcW w:type="dxa" w:w="2821"/>
            <w:tcBorders>
              <w:bottom w:val="single" w:sz="4" w:space="0" w:color="000000"/>
            </w:tcBorders>
          </w:tcPr>
          <w:p>
            <w:pPr>
              <w:pStyle w:val="Compact"/>
              <w:spacing w:before="20" w:after="20" w:line="240" w:lineRule="auto"/>
              <w:keepNext/>
            </w:pPr>
            <w:r>
              <w:rPr>
                <w:sz w:val="18"/>
                <w:szCs w:val="18"/>
              </w:rPr>
              <w:t xml:space="preserve">내용</w:t>
            </w:r>
          </w:p>
        </w:tc>
        <w:tc>
          <w:tcPr>
            <w:tcW w:type="dxa" w:w="806"/>
            <w:tcBorders>
              <w:bottom w:val="single" w:sz="4" w:space="0" w:color="000000"/>
            </w:tcBorders>
          </w:tcPr>
          <w:p>
            <w:pPr>
              <w:pStyle w:val="Compact"/>
              <w:spacing w:before="20" w:after="20" w:line="240" w:lineRule="auto"/>
              <w:jc w:val="right"/>
              <w:keepNext/>
            </w:pPr>
            <w:r>
              <w:rPr>
                <w:sz w:val="18"/>
                <w:szCs w:val="18"/>
              </w:rPr>
              <w:t xml:space="preserve">출원 수</w:t>
            </w:r>
          </w:p>
        </w:tc>
      </w:tr>
      <w:tr>
        <w:trPr>
          <w:cantSplit/>
        </w:trPr>
        <w:tc>
          <w:tcPr>
            <w:tcW w:type="dxa" w:w="806"/>
          </w:tcPr>
          <w:p>
            <w:pPr>
              <w:pStyle w:val="Compact"/>
              <w:spacing w:before="20" w:after="20" w:line="240" w:lineRule="auto"/>
              <w:jc w:val="right"/>
              <w:keepNext/>
            </w:pPr>
            <w:r>
              <w:rPr>
                <w:sz w:val="18"/>
                <w:szCs w:val="18"/>
              </w:rPr>
              <w:t xml:space="preserve">1</w:t>
            </w:r>
          </w:p>
        </w:tc>
        <w:tc>
          <w:tcPr>
            <w:tcW w:type="dxa" w:w="4635"/>
          </w:tcPr>
          <w:p>
            <w:pPr>
              <w:pStyle w:val="Compact"/>
              <w:spacing w:before="20" w:after="20" w:line="240" w:lineRule="auto"/>
              <w:keepNext/>
            </w:pPr>
            <w:r>
              <w:rPr>
                <w:sz w:val="18"/>
                <w:szCs w:val="18"/>
              </w:rPr>
              <w:t xml:space="preserve">2224/80895 – 2224/80896</w:t>
            </w:r>
          </w:p>
        </w:tc>
        <w:tc>
          <w:tcPr>
            <w:tcW w:type="dxa" w:w="2821"/>
          </w:tcPr>
          <w:p>
            <w:pPr>
              <w:pStyle w:val="Compact"/>
              <w:spacing w:before="20" w:after="20" w:line="240" w:lineRule="auto"/>
              <w:keepNext/>
            </w:pPr>
            <w:r>
              <w:rPr>
                <w:sz w:val="18"/>
                <w:szCs w:val="18"/>
              </w:rPr>
              <w:t xml:space="preserve">도전성 표면 직접 접합 – 절연성 표면 직접 접합</w:t>
            </w:r>
          </w:p>
        </w:tc>
        <w:tc>
          <w:tcPr>
            <w:tcW w:type="dxa" w:w="806"/>
          </w:tcPr>
          <w:p>
            <w:pPr>
              <w:pStyle w:val="Compact"/>
              <w:spacing w:before="20" w:after="20" w:line="240" w:lineRule="auto"/>
              <w:jc w:val="right"/>
              <w:keepNext/>
            </w:pPr>
            <w:r>
              <w:rPr>
                <w:sz w:val="18"/>
                <w:szCs w:val="18"/>
              </w:rPr>
              <w:t xml:space="preserve">460</w:t>
            </w:r>
          </w:p>
        </w:tc>
      </w:tr>
      <w:tr>
        <w:trPr>
          <w:cantSplit/>
        </w:trPr>
        <w:tc>
          <w:tcPr>
            <w:tcW w:type="dxa" w:w="806"/>
          </w:tcPr>
          <w:p>
            <w:pPr>
              <w:pStyle w:val="Compact"/>
              <w:spacing w:before="20" w:after="20" w:line="240" w:lineRule="auto"/>
              <w:jc w:val="right"/>
              <w:keepNext/>
            </w:pPr>
            <w:r>
              <w:rPr>
                <w:sz w:val="18"/>
                <w:szCs w:val="18"/>
              </w:rPr>
              <w:t xml:space="preserve">2</w:t>
            </w:r>
          </w:p>
        </w:tc>
        <w:tc>
          <w:tcPr>
            <w:tcW w:type="dxa" w:w="4635"/>
          </w:tcPr>
          <w:p>
            <w:pPr>
              <w:pStyle w:val="Compact"/>
              <w:spacing w:before="20" w:after="20" w:line="240" w:lineRule="auto"/>
              <w:keepNext/>
            </w:pPr>
            <w:r>
              <w:rPr>
                <w:sz w:val="18"/>
                <w:szCs w:val="18"/>
              </w:rPr>
              <w:t xml:space="preserve">24/08 – 24/80</w:t>
            </w:r>
          </w:p>
        </w:tc>
        <w:tc>
          <w:tcPr>
            <w:tcW w:type="dxa" w:w="2821"/>
          </w:tcPr>
          <w:p>
            <w:pPr>
              <w:pStyle w:val="Compact"/>
              <w:spacing w:before="20" w:after="20" w:line="240" w:lineRule="auto"/>
              <w:keepNext/>
            </w:pPr>
            <w:r>
              <w:rPr>
                <w:sz w:val="18"/>
                <w:szCs w:val="18"/>
              </w:rPr>
              <w:t xml:space="preserve">연결 후 접합 패드 – 접합 패드를 이용한 연결 방법</w:t>
            </w:r>
          </w:p>
        </w:tc>
        <w:tc>
          <w:tcPr>
            <w:tcW w:type="dxa" w:w="806"/>
          </w:tcPr>
          <w:p>
            <w:pPr>
              <w:pStyle w:val="Compact"/>
              <w:spacing w:before="20" w:after="20" w:line="240" w:lineRule="auto"/>
              <w:jc w:val="right"/>
              <w:keepNext/>
            </w:pPr>
            <w:r>
              <w:rPr>
                <w:sz w:val="18"/>
                <w:szCs w:val="18"/>
              </w:rPr>
              <w:t xml:space="preserve">439</w:t>
            </w:r>
          </w:p>
        </w:tc>
      </w:tr>
      <w:tr>
        <w:trPr>
          <w:cantSplit/>
        </w:trPr>
        <w:tc>
          <w:tcPr>
            <w:tcW w:type="dxa" w:w="806"/>
          </w:tcPr>
          <w:p>
            <w:pPr>
              <w:pStyle w:val="Compact"/>
              <w:spacing w:before="20" w:after="20" w:line="240" w:lineRule="auto"/>
              <w:jc w:val="right"/>
              <w:keepNext/>
            </w:pPr>
            <w:r>
              <w:rPr>
                <w:sz w:val="18"/>
                <w:szCs w:val="18"/>
              </w:rPr>
              <w:t xml:space="preserve">3</w:t>
            </w:r>
          </w:p>
        </w:tc>
        <w:tc>
          <w:tcPr>
            <w:tcW w:type="dxa" w:w="4635"/>
          </w:tcPr>
          <w:p>
            <w:pPr>
              <w:pStyle w:val="Compact"/>
              <w:spacing w:before="20" w:after="20" w:line="240" w:lineRule="auto"/>
              <w:keepNext/>
            </w:pPr>
            <w:r>
              <w:rPr>
                <w:sz w:val="18"/>
                <w:szCs w:val="18"/>
              </w:rPr>
              <w:t xml:space="preserve">24/80 – 2224/80895</w:t>
            </w:r>
          </w:p>
        </w:tc>
        <w:tc>
          <w:tcPr>
            <w:tcW w:type="dxa" w:w="2821"/>
          </w:tcPr>
          <w:p>
            <w:pPr>
              <w:pStyle w:val="Compact"/>
              <w:spacing w:before="20" w:after="20" w:line="240" w:lineRule="auto"/>
              <w:keepNext/>
            </w:pPr>
            <w:r>
              <w:rPr>
                <w:sz w:val="18"/>
                <w:szCs w:val="18"/>
              </w:rPr>
              <w:t xml:space="preserve">접합 패드를 이용한 연결 방법 – 도전성 표면 직접 접합</w:t>
            </w:r>
          </w:p>
        </w:tc>
        <w:tc>
          <w:tcPr>
            <w:tcW w:type="dxa" w:w="806"/>
          </w:tcPr>
          <w:p>
            <w:pPr>
              <w:pStyle w:val="Compact"/>
              <w:spacing w:before="20" w:after="20" w:line="240" w:lineRule="auto"/>
              <w:jc w:val="right"/>
              <w:keepNext/>
            </w:pPr>
            <w:r>
              <w:rPr>
                <w:sz w:val="18"/>
                <w:szCs w:val="18"/>
              </w:rPr>
              <w:t xml:space="preserve">434</w:t>
            </w:r>
          </w:p>
        </w:tc>
      </w:tr>
      <w:tr>
        <w:trPr>
          <w:cantSplit/>
        </w:trPr>
        <w:tc>
          <w:tcPr>
            <w:tcW w:type="dxa" w:w="806"/>
          </w:tcPr>
          <w:p>
            <w:pPr>
              <w:pStyle w:val="Compact"/>
              <w:spacing w:before="20" w:after="20" w:line="240" w:lineRule="auto"/>
              <w:jc w:val="right"/>
              <w:keepNext/>
            </w:pPr>
            <w:r>
              <w:rPr>
                <w:sz w:val="18"/>
                <w:szCs w:val="18"/>
              </w:rPr>
              <w:t xml:space="preserve">4</w:t>
            </w:r>
          </w:p>
        </w:tc>
        <w:tc>
          <w:tcPr>
            <w:tcW w:type="dxa" w:w="4635"/>
          </w:tcPr>
          <w:p>
            <w:pPr>
              <w:pStyle w:val="Compact"/>
              <w:spacing w:before="20" w:after="20" w:line="240" w:lineRule="auto"/>
              <w:keepNext/>
            </w:pPr>
            <w:r>
              <w:rPr>
                <w:sz w:val="18"/>
                <w:szCs w:val="18"/>
              </w:rPr>
              <w:t xml:space="preserve">24/08 – 2224/80895</w:t>
            </w:r>
          </w:p>
        </w:tc>
        <w:tc>
          <w:tcPr>
            <w:tcW w:type="dxa" w:w="2821"/>
          </w:tcPr>
          <w:p>
            <w:pPr>
              <w:pStyle w:val="Compact"/>
              <w:spacing w:before="20" w:after="20" w:line="240" w:lineRule="auto"/>
              <w:keepNext/>
            </w:pPr>
            <w:r>
              <w:rPr>
                <w:sz w:val="18"/>
                <w:szCs w:val="18"/>
              </w:rPr>
              <w:t xml:space="preserve">연결 후 접합 패드 – 도전성 표면 직접 접합</w:t>
            </w:r>
          </w:p>
        </w:tc>
        <w:tc>
          <w:tcPr>
            <w:tcW w:type="dxa" w:w="806"/>
          </w:tcPr>
          <w:p>
            <w:pPr>
              <w:pStyle w:val="Compact"/>
              <w:spacing w:before="20" w:after="20" w:line="240" w:lineRule="auto"/>
              <w:jc w:val="right"/>
              <w:keepNext/>
            </w:pPr>
            <w:r>
              <w:rPr>
                <w:sz w:val="18"/>
                <w:szCs w:val="18"/>
              </w:rPr>
              <w:t xml:space="preserve">420</w:t>
            </w:r>
          </w:p>
        </w:tc>
      </w:tr>
      <w:tr>
        <w:trPr>
          <w:cantSplit/>
        </w:trPr>
        <w:tc>
          <w:tcPr>
            <w:tcW w:type="dxa" w:w="806"/>
          </w:tcPr>
          <w:p>
            <w:pPr>
              <w:pStyle w:val="Compact"/>
              <w:spacing w:before="20" w:after="20" w:line="240" w:lineRule="auto"/>
              <w:jc w:val="right"/>
              <w:keepNext/>
            </w:pPr>
            <w:r>
              <w:rPr>
                <w:sz w:val="18"/>
                <w:szCs w:val="18"/>
              </w:rPr>
              <w:t xml:space="preserve">5</w:t>
            </w:r>
          </w:p>
        </w:tc>
        <w:tc>
          <w:tcPr>
            <w:tcW w:type="dxa" w:w="4635"/>
          </w:tcPr>
          <w:p>
            <w:pPr>
              <w:pStyle w:val="Compact"/>
              <w:spacing w:before="20" w:after="20" w:line="240" w:lineRule="auto"/>
              <w:keepNext/>
            </w:pPr>
            <w:r>
              <w:rPr>
                <w:sz w:val="18"/>
                <w:szCs w:val="18"/>
              </w:rPr>
              <w:t xml:space="preserve">24/80 – 2224/80896</w:t>
            </w:r>
          </w:p>
        </w:tc>
        <w:tc>
          <w:tcPr>
            <w:tcW w:type="dxa" w:w="2821"/>
          </w:tcPr>
          <w:p>
            <w:pPr>
              <w:pStyle w:val="Compact"/>
              <w:spacing w:before="20" w:after="20" w:line="240" w:lineRule="auto"/>
              <w:keepNext/>
            </w:pPr>
            <w:r>
              <w:rPr>
                <w:sz w:val="18"/>
                <w:szCs w:val="18"/>
              </w:rPr>
              <w:t xml:space="preserve">접합 패드를 이용한 연결 방법 – 절연성 표면 직접 접합</w:t>
            </w:r>
          </w:p>
        </w:tc>
        <w:tc>
          <w:tcPr>
            <w:tcW w:type="dxa" w:w="806"/>
          </w:tcPr>
          <w:p>
            <w:pPr>
              <w:pStyle w:val="Compact"/>
              <w:spacing w:before="20" w:after="20" w:line="240" w:lineRule="auto"/>
              <w:jc w:val="right"/>
              <w:keepNext/>
            </w:pPr>
            <w:r>
              <w:rPr>
                <w:sz w:val="18"/>
                <w:szCs w:val="18"/>
              </w:rPr>
              <w:t xml:space="preserve">418</w:t>
            </w:r>
          </w:p>
        </w:tc>
      </w:tr>
      <w:tr>
        <w:trPr>
          <w:cantSplit/>
        </w:trPr>
        <w:tc>
          <w:tcPr>
            <w:tcW w:type="dxa" w:w="806"/>
          </w:tcPr>
          <w:p>
            <w:pPr>
              <w:pStyle w:val="Compact"/>
              <w:spacing w:before="20" w:after="20" w:line="240" w:lineRule="auto"/>
              <w:jc w:val="right"/>
              <w:keepNext/>
            </w:pPr>
            <w:r>
              <w:rPr>
                <w:sz w:val="18"/>
                <w:szCs w:val="18"/>
              </w:rPr>
              <w:t xml:space="preserve">6</w:t>
            </w:r>
          </w:p>
        </w:tc>
        <w:tc>
          <w:tcPr>
            <w:tcW w:type="dxa" w:w="4635"/>
          </w:tcPr>
          <w:p>
            <w:pPr>
              <w:pStyle w:val="Compact"/>
              <w:spacing w:before="20" w:after="20" w:line="240" w:lineRule="auto"/>
              <w:keepNext/>
            </w:pPr>
            <w:r>
              <w:rPr>
                <w:sz w:val="18"/>
                <w:szCs w:val="18"/>
              </w:rPr>
              <w:t xml:space="preserve">24/08 – 2224/80896</w:t>
            </w:r>
          </w:p>
        </w:tc>
        <w:tc>
          <w:tcPr>
            <w:tcW w:type="dxa" w:w="2821"/>
          </w:tcPr>
          <w:p>
            <w:pPr>
              <w:pStyle w:val="Compact"/>
              <w:spacing w:before="20" w:after="20" w:line="240" w:lineRule="auto"/>
              <w:keepNext/>
            </w:pPr>
            <w:r>
              <w:rPr>
                <w:sz w:val="18"/>
                <w:szCs w:val="18"/>
              </w:rPr>
              <w:t xml:space="preserve">연결 후 접합 패드 – 절연성 표면 직접 접합</w:t>
            </w:r>
          </w:p>
        </w:tc>
        <w:tc>
          <w:tcPr>
            <w:tcW w:type="dxa" w:w="806"/>
          </w:tcPr>
          <w:p>
            <w:pPr>
              <w:pStyle w:val="Compact"/>
              <w:spacing w:before="20" w:after="20" w:line="240" w:lineRule="auto"/>
              <w:jc w:val="right"/>
              <w:keepNext/>
            </w:pPr>
            <w:r>
              <w:rPr>
                <w:sz w:val="18"/>
                <w:szCs w:val="18"/>
              </w:rPr>
              <w:t xml:space="preserve">395</w:t>
            </w:r>
          </w:p>
        </w:tc>
      </w:tr>
      <w:tr>
        <w:trPr>
          <w:cantSplit/>
        </w:trPr>
        <w:tc>
          <w:tcPr>
            <w:tcW w:type="dxa" w:w="806"/>
          </w:tcPr>
          <w:p>
            <w:pPr>
              <w:pStyle w:val="Compact"/>
              <w:spacing w:before="20" w:after="20" w:line="240" w:lineRule="auto"/>
              <w:jc w:val="right"/>
              <w:keepNext/>
            </w:pPr>
            <w:r>
              <w:rPr>
                <w:sz w:val="18"/>
                <w:szCs w:val="18"/>
              </w:rPr>
              <w:t xml:space="preserve">7</w:t>
            </w:r>
          </w:p>
        </w:tc>
        <w:tc>
          <w:tcPr>
            <w:tcW w:type="dxa" w:w="4635"/>
          </w:tcPr>
          <w:p>
            <w:pPr>
              <w:pStyle w:val="Compact"/>
              <w:spacing w:before="20" w:after="20" w:line="240" w:lineRule="auto"/>
              <w:keepNext/>
            </w:pPr>
            <w:r>
              <w:rPr>
                <w:sz w:val="18"/>
                <w:szCs w:val="18"/>
              </w:rPr>
              <w:t xml:space="preserve">24/08 – 2224/08145</w:t>
            </w:r>
          </w:p>
        </w:tc>
        <w:tc>
          <w:tcPr>
            <w:tcW w:type="dxa" w:w="2821"/>
          </w:tcPr>
          <w:p>
            <w:pPr>
              <w:pStyle w:val="Compact"/>
              <w:spacing w:before="20" w:after="20" w:line="240" w:lineRule="auto"/>
              <w:keepNext/>
            </w:pPr>
            <w:r>
              <w:rPr>
                <w:sz w:val="18"/>
                <w:szCs w:val="18"/>
              </w:rPr>
              <w:t xml:space="preserve">연결 후 접합 패드 – 범프 없는 적층 칩 접합</w:t>
            </w:r>
          </w:p>
        </w:tc>
        <w:tc>
          <w:tcPr>
            <w:tcW w:type="dxa" w:w="806"/>
          </w:tcPr>
          <w:p>
            <w:pPr>
              <w:pStyle w:val="Compact"/>
              <w:spacing w:before="20" w:after="20" w:line="240" w:lineRule="auto"/>
              <w:jc w:val="right"/>
              <w:keepNext/>
            </w:pPr>
            <w:r>
              <w:rPr>
                <w:sz w:val="18"/>
                <w:szCs w:val="18"/>
              </w:rPr>
              <w:t xml:space="preserve">392</w:t>
            </w:r>
          </w:p>
        </w:tc>
      </w:tr>
      <w:tr>
        <w:trPr>
          <w:cantSplit/>
        </w:trPr>
        <w:tc>
          <w:tcPr>
            <w:tcW w:type="dxa" w:w="806"/>
          </w:tcPr>
          <w:p>
            <w:pPr>
              <w:pStyle w:val="Compact"/>
              <w:spacing w:before="20" w:after="20" w:line="240" w:lineRule="auto"/>
              <w:jc w:val="right"/>
              <w:keepNext/>
            </w:pPr>
            <w:r>
              <w:rPr>
                <w:sz w:val="18"/>
                <w:szCs w:val="18"/>
              </w:rPr>
              <w:t xml:space="preserve">8</w:t>
            </w:r>
          </w:p>
        </w:tc>
        <w:tc>
          <w:tcPr>
            <w:tcW w:type="dxa" w:w="4635"/>
          </w:tcPr>
          <w:p>
            <w:pPr>
              <w:pStyle w:val="Compact"/>
              <w:spacing w:before="20" w:after="20" w:line="240" w:lineRule="auto"/>
              <w:keepNext/>
            </w:pPr>
            <w:r>
              <w:rPr>
                <w:sz w:val="18"/>
                <w:szCs w:val="18"/>
              </w:rPr>
              <w:t xml:space="preserve">24/80 – 2224/08145</w:t>
            </w:r>
          </w:p>
        </w:tc>
        <w:tc>
          <w:tcPr>
            <w:tcW w:type="dxa" w:w="2821"/>
          </w:tcPr>
          <w:p>
            <w:pPr>
              <w:pStyle w:val="Compact"/>
              <w:spacing w:before="20" w:after="20" w:line="240" w:lineRule="auto"/>
              <w:keepNext/>
            </w:pPr>
            <w:r>
              <w:rPr>
                <w:sz w:val="18"/>
                <w:szCs w:val="18"/>
              </w:rPr>
              <w:t xml:space="preserve">접합 패드를 이용한 연결 방법 – 범프 없는 적층 칩 접합</w:t>
            </w:r>
          </w:p>
        </w:tc>
        <w:tc>
          <w:tcPr>
            <w:tcW w:type="dxa" w:w="806"/>
          </w:tcPr>
          <w:p>
            <w:pPr>
              <w:pStyle w:val="Compact"/>
              <w:spacing w:before="20" w:after="20" w:line="240" w:lineRule="auto"/>
              <w:jc w:val="right"/>
              <w:keepNext/>
            </w:pPr>
            <w:r>
              <w:rPr>
                <w:sz w:val="18"/>
                <w:szCs w:val="18"/>
              </w:rPr>
              <w:t xml:space="preserve">392</w:t>
            </w:r>
          </w:p>
        </w:tc>
      </w:tr>
      <w:tr>
        <w:trPr>
          <w:cantSplit/>
        </w:trPr>
        <w:tc>
          <w:tcPr>
            <w:tcW w:type="dxa" w:w="806"/>
          </w:tcPr>
          <w:p>
            <w:pPr>
              <w:pStyle w:val="Compact"/>
              <w:spacing w:before="20" w:after="20" w:line="240" w:lineRule="auto"/>
              <w:jc w:val="right"/>
              <w:keepNext/>
            </w:pPr>
            <w:r>
              <w:rPr>
                <w:sz w:val="18"/>
                <w:szCs w:val="18"/>
              </w:rPr>
              <w:t xml:space="preserve">9</w:t>
            </w:r>
          </w:p>
        </w:tc>
        <w:tc>
          <w:tcPr>
            <w:tcW w:type="dxa" w:w="4635"/>
          </w:tcPr>
          <w:p>
            <w:pPr>
              <w:pStyle w:val="Compact"/>
              <w:spacing w:before="20" w:after="20" w:line="240" w:lineRule="auto"/>
              <w:keepNext/>
            </w:pPr>
            <w:r>
              <w:rPr>
                <w:sz w:val="18"/>
                <w:szCs w:val="18"/>
              </w:rPr>
              <w:t xml:space="preserve">2224/08145 – 2224/80895</w:t>
            </w:r>
          </w:p>
        </w:tc>
        <w:tc>
          <w:tcPr>
            <w:tcW w:type="dxa" w:w="2821"/>
          </w:tcPr>
          <w:p>
            <w:pPr>
              <w:pStyle w:val="Compact"/>
              <w:spacing w:before="20" w:after="20" w:line="240" w:lineRule="auto"/>
              <w:keepNext/>
            </w:pPr>
            <w:r>
              <w:rPr>
                <w:sz w:val="18"/>
                <w:szCs w:val="18"/>
              </w:rPr>
              <w:t xml:space="preserve">범프 없는 적층 칩 접합 – 도전성 표면 직접 접합</w:t>
            </w:r>
          </w:p>
        </w:tc>
        <w:tc>
          <w:tcPr>
            <w:tcW w:type="dxa" w:w="806"/>
          </w:tcPr>
          <w:p>
            <w:pPr>
              <w:pStyle w:val="Compact"/>
              <w:spacing w:before="20" w:after="20" w:line="240" w:lineRule="auto"/>
              <w:jc w:val="right"/>
              <w:keepNext/>
            </w:pPr>
            <w:r>
              <w:rPr>
                <w:sz w:val="18"/>
                <w:szCs w:val="18"/>
              </w:rPr>
              <w:t xml:space="preserve">379</w:t>
            </w:r>
          </w:p>
        </w:tc>
      </w:tr>
      <w:tr>
        <w:trPr>
          <w:cantSplit/>
        </w:trPr>
        <w:tc>
          <w:tcPr>
            <w:tcW w:type="dxa" w:w="806"/>
          </w:tcPr>
          <w:p>
            <w:pPr>
              <w:pStyle w:val="Compact"/>
              <w:spacing w:before="20" w:after="20" w:line="240" w:lineRule="auto"/>
              <w:jc w:val="right"/>
              <w:keepNext/>
            </w:pPr>
            <w:r>
              <w:rPr>
                <w:sz w:val="18"/>
                <w:szCs w:val="18"/>
              </w:rPr>
              <w:t xml:space="preserve">10</w:t>
            </w:r>
          </w:p>
        </w:tc>
        <w:tc>
          <w:tcPr>
            <w:tcW w:type="dxa" w:w="4635"/>
          </w:tcPr>
          <w:p>
            <w:pPr>
              <w:pStyle w:val="Compact"/>
              <w:spacing w:before="20" w:after="20" w:line="240" w:lineRule="auto"/>
              <w:keepNext/>
            </w:pPr>
            <w:r>
              <w:rPr>
                <w:sz w:val="18"/>
                <w:szCs w:val="18"/>
              </w:rPr>
              <w:t xml:space="preserve">2224/08145 – 2224/80896</w:t>
            </w:r>
          </w:p>
        </w:tc>
        <w:tc>
          <w:tcPr>
            <w:tcW w:type="dxa" w:w="2821"/>
          </w:tcPr>
          <w:p>
            <w:pPr>
              <w:pStyle w:val="Compact"/>
              <w:spacing w:before="20" w:after="20" w:line="240" w:lineRule="auto"/>
              <w:keepNext/>
            </w:pPr>
            <w:r>
              <w:rPr>
                <w:sz w:val="18"/>
                <w:szCs w:val="18"/>
              </w:rPr>
              <w:t xml:space="preserve">범프 없는 적층 칩 접합 – 절연성 표면 직접 접합</w:t>
            </w:r>
          </w:p>
        </w:tc>
        <w:tc>
          <w:tcPr>
            <w:tcW w:type="dxa" w:w="806"/>
          </w:tcPr>
          <w:p>
            <w:pPr>
              <w:pStyle w:val="Compact"/>
              <w:spacing w:before="20" w:after="20" w:line="240" w:lineRule="auto"/>
              <w:jc w:val="right"/>
              <w:keepNext/>
            </w:pPr>
            <w:r>
              <w:rPr>
                <w:sz w:val="18"/>
                <w:szCs w:val="18"/>
              </w:rPr>
              <w:t xml:space="preserve">368</w:t>
            </w:r>
          </w:p>
        </w:tc>
      </w:tr>
    </w:tbl>
    <w:p>
      <w:pPr>
        <w:pStyle w:val="BodyText"/>
      </w:pPr>
      <w:r>
        <w:rPr>
          <w:i/>
          <w:iCs/>
          <w:sz w:val="20"/>
          <w:szCs w:val="20"/>
        </w:rPr>
        <w:t xml:space="preserve">주:</w:t>
      </w:r>
      <w:r>
        <w:rPr>
          <w:sz w:val="20"/>
          <w:szCs w:val="20"/>
        </w:rPr>
        <w:t xml:space="preserve"> </w:t>
      </w:r>
      <w:r>
        <w:rPr>
          <w:sz w:val="20"/>
          <w:szCs w:val="20"/>
        </w:rPr>
        <w:t xml:space="preserve">기호 앞의 H01L은 생략하였다. 2위 쌍(24/08 – 24/80)의 출원 수는 회귀 자료에서 다시 집계한 값과 같다.</w:t>
      </w:r>
    </w:p>
    <w:p>
      <w:pPr>
        <w:pStyle w:val="BodyText"/>
      </w:pPr>
      <w:r>
        <w:rPr>
          <w:b/>
          <w:bCs/>
        </w:rPr>
        <w:t xml:space="preserve">회귀 자료에서의 핵심 기술.</w:t>
      </w:r>
      <w:r>
        <w:t xml:space="preserve"> </w:t>
      </w:r>
      <w:r>
        <w:t xml:space="preserve">인덱싱 코드는 회귀 자료에 포함되어 있지 않으므로, 분석에 사용하는 핵심 기술은 회귀 자료의 H01L24(접합·인터커넥트 분류) 기호 가운데에서 선정한다.</w:t>
      </w:r>
      <w:r>
        <w:t xml:space="preserve"> </w:t>
      </w:r>
      <w:r>
        <w:rPr>
          <w:highlight w:val="yellow"/>
        </w:rPr>
        <w:t xml:space="preserve">그림 4는</w:t>
      </w:r>
      <w:r>
        <w:t xml:space="preserve"> </w:t>
      </w:r>
      <w:r>
        <w:t xml:space="preserve">회귀 자료에서 출원 30건 이상에 부여된 기호의 네트워크를 나타낸 것이다. 표 4에서 출원 200건 이상에 부여된 H01L24 기호 네 개(24/80, 24/08, 24/05, 24/03)는 이 네트워크에서도 연결 강도(함께 부여된 출원 수의 합)가 가장 큰 네 기호이며(3,235, 3,140, 2,518, 1,778), 이 네 기호가 이루는 여섯 쌍(186–439건)이 전체 네트워크에서 가장 강한 여섯 연결이다. 연결 강도와 연결의 순위는 그림의 표시 기준과 관계없이 회귀 자료의 모든 기호와 연결을 대상으로 계산하였다. 출원 수 기준으로 다섯째인 층 형태 커넥터를 이용한 연결(24/83)은 164건으로 200건 기준에 미치지 못한다. CPC 체계에서 이 네 기호는 모두 접합 패드에 관한 그룹에 속한다. 24/03과 24/05는 접합 패드의 제조와 연결 전 구조이며, 24/08과 24/80은 범프·층·와이어와 같은 별도의 커넥터 없이 접합 패드끼리 연결한 후의 구조와 그 연결 방법이다. 연결 방법의 상위 그룹(24/80)에서는 범프(24/81), 층(24/83), 와이어(24/85) 커넥터를 사용하는 방법이 하위 그룹으로 별도 분류된다. 이에 본 연구는 이 네 기호를 하이브리드 본딩의 핵심 기술로 정의한다.</w:t>
      </w:r>
    </w:p>
    <w:p>
      <w:pPr>
        <w:pStyle w:val="BodyText"/>
        <w:keepNext/>
      </w:pPr>
      <w:r>
        <w:drawing>
          <wp:inline>
            <wp:extent cx="5334000" cy="4402666"/>
            <wp:effectExtent b="0" l="0" r="0" t="0"/>
            <wp:docPr descr="" title="" id="32" name="Picture"/>
            <a:graphic>
              <a:graphicData uri="http://schemas.openxmlformats.org/drawingml/2006/picture">
                <pic:pic>
                  <pic:nvPicPr>
                    <pic:cNvPr descr="figures/fig_core_network_v58_ko.png" id="33" name="Picture"/>
                    <pic:cNvPicPr>
                      <a:picLocks noChangeArrowheads="1" noChangeAspect="1"/>
                    </pic:cNvPicPr>
                  </pic:nvPicPr>
                  <pic:blipFill>
                    <a:blip r:embed="rId31"/>
                    <a:stretch>
                      <a:fillRect/>
                    </a:stretch>
                  </pic:blipFill>
                  <pic:spPr bwMode="auto">
                    <a:xfrm>
                      <a:off x="0" y="0"/>
                      <a:ext cx="5334000" cy="4402666"/>
                    </a:xfrm>
                    <a:prstGeom prst="rect">
                      <a:avLst/>
                    </a:prstGeom>
                    <a:noFill/>
                    <a:ln w="9525">
                      <a:noFill/>
                      <a:headEnd/>
                      <a:tailEnd/>
                    </a:ln>
                  </pic:spPr>
                </pic:pic>
              </a:graphicData>
            </a:graphic>
          </wp:inline>
        </w:drawing>
      </w:r>
    </w:p>
    <w:p>
      <w:pPr>
        <w:pStyle w:val="BodyText"/>
      </w:pPr>
      <w:r>
        <w:rPr>
          <w:b/>
          <w:bCs/>
          <w:highlight w:val="yellow"/>
          <w:sz w:val="20"/>
          <w:szCs w:val="20"/>
        </w:rPr>
        <w:t xml:space="preserve">그림 4.</w:t>
      </w:r>
      <w:r>
        <w:rPr>
          <w:sz w:val="20"/>
          <w:szCs w:val="20"/>
        </w:rPr>
        <w:t xml:space="preserve"> </w:t>
      </w:r>
      <w:r>
        <w:rPr>
          <w:sz w:val="20"/>
          <w:szCs w:val="20"/>
        </w:rPr>
        <w:t xml:space="preserve">회귀 자료의 기술 네트워크(H01L21·H01L24 기호 가운데 출원 30건 이상에 부여된 기호; 원의 크기는 출원 수, 선의 굵기는 함께 부여된 출원 수이며 10건 이상인 연결만 표시; 기호 앞의 H01L은 생략).</w:t>
      </w:r>
    </w:p>
    <w:p>
      <w:pPr>
        <w:pStyle w:val="BodyText"/>
      </w:pPr>
      <w:r>
        <w:t xml:space="preserve">H01L24 기호를 보유한 출원(이하 접합 출원) 763건 가운데 620건(81.3%)이 핵심 기술을 포함하고 있어, 이와 같이 식별한 핵심 기술이 접합 출원의 대부분에 걸쳐 있음을 알 수 있다.</w:t>
      </w:r>
    </w:p>
    <w:bookmarkEnd w:id="34"/>
    <w:bookmarkStart w:id="35" w:name="분석-방법"/>
    <w:p>
      <w:pPr>
        <w:pStyle w:val="Heading3"/>
      </w:pPr>
      <w:r>
        <w:t xml:space="preserve">4.5 분석 방법</w:t>
      </w:r>
    </w:p>
    <w:p>
      <w:pPr>
        <w:pStyle w:val="FirstParagraph"/>
      </w:pPr>
      <w:r>
        <w:t xml:space="preserve">이상의 변수와 핵심 기술을 바탕으로, 본 연구는 종속변수의 측정 척도와 각 연구 질문의 분석 내용에 따라 세 가지 모형을 사용한다(표 6). 분석 단위는 출원 식별자별로 집계된 특허출원이며, 모든 모형에 출원청 더미를 통제변수로 포함한다. 제조공정 분류 보유 모형과 공동분류 유형 모형(928건)의 설명변수는 기술범위(breadth)와 출원연도(yc)이며, 핵심 기술 모형(763건)의 설명변수는 핵심 기술 보유(core), 출원 시기(period) 및 두 변수의 상호작용이다.</w:t>
      </w:r>
    </w:p>
    <w:p>
      <w:pPr>
        <w:pStyle w:val="BodyText"/>
        <w:keepNext/>
      </w:pPr>
      <w:r>
        <w:rPr>
          <w:b/>
          <w:bCs/>
          <w:sz w:val="20"/>
          <w:szCs w:val="20"/>
        </w:rPr>
        <w:t xml:space="preserve">표 6.</w:t>
      </w:r>
      <w:r>
        <w:rPr>
          <w:sz w:val="20"/>
          <w:szCs w:val="20"/>
        </w:rPr>
        <w:t xml:space="preserve"> </w:t>
      </w:r>
      <w:r>
        <w:rPr>
          <w:sz w:val="20"/>
          <w:szCs w:val="20"/>
        </w:rPr>
        <w:t xml:space="preserve">세 가지 회귀모형의 역할.</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632"/>
        <w:gridCol w:w="1677"/>
        <w:gridCol w:w="1360"/>
        <w:gridCol w:w="1496"/>
        <w:gridCol w:w="1451"/>
        <w:gridCol w:w="1451"/>
      </w:tblGrid>
      <w:tr>
        <w:trPr>
          <w:tblHeader w:val="on"/>
          <w:cantSplit/>
        </w:trPr>
        <w:tc>
          <w:tcPr>
            <w:tcW w:type="dxa" w:w="1632"/>
            <w:tcBorders>
              <w:bottom w:val="single" w:sz="4" w:space="0" w:color="000000"/>
            </w:tcBorders>
          </w:tcPr>
          <w:p>
            <w:pPr>
              <w:pStyle w:val="Compact"/>
              <w:spacing w:before="20" w:after="20" w:line="240" w:lineRule="auto"/>
              <w:keepNext/>
            </w:pPr>
            <w:r>
              <w:rPr>
                <w:sz w:val="14"/>
                <w:szCs w:val="14"/>
              </w:rPr>
              <w:t xml:space="preserve">분석 질문</w:t>
            </w:r>
          </w:p>
        </w:tc>
        <w:tc>
          <w:tcPr>
            <w:tcW w:type="dxa" w:w="1677"/>
            <w:tcBorders>
              <w:bottom w:val="single" w:sz="4" w:space="0" w:color="000000"/>
            </w:tcBorders>
          </w:tcPr>
          <w:p>
            <w:pPr>
              <w:pStyle w:val="Compact"/>
              <w:spacing w:before="20" w:after="20" w:line="240" w:lineRule="auto"/>
              <w:keepNext/>
            </w:pPr>
            <w:r>
              <w:rPr>
                <w:sz w:val="14"/>
                <w:szCs w:val="14"/>
              </w:rPr>
              <w:t xml:space="preserve">종속변수</w:t>
            </w:r>
          </w:p>
        </w:tc>
        <w:tc>
          <w:tcPr>
            <w:tcW w:type="dxa" w:w="1360"/>
            <w:tcBorders>
              <w:bottom w:val="single" w:sz="4" w:space="0" w:color="000000"/>
            </w:tcBorders>
          </w:tcPr>
          <w:p>
            <w:pPr>
              <w:pStyle w:val="Compact"/>
              <w:spacing w:before="20" w:after="20" w:line="240" w:lineRule="auto"/>
              <w:keepNext/>
            </w:pPr>
            <w:r>
              <w:rPr>
                <w:sz w:val="14"/>
                <w:szCs w:val="14"/>
              </w:rPr>
              <w:t xml:space="preserve">척도</w:t>
            </w:r>
          </w:p>
        </w:tc>
        <w:tc>
          <w:tcPr>
            <w:tcW w:type="dxa" w:w="1496"/>
            <w:tcBorders>
              <w:bottom w:val="single" w:sz="4" w:space="0" w:color="000000"/>
            </w:tcBorders>
          </w:tcPr>
          <w:p>
            <w:pPr>
              <w:pStyle w:val="Compact"/>
              <w:spacing w:before="20" w:after="20" w:line="240" w:lineRule="auto"/>
              <w:keepNext/>
            </w:pPr>
            <w:r>
              <w:rPr>
                <w:sz w:val="14"/>
                <w:szCs w:val="14"/>
              </w:rPr>
              <w:t xml:space="preserve">주모형</w:t>
            </w:r>
          </w:p>
        </w:tc>
        <w:tc>
          <w:tcPr>
            <w:tcW w:type="dxa" w:w="1451"/>
            <w:tcBorders>
              <w:bottom w:val="single" w:sz="4" w:space="0" w:color="000000"/>
            </w:tcBorders>
          </w:tcPr>
          <w:p>
            <w:pPr>
              <w:pStyle w:val="Compact"/>
              <w:spacing w:before="20" w:after="20" w:line="240" w:lineRule="auto"/>
              <w:keepNext/>
            </w:pPr>
            <w:r>
              <w:rPr>
                <w:sz w:val="14"/>
                <w:szCs w:val="14"/>
              </w:rPr>
              <w:t xml:space="preserve">보고 지표</w:t>
            </w:r>
          </w:p>
        </w:tc>
        <w:tc>
          <w:tcPr>
            <w:tcW w:type="dxa" w:w="1451"/>
            <w:tcBorders>
              <w:bottom w:val="single" w:sz="4" w:space="0" w:color="000000"/>
            </w:tcBorders>
          </w:tcPr>
          <w:p>
            <w:pPr>
              <w:pStyle w:val="Compact"/>
              <w:spacing w:before="20" w:after="20" w:line="240" w:lineRule="auto"/>
              <w:keepNext/>
            </w:pPr>
            <w:r>
              <w:rPr>
                <w:sz w:val="14"/>
                <w:szCs w:val="14"/>
              </w:rPr>
              <w:t xml:space="preserve">연구 질문</w:t>
            </w:r>
          </w:p>
        </w:tc>
      </w:tr>
      <w:tr>
        <w:trPr>
          <w:cantSplit/>
        </w:trPr>
        <w:tc>
          <w:tcPr>
            <w:tcW w:type="dxa" w:w="1632"/>
          </w:tcPr>
          <w:p>
            <w:pPr>
              <w:pStyle w:val="Compact"/>
              <w:spacing w:before="20" w:after="20" w:line="240" w:lineRule="auto"/>
              <w:keepNext/>
            </w:pPr>
            <w:r>
              <w:rPr>
                <w:sz w:val="14"/>
                <w:szCs w:val="14"/>
              </w:rPr>
              <w:t xml:space="preserve">출원이 제조공정 분류를 하나 이상 포함하는가</w:t>
            </w:r>
          </w:p>
        </w:tc>
        <w:tc>
          <w:tcPr>
            <w:tcW w:type="dxa" w:w="1677"/>
          </w:tcPr>
          <w:p>
            <w:pPr>
              <w:pStyle w:val="Compact"/>
              <w:spacing w:before="20" w:after="20" w:line="240" w:lineRule="auto"/>
              <w:keepNext/>
            </w:pPr>
            <w:r>
              <w:rPr>
                <w:sz w:val="14"/>
                <w:szCs w:val="14"/>
              </w:rPr>
              <w:t xml:space="preserve">has_process</w:t>
            </w:r>
          </w:p>
        </w:tc>
        <w:tc>
          <w:tcPr>
            <w:tcW w:type="dxa" w:w="1360"/>
          </w:tcPr>
          <w:p>
            <w:pPr>
              <w:pStyle w:val="Compact"/>
              <w:spacing w:before="20" w:after="20" w:line="240" w:lineRule="auto"/>
              <w:keepNext/>
            </w:pPr>
            <w:r>
              <w:rPr>
                <w:sz w:val="14"/>
                <w:szCs w:val="14"/>
              </w:rPr>
              <w:t xml:space="preserve">이항, 0/1</w:t>
            </w:r>
          </w:p>
        </w:tc>
        <w:tc>
          <w:tcPr>
            <w:tcW w:type="dxa" w:w="1496"/>
          </w:tcPr>
          <w:p>
            <w:pPr>
              <w:pStyle w:val="Compact"/>
              <w:spacing w:before="20" w:after="20" w:line="240" w:lineRule="auto"/>
              <w:keepNext/>
            </w:pPr>
            <w:r>
              <w:rPr>
                <w:sz w:val="14"/>
                <w:szCs w:val="14"/>
              </w:rPr>
              <w:t xml:space="preserve">이항 로짓</w:t>
            </w:r>
          </w:p>
        </w:tc>
        <w:tc>
          <w:tcPr>
            <w:tcW w:type="dxa" w:w="1451"/>
          </w:tcPr>
          <w:p>
            <w:pPr>
              <w:pStyle w:val="Compact"/>
              <w:spacing w:before="20" w:after="20" w:line="240" w:lineRule="auto"/>
              <w:keepNext/>
            </w:pPr>
            <w:r>
              <w:rPr>
                <w:sz w:val="14"/>
                <w:szCs w:val="14"/>
              </w:rPr>
              <w:t xml:space="preserve">승산비(OR)</w:t>
            </w:r>
          </w:p>
        </w:tc>
        <w:tc>
          <w:tcPr>
            <w:tcW w:type="dxa" w:w="1451"/>
          </w:tcPr>
          <w:p>
            <w:pPr>
              <w:pStyle w:val="Compact"/>
              <w:spacing w:before="20" w:after="20" w:line="240" w:lineRule="auto"/>
              <w:keepNext/>
            </w:pPr>
            <w:r>
              <w:rPr>
                <w:sz w:val="14"/>
                <w:szCs w:val="14"/>
              </w:rPr>
              <w:t xml:space="preserve">RQ1·RQ2 보완분석</w:t>
            </w:r>
          </w:p>
        </w:tc>
      </w:tr>
      <w:tr>
        <w:trPr>
          <w:cantSplit/>
        </w:trPr>
        <w:tc>
          <w:tcPr>
            <w:tcW w:type="dxa" w:w="1632"/>
          </w:tcPr>
          <w:p>
            <w:pPr>
              <w:pStyle w:val="Compact"/>
              <w:spacing w:before="20" w:after="20" w:line="240" w:lineRule="auto"/>
              <w:keepNext/>
            </w:pPr>
            <w:r>
              <w:rPr>
                <w:sz w:val="14"/>
                <w:szCs w:val="14"/>
              </w:rPr>
              <w:t xml:space="preserve">출원이 세 공동분류 유형 가운데 어디에 속하는가</w:t>
            </w:r>
          </w:p>
        </w:tc>
        <w:tc>
          <w:tcPr>
            <w:tcW w:type="dxa" w:w="1677"/>
          </w:tcPr>
          <w:p>
            <w:pPr>
              <w:pStyle w:val="Compact"/>
              <w:spacing w:before="20" w:after="20" w:line="240" w:lineRule="auto"/>
              <w:keepNext/>
            </w:pPr>
            <w:r>
              <w:rPr>
                <w:sz w:val="14"/>
                <w:szCs w:val="14"/>
              </w:rPr>
              <w:t xml:space="preserve">tech_cat</w:t>
            </w:r>
          </w:p>
        </w:tc>
        <w:tc>
          <w:tcPr>
            <w:tcW w:type="dxa" w:w="1360"/>
          </w:tcPr>
          <w:p>
            <w:pPr>
              <w:pStyle w:val="Compact"/>
              <w:spacing w:before="20" w:after="20" w:line="240" w:lineRule="auto"/>
              <w:keepNext/>
            </w:pPr>
            <w:r>
              <w:rPr>
                <w:sz w:val="14"/>
                <w:szCs w:val="14"/>
              </w:rPr>
              <w:t xml:space="preserve">순서 없는 3범주</w:t>
            </w:r>
          </w:p>
        </w:tc>
        <w:tc>
          <w:tcPr>
            <w:tcW w:type="dxa" w:w="1496"/>
          </w:tcPr>
          <w:p>
            <w:pPr>
              <w:pStyle w:val="Compact"/>
              <w:spacing w:before="20" w:after="20" w:line="240" w:lineRule="auto"/>
              <w:keepNext/>
            </w:pPr>
            <w:r>
              <w:rPr>
                <w:sz w:val="14"/>
                <w:szCs w:val="14"/>
              </w:rPr>
              <w:t xml:space="preserve">다항 로짓(기준 = 접합 단독형)</w:t>
            </w:r>
          </w:p>
        </w:tc>
        <w:tc>
          <w:tcPr>
            <w:tcW w:type="dxa" w:w="1451"/>
          </w:tcPr>
          <w:p>
            <w:pPr>
              <w:pStyle w:val="Compact"/>
              <w:spacing w:before="20" w:after="20" w:line="240" w:lineRule="auto"/>
              <w:keepNext/>
            </w:pPr>
            <w:r>
              <w:rPr>
                <w:sz w:val="14"/>
                <w:szCs w:val="14"/>
              </w:rPr>
              <w:t xml:space="preserve">상대위험비(RRR)</w:t>
            </w:r>
          </w:p>
        </w:tc>
        <w:tc>
          <w:tcPr>
            <w:tcW w:type="dxa" w:w="1451"/>
          </w:tcPr>
          <w:p>
            <w:pPr>
              <w:pStyle w:val="Compact"/>
              <w:spacing w:before="20" w:after="20" w:line="240" w:lineRule="auto"/>
              <w:keepNext/>
            </w:pPr>
            <w:r>
              <w:rPr>
                <w:sz w:val="14"/>
                <w:szCs w:val="14"/>
              </w:rPr>
              <w:t xml:space="preserve">RQ1·RQ2</w:t>
            </w:r>
          </w:p>
        </w:tc>
      </w:tr>
      <w:tr>
        <w:trPr>
          <w:cantSplit/>
        </w:trPr>
        <w:tc>
          <w:tcPr>
            <w:tcW w:type="dxa" w:w="1632"/>
          </w:tcPr>
          <w:p>
            <w:pPr>
              <w:pStyle w:val="Compact"/>
              <w:spacing w:before="20" w:after="20" w:line="240" w:lineRule="auto"/>
              <w:keepNext/>
            </w:pPr>
            <w:r>
              <w:rPr>
                <w:sz w:val="14"/>
                <w:szCs w:val="14"/>
              </w:rPr>
              <w:t xml:space="preserve">접합 기호를 가진 출원이 제조공정 기호도 함께 가지는가</w:t>
            </w:r>
          </w:p>
        </w:tc>
        <w:tc>
          <w:tcPr>
            <w:tcW w:type="dxa" w:w="1677"/>
          </w:tcPr>
          <w:p>
            <w:pPr>
              <w:pStyle w:val="Compact"/>
              <w:spacing w:before="20" w:after="20" w:line="240" w:lineRule="auto"/>
              <w:keepNext/>
            </w:pPr>
            <w:r>
              <w:rPr>
                <w:sz w:val="14"/>
                <w:szCs w:val="14"/>
              </w:rPr>
              <w:t xml:space="preserve">통합형 여부(H01L24 보유 출원)</w:t>
            </w:r>
          </w:p>
        </w:tc>
        <w:tc>
          <w:tcPr>
            <w:tcW w:type="dxa" w:w="1360"/>
          </w:tcPr>
          <w:p>
            <w:pPr>
              <w:pStyle w:val="Compact"/>
              <w:spacing w:before="20" w:after="20" w:line="240" w:lineRule="auto"/>
              <w:keepNext/>
            </w:pPr>
            <w:r>
              <w:rPr>
                <w:sz w:val="14"/>
                <w:szCs w:val="14"/>
              </w:rPr>
              <w:t xml:space="preserve">이항, 0/1</w:t>
            </w:r>
          </w:p>
        </w:tc>
        <w:tc>
          <w:tcPr>
            <w:tcW w:type="dxa" w:w="1496"/>
          </w:tcPr>
          <w:p>
            <w:pPr>
              <w:pStyle w:val="Compact"/>
              <w:spacing w:before="20" w:after="20" w:line="240" w:lineRule="auto"/>
              <w:keepNext/>
            </w:pPr>
            <w:r>
              <w:rPr>
                <w:sz w:val="14"/>
                <w:szCs w:val="14"/>
              </w:rPr>
              <w:t xml:space="preserve">이항 로짓(핵심 기술 × 출원 시기)</w:t>
            </w:r>
          </w:p>
        </w:tc>
        <w:tc>
          <w:tcPr>
            <w:tcW w:type="dxa" w:w="1451"/>
          </w:tcPr>
          <w:p>
            <w:pPr>
              <w:pStyle w:val="Compact"/>
              <w:spacing w:before="20" w:after="20" w:line="240" w:lineRule="auto"/>
              <w:keepNext/>
            </w:pPr>
            <w:r>
              <w:rPr>
                <w:sz w:val="14"/>
                <w:szCs w:val="14"/>
              </w:rPr>
              <w:t xml:space="preserve">시기별 승산비(OR)</w:t>
            </w:r>
          </w:p>
        </w:tc>
        <w:tc>
          <w:tcPr>
            <w:tcW w:type="dxa" w:w="1451"/>
          </w:tcPr>
          <w:p>
            <w:pPr>
              <w:pStyle w:val="Compact"/>
              <w:spacing w:before="20" w:after="20" w:line="240" w:lineRule="auto"/>
              <w:keepNext/>
            </w:pPr>
            <w:r>
              <w:rPr>
                <w:sz w:val="14"/>
                <w:szCs w:val="14"/>
              </w:rPr>
              <w:t xml:space="preserve">RQ3</w:t>
            </w:r>
          </w:p>
        </w:tc>
      </w:tr>
    </w:tbl>
    <w:p>
      <w:pPr>
        <w:pStyle w:val="BodyText"/>
      </w:pPr>
      <w:r>
        <w:rPr>
          <w:b/>
          <w:bCs/>
        </w:rPr>
        <w:t xml:space="preserve">제조공정 분류 보유 모형: 이항 로짓</w:t>
      </w:r>
      <w:r>
        <w:rPr>
          <w:b/>
          <w:bCs/>
          <w:highlight w:val="yellow"/>
        </w:rPr>
        <w:t xml:space="preserve">(보완분석)</w:t>
      </w:r>
      <w:r>
        <w:rPr>
          <w:b/>
          <w:bCs/>
        </w:rPr>
        <w:t xml:space="preserve">.</w:t>
      </w:r>
      <w:r>
        <w:t xml:space="preserve"> </w:t>
      </w:r>
      <w:r>
        <w:t xml:space="preserve">has_process는 H01L21(제조공정 분류) 계열 기호를 하나 이상 보유하면 1, 그렇지 않으면 0이다. 통합형 425건과 공정 단독형 165건이 1에, 접합 단독형 338건이 0에 해당한다. 종속변수가 두 상태만을 가지므로 확률을 0과 1 사이로 제한하는 이항 로짓(log[P/(1 − P)] = β₀ + β₁·breadth + β₂·yc + Σγ_k·ccode_k)으로 추정하고, 결과는 승산비(OR)로 보고한다. OR은 확률이 아니라 승산(오즈)의 배율이다. 예를 들어 OR이 1.5라는 것은 제조공정 분류를 가질 승산이 1.5배라는 의미이며, 확률이 50% 높다는 의미로 해석해서는 안 된다. 이 모형은 통합형과 공정 단독형을 제조공정 분류 보유 출원으로 묶어 어떠한 특성의 출원에서 제조공정 분류가 전반적으로 관찰되는지를 확인하는 보완분석이며, 주분석은 아니다.</w:t>
      </w:r>
    </w:p>
    <w:p>
      <w:pPr>
        <w:pStyle w:val="BodyText"/>
      </w:pPr>
      <w:r>
        <w:rPr>
          <w:b/>
          <w:bCs/>
        </w:rPr>
        <w:t xml:space="preserve">공동분류 유형 모형:</w:t>
      </w:r>
      <w:r>
        <w:rPr>
          <w:b/>
          <w:bCs/>
        </w:rPr>
        <w:t xml:space="preserve"> </w:t>
      </w:r>
      <w:r>
        <w:rPr>
          <w:b/>
          <w:bCs/>
          <w:highlight w:val="yellow"/>
        </w:rPr>
        <w:t xml:space="preserve">다항 로짓</w:t>
      </w:r>
      <w:r>
        <w:rPr>
          <w:b/>
          <w:bCs/>
        </w:rPr>
        <w:t xml:space="preserve">.</w:t>
      </w:r>
      <w:r>
        <w:t xml:space="preserve"> </w:t>
      </w:r>
      <w:r>
        <w:t xml:space="preserve">tech_cat의 세 범주는 크기의 순서가 아니라 서로 다른 CPC 구성 방식을 나타내므로, 순서형 로짓이 아닌 다항 로짓(McFadden, 1974)을 사용한다. 접합 단독형을 기준 범주로 설정하면, 접합 기호만 보유한 출원에 대비하여 제조공정 분류가 함께 나타나는 통합형과 접합 분류 없이 제조공정만 나타나는 공정 단독형의 상대적 발생 가능성을 각각 추정할 수 있다. 결과는 통합형 대 접합 단독형, 공정 단독형 대 접합 단독형의 상대위험비(RRR)로 보고한다. RRR이 1.4라는 것은 설명변수가 1단위 증가할 때 해당 유형 대 접합 단독형의 상대위험이 1.4배가 된다는 의미이며, 해당 유형의 절대확률이 같은 비율로 변화한다는 의미는 아니다. 이 모형은</w:t>
      </w:r>
      <w:r>
        <w:t xml:space="preserve"> </w:t>
      </w:r>
      <w:r>
        <w:rPr>
          <w:highlight w:val="yellow"/>
        </w:rPr>
        <w:t xml:space="preserve">기술범위와 통합형, 출원연도와 공정 단독형의 관계를 분석하는</w:t>
      </w:r>
      <w:r>
        <w:t xml:space="preserve"> </w:t>
      </w:r>
      <w:r>
        <w:t xml:space="preserve">주모형이다.</w:t>
      </w:r>
    </w:p>
    <w:p>
      <w:pPr>
        <w:pStyle w:val="BodyText"/>
      </w:pPr>
      <w:r>
        <w:rPr>
          <w:b/>
          <w:bCs/>
        </w:rPr>
        <w:t xml:space="preserve">기술범위를 로짓 모형에 포함할 때의 해석상 제약.</w:t>
      </w:r>
      <w:r>
        <w:t xml:space="preserve"> </w:t>
      </w:r>
      <w:r>
        <w:t xml:space="preserve">기술범위와 공동분류 유형은 동일한 H01L21·H01L24 CPC 정보로부터 산출된다. 통합형은 두 클래스의 기호를 각각 하나 이상 보유해야 하므로 최소 breadth가 2인 반면, 단독형은 1이다. 이 최소치 차이에 대한 민감도는 제4.3절의 유형 최소치 조정 CPC 범위(breadth_adj)로 확인하되, 이 지표 역시 유형 정보를 이용하므로 탐색적 강건성 분석에 한정하여 사용한다.</w:t>
      </w:r>
    </w:p>
    <w:p>
      <w:pPr>
        <w:pStyle w:val="BodyText"/>
      </w:pPr>
      <w:r>
        <w:rPr>
          <w:b/>
          <w:bCs/>
        </w:rPr>
        <w:t xml:space="preserve">핵심 기술 모형:</w:t>
      </w:r>
      <w:r>
        <w:rPr>
          <w:b/>
          <w:bCs/>
        </w:rPr>
        <w:t xml:space="preserve"> </w:t>
      </w:r>
      <w:r>
        <w:rPr>
          <w:b/>
          <w:bCs/>
          <w:highlight w:val="yellow"/>
        </w:rPr>
        <w:t xml:space="preserve">이항 로짓</w:t>
      </w:r>
      <w:r>
        <w:rPr>
          <w:b/>
          <w:bCs/>
        </w:rPr>
        <w:t xml:space="preserve">.</w:t>
      </w:r>
      <w:r>
        <w:t xml:space="preserve"> </w:t>
      </w:r>
      <w:r>
        <w:t xml:space="preserve">핵심 기술은 접합 기호이므로 공정 단독형 출원은 정의상 핵심 기술을 보유할 수 없다. 따라서</w:t>
      </w:r>
      <w:r>
        <w:t xml:space="preserve"> </w:t>
      </w:r>
      <w:r>
        <w:rPr>
          <w:highlight w:val="yellow"/>
        </w:rPr>
        <w:t xml:space="preserve">핵심 기술 모형은</w:t>
      </w:r>
      <w:r>
        <w:t xml:space="preserve"> </w:t>
      </w:r>
      <w:r>
        <w:t xml:space="preserve">H01L24 기호를 보유한 출원 763건(통합형 425건, 접합 단독형 338건)을 대상으로 통합형 여부를 종속변수로 하는 이항 로짓으로 분석한다. 이 모형은 접합 기호를 보유한 출원 가운데 어떠한 출원이 제조공정 기호도 함께 보유하는지를 분석하며, 부록 A의 대안 제외 민감도 분석과 동일한 표본을 사용한다. 모형은 log[P/(1 − P)] = β₀ + β₁·core + Σδ_t·period_t + Σθ_t·(core × period_t) + Σγ_k·ccode_k이다. 2014년 이전 출원에서 핵심 기술의 승산비는 exp(β₁)이고, 2015–2019년과 2020–2024년에는 exp(β₁ + θ_t)이며, exp(θ_t)는 각 시기의 승산비가 2014년 이전의 몇 배인지를 나타낸다. 핵심 기술을 포함한 출원의 통합형 우위가 최근으로 올수록 감소하였다면, 2014년 이전의 승산비는 1보다 크고 θ_t는 0보다 작게 나타날 것이다. 시기별 승산비의 95% 신뢰구간은 두 계수 합의 표준오차로 계산하며, 표준오차는 이분산에 강건한 방식으로 추정한다. 출원연도를 선형으로 투입하지 않고 세 시기로 구분한 것은 기술 순환의 단계를 근사하기 위함이다</w:t>
      </w:r>
      <w:r>
        <w:rPr>
          <w:highlight w:val="yellow"/>
        </w:rPr>
        <w:t xml:space="preserve">(Lee et al., 2017)</w:t>
      </w:r>
      <w:r>
        <w:t xml:space="preserve">. 핵심 기호를 제외한 접합 기호 수를 통제한 결과는 제5.4절에 제시한다.</w:t>
      </w:r>
    </w:p>
    <w:p>
      <w:pPr>
        <w:pStyle w:val="BodyText"/>
      </w:pPr>
      <w:r>
        <w:rPr>
          <w:b/>
          <w:bCs/>
        </w:rPr>
        <w:t xml:space="preserve">융합의 보조 지표.</w:t>
      </w:r>
      <w:r>
        <w:t xml:space="preserve"> </w:t>
      </w:r>
      <w:r>
        <w:rPr>
          <w:highlight w:val="yellow"/>
        </w:rPr>
        <w:t xml:space="preserve">융합 중심의</w:t>
      </w:r>
      <w:r>
        <w:t xml:space="preserve"> </w:t>
      </w:r>
      <w:r>
        <w:t xml:space="preserve">이동을 개별 기호보다 넓은 수준에서 확인하기 위해 두 가지 지표를 시기별로 산출한다. 첫째, 제4.2절의 세 제조공정 영역(웨이퍼 제조공정, 공정 장치, 패키징 단계 공정)이 각각 접합 기호(H01L24)와 한 출원에 함께 부여되는 정도, 즉 결합 강도를 Jaccard 계수로 측정한다(Jaccard, 1912). Jaccard 계수는 두 영역의 기호를 함께 보유한 출원 수를 둘 가운데 하나라도 보유한 출원 수로 나눈 값으로, 단순한 공출현 빈도와 달리 영역별 출원 규모의 차이를 보정한다. 둘째, 제4.4절의 회귀 자료 네트워크와 같은 방식으로 시기별 기술 네트워크를 구성하여, 연결 강도가 큰 기호를 다른 기호와 가장 빈번하게 함께 부여되는 허브로, 매개 중심성(betweenness centrality)이 큰 기호를 서로 다른 기호들을 잇는 연결 기호로 간주한다. 매개 중심성은 다른 기호 쌍을 잇는 최단 경로 위에 해당 기호가 위치하는 정도이며(Freeman, 1977), 연결의 가중치를 고려하지 않고 계산한다.</w:t>
      </w:r>
    </w:p>
    <w:p>
      <w:pPr>
        <w:pStyle w:val="BodyText"/>
      </w:pPr>
      <w:r>
        <w:rPr>
          <w:b/>
          <w:bCs/>
        </w:rPr>
        <w:t xml:space="preserve">예측확률.</w:t>
      </w:r>
      <w:r>
        <w:t xml:space="preserve"> </w:t>
      </w:r>
      <w:r>
        <w:t xml:space="preserve">OR과 RRR은 비율 척도이므로 실제 확률 변화의 크기를 직관적으로 보여 주기 어렵다. 따라서 다항 로짓에 대해서는 관심 설명변수(기술범위, 출원연도)만 변화시키고 나머지 변수는 각 출원의 관측값으로 고정한 상태에서 표본 전체에 대해 평균한 평균 예측확률을 함께 제시한다(제5.1절, 제5.2절). 핵심 기술 모형에 대해서는 시기별·핵심 기술 보유 여부별 통합형 비중을 함께 제시한다(제5.3절).</w:t>
      </w:r>
    </w:p>
    <w:p>
      <w:pPr>
        <w:pStyle w:val="BodyText"/>
      </w:pPr>
      <w:r>
        <w:rPr>
          <w:b/>
          <w:bCs/>
        </w:rPr>
        <w:t xml:space="preserve">강건성과 해석 원칙.</w:t>
      </w:r>
      <w:r>
        <w:t xml:space="preserve"> </w:t>
      </w:r>
      <w:r>
        <w:t xml:space="preserve">결과가 전구 기술을 포함한 광의 표본에 의존하는지는</w:t>
      </w:r>
      <w:r>
        <w:t xml:space="preserve"> </w:t>
      </w:r>
      <w:r>
        <w:rPr>
          <w:i/>
          <w:iCs/>
        </w:rPr>
        <w:t xml:space="preserve">hybrid bonding</w:t>
      </w:r>
      <w:r>
        <w:t xml:space="preserve"> </w:t>
      </w:r>
      <w:r>
        <w:t xml:space="preserve">표본으로, 검색어의 다른 의미가 결과를 왜곡하는지는 무관 용법 제외 표본으로, H01L21의 경계 설정에 민감한지는 좁은 제조공정 정의로, 반복·유사 발명의 영향은 동일 제목 중복 제거 표본으로 각각 확인한다. 핵심 기술 모형에는 핵심 기호를 제외한 접합 기호 수를 통제한 모형과, 핵심 기술을 가장 강한 쌍(24/08, 24/80)으로 한정한 정의를 추가한다.</w:t>
      </w:r>
      <w:r>
        <w:t xml:space="preserve"> </w:t>
      </w:r>
      <w:r>
        <w:rPr>
          <w:i/>
          <w:iCs/>
        </w:rPr>
        <w:t xml:space="preserve">hybrid bonding</w:t>
      </w:r>
      <w:r>
        <w:t xml:space="preserve"> </w:t>
      </w:r>
      <w:r>
        <w:t xml:space="preserve">표본은 2019년 이전에 핵심 기술이 없는 접합 출원이 12건에 불과하여 핵심 기술 모형에는 사용하지 않는다. 동일한 제목의 출원이 여러 출원청에 반복되어 관측치가 독립적이지 않을 가능성에 대해서는, 동일 제목을 군집으로 하는 군집강건 표준오차로 유의성을 재계산한다. 이 방식에서 계수는 동일하고 표준오차만 달라진다. 다항 로짓이 가정하는 무관 대안의 독립성(IIA)에 대해서는 정식 검정 대신, 공정 단독형을 제외하고 통합형 대 접합 단독형의 이항 로짓을 추정하여 실질적 해석이 유지되는지를 확인하는 대안 제외 민감도 분석을 부록 A에 제시하였다. 결과 해석에는 5% 유의수준을 적용하되 단일 p값만으로 판단하지 않고, 기준모형과 대안 표본·정의, 군집 표준오차에서 계수의 방향, 효과 크기, 유의성이 일관되는지를 종합적으로 검토한다. p ≥ 0.05는 효과가 없다는 증명이 아니라 5% 수준에서 명확한 증거가 부족하다는 의미이며, 핵심 효과비에는 95% 신뢰구간을 함께 제시한다. 모든 계수는 인과효과가 아니라 관찰된 변수를 통제한 조건부 연관으로 해석한다.</w:t>
      </w:r>
    </w:p>
    <w:bookmarkEnd w:id="35"/>
    <w:bookmarkEnd w:id="36"/>
    <w:bookmarkStart w:id="47" w:name="결과"/>
    <w:p>
      <w:pPr>
        <w:pStyle w:val="Heading2"/>
      </w:pPr>
      <w:r>
        <w:t xml:space="preserve">5. 결과</w:t>
      </w:r>
    </w:p>
    <w:p>
      <w:pPr>
        <w:pStyle w:val="FirstParagraph"/>
      </w:pPr>
      <w:r>
        <w:t xml:space="preserve">본 절에서는</w:t>
      </w:r>
      <w:r>
        <w:t xml:space="preserve"> </w:t>
      </w:r>
      <w:r>
        <w:rPr>
          <w:highlight w:val="yellow"/>
        </w:rPr>
        <w:t xml:space="preserve">세 연구 질문의</w:t>
      </w:r>
      <w:r>
        <w:t xml:space="preserve"> </w:t>
      </w:r>
      <w:r>
        <w:t xml:space="preserve">순서에 따라 분석 결과를 제시하고(제5.1–5.3절), 제5.4절에서 결과의 강건성을 검증한다.</w:t>
      </w:r>
    </w:p>
    <w:bookmarkStart w:id="40" w:name="기술융합의-수준과-유형-rq1"/>
    <w:p>
      <w:pPr>
        <w:pStyle w:val="Heading3"/>
      </w:pPr>
      <w:r>
        <w:t xml:space="preserve">5.1 기술융합의 수준과 유형 (RQ1)</w:t>
      </w:r>
    </w:p>
    <w:p>
      <w:pPr>
        <w:pStyle w:val="FirstParagraph"/>
      </w:pPr>
      <w:r>
        <w:t xml:space="preserve">먼저 공정 단계 간 융합이 어느 정도로 나타나며 어떠한 형태로 구성되는지를 살펴본다. 전체 928건 가운데 통합형은 425건(45.8%)으로 가장 큰 비중을 차지하였으며, 패키징 단계 공정을 제조공정에서 제외한 좁은 정의에서도 37.2%에 달하였다(제5.4절). 즉, 하이브리드 본딩 관련 특허에서 두 공정의 융합은 예외적인 현상이 아니다.</w:t>
      </w:r>
    </w:p>
    <w:p>
      <w:pPr>
        <w:pStyle w:val="BodyText"/>
      </w:pPr>
      <w:r>
        <w:t xml:space="preserve">이러한 융합이 어떠한 특허에서 나타나는지를 확인하기 위해, 먼저 출원이 제조공정 기호(H01L21)를 보유하는지에 대한 이항 로짓 결과를 표 7에 제시하였다. 기술범위는 제조공정 기호의 보유와 강한 양의 관계를 보여, 세부 분류가 하나 증가할 때마다 제조공정 기호를 가질 승산이 약 27% 높아졌다(OR 1.267, p &lt; 0.01). 모형의 판별력을 나타내는 ROC 곡선 아래 면적(AUC)은 0.707로, Hosmer et al.(2013)의 기준에서 수용 가능한 수준의 하단에 해당한다. 출원연도의 계수는 제5.2절에서 논의한다.</w:t>
      </w:r>
    </w:p>
    <w:p>
      <w:pPr>
        <w:pStyle w:val="BodyText"/>
        <w:keepNext/>
      </w:pPr>
      <w:r>
        <w:rPr>
          <w:b/>
          <w:bCs/>
          <w:sz w:val="20"/>
          <w:szCs w:val="20"/>
        </w:rPr>
        <w:t xml:space="preserve">표 7.</w:t>
      </w:r>
      <w:r>
        <w:rPr>
          <w:sz w:val="20"/>
          <w:szCs w:val="20"/>
        </w:rPr>
        <w:t xml:space="preserve"> </w:t>
      </w:r>
      <w:r>
        <w:rPr>
          <w:sz w:val="20"/>
          <w:szCs w:val="20"/>
        </w:rPr>
        <w:t xml:space="preserve">제조공정 분류 여부의 이항 로짓(종속변수 has_process; N = 928; 출원청 더미 7개 포함(계수 생략); 로그우도 −547.6; 우도비 χ²(9) = 122.0, p &lt; 0.001; McFadden 의사 R² = 0.100; AIC 1,115.1; AUC 0.707; 괄호 안은 로그 계수의 표준오차; * p &lt; 0.10, ** p &lt; 0.05, *** p &lt; 0.01).</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996"/>
        <w:gridCol w:w="1879"/>
        <w:gridCol w:w="2696"/>
        <w:gridCol w:w="1498"/>
      </w:tblGrid>
      <w:tr>
        <w:trPr>
          <w:tblHeader w:val="on"/>
          <w:cantSplit/>
        </w:trPr>
        <w:tc>
          <w:tcPr>
            <w:tcW w:type="dxa" w:w="2996"/>
            <w:tcBorders>
              <w:bottom w:val="single" w:sz="4" w:space="0" w:color="000000"/>
            </w:tcBorders>
          </w:tcPr>
          <w:p>
            <w:pPr>
              <w:pStyle w:val="Compact"/>
              <w:spacing w:before="20" w:after="20" w:line="240" w:lineRule="auto"/>
              <w:keepNext/>
            </w:pPr>
          </w:p>
        </w:tc>
        <w:tc>
          <w:tcPr>
            <w:tcW w:type="dxa" w:w="1879"/>
            <w:tcBorders>
              <w:bottom w:val="single" w:sz="4" w:space="0" w:color="000000"/>
            </w:tcBorders>
          </w:tcPr>
          <w:p>
            <w:pPr>
              <w:pStyle w:val="Compact"/>
              <w:spacing w:before="20" w:after="20" w:line="240" w:lineRule="auto"/>
              <w:jc w:val="center"/>
              <w:keepNext/>
            </w:pPr>
            <w:r>
              <w:rPr>
                <w:sz w:val="18"/>
                <w:szCs w:val="18"/>
              </w:rPr>
              <w:t xml:space="preserve">승산비</w:t>
            </w:r>
          </w:p>
        </w:tc>
        <w:tc>
          <w:tcPr>
            <w:tcW w:type="dxa" w:w="2696"/>
            <w:tcBorders>
              <w:bottom w:val="single" w:sz="4" w:space="0" w:color="000000"/>
            </w:tcBorders>
          </w:tcPr>
          <w:p>
            <w:pPr>
              <w:pStyle w:val="Compact"/>
              <w:spacing w:before="20" w:after="20" w:line="240" w:lineRule="auto"/>
              <w:jc w:val="center"/>
              <w:keepNext/>
            </w:pPr>
            <w:r>
              <w:rPr>
                <w:sz w:val="18"/>
                <w:szCs w:val="18"/>
              </w:rPr>
              <w:t xml:space="preserve">로그 계수 표준오차</w:t>
            </w:r>
          </w:p>
        </w:tc>
        <w:tc>
          <w:tcPr>
            <w:tcW w:type="dxa" w:w="1498"/>
            <w:tcBorders>
              <w:bottom w:val="single" w:sz="4" w:space="0" w:color="000000"/>
            </w:tcBorders>
          </w:tcPr>
          <w:p>
            <w:pPr>
              <w:pStyle w:val="Compact"/>
              <w:spacing w:before="20" w:after="20" w:line="240" w:lineRule="auto"/>
              <w:jc w:val="center"/>
              <w:keepNext/>
            </w:pPr>
            <w:r>
              <w:rPr>
                <w:sz w:val="18"/>
                <w:szCs w:val="18"/>
              </w:rPr>
              <w:t xml:space="preserve">p</w:t>
            </w:r>
          </w:p>
        </w:tc>
      </w:tr>
      <w:tr>
        <w:trPr>
          <w:cantSplit/>
        </w:trPr>
        <w:tc>
          <w:tcPr>
            <w:tcW w:type="dxa" w:w="2996"/>
          </w:tcPr>
          <w:p>
            <w:pPr>
              <w:pStyle w:val="Compact"/>
              <w:spacing w:before="20" w:after="20" w:line="240" w:lineRule="auto"/>
              <w:keepNext/>
            </w:pPr>
            <w:r>
              <w:rPr>
                <w:sz w:val="18"/>
                <w:szCs w:val="18"/>
              </w:rPr>
              <w:t xml:space="preserve">기술범위</w:t>
            </w:r>
          </w:p>
        </w:tc>
        <w:tc>
          <w:tcPr>
            <w:tcW w:type="dxa" w:w="1879"/>
          </w:tcPr>
          <w:p>
            <w:pPr>
              <w:pStyle w:val="Compact"/>
              <w:spacing w:before="20" w:after="20" w:line="240" w:lineRule="auto"/>
              <w:jc w:val="center"/>
              <w:keepNext/>
            </w:pPr>
            <w:r>
              <w:rPr>
                <w:sz w:val="18"/>
                <w:szCs w:val="18"/>
              </w:rPr>
              <w:t xml:space="preserve">1.267***</w:t>
            </w:r>
          </w:p>
        </w:tc>
        <w:tc>
          <w:tcPr>
            <w:tcW w:type="dxa" w:w="2696"/>
          </w:tcPr>
          <w:p>
            <w:pPr>
              <w:pStyle w:val="Compact"/>
              <w:spacing w:before="20" w:after="20" w:line="240" w:lineRule="auto"/>
              <w:jc w:val="center"/>
              <w:keepNext/>
            </w:pPr>
            <w:r>
              <w:rPr>
                <w:sz w:val="18"/>
                <w:szCs w:val="18"/>
              </w:rPr>
              <w:t xml:space="preserve">(0.027)</w:t>
            </w:r>
          </w:p>
        </w:tc>
        <w:tc>
          <w:tcPr>
            <w:tcW w:type="dxa" w:w="1498"/>
          </w:tcPr>
          <w:p>
            <w:pPr>
              <w:pStyle w:val="Compact"/>
              <w:spacing w:before="20" w:after="20" w:line="240" w:lineRule="auto"/>
              <w:jc w:val="center"/>
              <w:keepNext/>
            </w:pPr>
            <w:r>
              <w:rPr>
                <w:sz w:val="18"/>
                <w:szCs w:val="18"/>
              </w:rPr>
              <w:t xml:space="preserve">&lt;0.001</w:t>
            </w:r>
          </w:p>
        </w:tc>
      </w:tr>
      <w:tr>
        <w:trPr>
          <w:cantSplit/>
        </w:trPr>
        <w:tc>
          <w:tcPr>
            <w:tcW w:type="dxa" w:w="2996"/>
          </w:tcPr>
          <w:p>
            <w:pPr>
              <w:pStyle w:val="Compact"/>
              <w:spacing w:before="20" w:after="20" w:line="240" w:lineRule="auto"/>
              <w:keepNext/>
            </w:pPr>
            <w:r>
              <w:rPr>
                <w:sz w:val="18"/>
                <w:szCs w:val="18"/>
              </w:rPr>
              <w:t xml:space="preserve">출원연도(yc)</w:t>
            </w:r>
          </w:p>
        </w:tc>
        <w:tc>
          <w:tcPr>
            <w:tcW w:type="dxa" w:w="1879"/>
          </w:tcPr>
          <w:p>
            <w:pPr>
              <w:pStyle w:val="Compact"/>
              <w:spacing w:before="20" w:after="20" w:line="240" w:lineRule="auto"/>
              <w:jc w:val="center"/>
              <w:keepNext/>
            </w:pPr>
            <w:r>
              <w:rPr>
                <w:sz w:val="18"/>
                <w:szCs w:val="18"/>
              </w:rPr>
              <w:t xml:space="preserve">0.946***</w:t>
            </w:r>
          </w:p>
        </w:tc>
        <w:tc>
          <w:tcPr>
            <w:tcW w:type="dxa" w:w="2696"/>
          </w:tcPr>
          <w:p>
            <w:pPr>
              <w:pStyle w:val="Compact"/>
              <w:spacing w:before="20" w:after="20" w:line="240" w:lineRule="auto"/>
              <w:jc w:val="center"/>
              <w:keepNext/>
            </w:pPr>
            <w:r>
              <w:rPr>
                <w:sz w:val="18"/>
                <w:szCs w:val="18"/>
              </w:rPr>
              <w:t xml:space="preserve">(0.011)</w:t>
            </w:r>
          </w:p>
        </w:tc>
        <w:tc>
          <w:tcPr>
            <w:tcW w:type="dxa" w:w="1498"/>
          </w:tcPr>
          <w:p>
            <w:pPr>
              <w:pStyle w:val="Compact"/>
              <w:spacing w:before="20" w:after="20" w:line="240" w:lineRule="auto"/>
              <w:jc w:val="center"/>
              <w:keepNext/>
            </w:pPr>
            <w:r>
              <w:rPr>
                <w:sz w:val="18"/>
                <w:szCs w:val="18"/>
              </w:rPr>
              <w:t xml:space="preserve">&lt;0.001</w:t>
            </w:r>
          </w:p>
        </w:tc>
      </w:tr>
    </w:tbl>
    <w:p>
      <w:pPr>
        <w:pStyle w:val="BodyText"/>
      </w:pPr>
      <w:r>
        <w:t xml:space="preserve">다음으로 표 8은 접합 단독형을 기준 범주로 하여 통합형과 공정 단독형의 상대위험비를 보고하는 다항 로짓 결과로, 어떠한 특허가 경계를 넘는지를 분석하는 주분석에 해당한다.</w:t>
      </w:r>
      <w:r>
        <w:t xml:space="preserve"> </w:t>
      </w:r>
      <w:r>
        <w:rPr>
          <w:highlight w:val="yellow"/>
        </w:rPr>
        <w:t xml:space="preserve">그림 5는</w:t>
      </w:r>
      <w:r>
        <w:t xml:space="preserve"> </w:t>
      </w:r>
      <w:r>
        <w:t xml:space="preserve">이 모형에서 기술범위와 출원연도를 변화시켰을 때 세 유형의 예측확률을 나타낸 것이다(다른 변수는 각 출원의 관측값으로 고정한 후 평균).</w:t>
      </w:r>
    </w:p>
    <w:p>
      <w:pPr>
        <w:pStyle w:val="BodyText"/>
      </w:pPr>
      <w:r>
        <w:rPr>
          <w:b/>
          <w:bCs/>
        </w:rPr>
        <w:t xml:space="preserve">제조공정 및 접합 영역에서 더 다양한 세부 기술 요소를 포함하는 출원일수록 통합형일 가능성이 높았다.</w:t>
      </w:r>
      <w:r>
        <w:t xml:space="preserve"> </w:t>
      </w:r>
      <w:r>
        <w:t xml:space="preserve">세부 분류가 하나 증가할 때마다 접합 단독형 대비 통합형일 상대위험은 40% 높아지고(RRR 1.403, p &lt; 0.01), 공정 단독형일 상대위험은 10% 낮아졌다(RRR 0.905, p &lt; 0.05). 그 크기를 살펴보면, 기술범위가 3인 출원이 통합형으로 예측될 확률은 0.26, 접합 단독형은 0.50, 공정 단독형은 0.24인 반면, 기술범위가 8인 출원은 통합형 0.68, 접합 단독형 0.24, 공정 단독형 0.08이다(</w:t>
      </w:r>
      <w:r>
        <w:rPr>
          <w:highlight w:val="yellow"/>
        </w:rPr>
        <w:t xml:space="preserve">그림 5</w:t>
      </w:r>
      <w:r>
        <w:t xml:space="preserve"> </w:t>
      </w:r>
      <w:r>
        <w:t xml:space="preserve">왼쪽). 즉, 기술범위가 넓은 출원은 두 영역에 걸쳐 있고, 좁은 출원은 한 영역에 머무는 경향이 있다. 이는 통합형 특허가 선택된 CPC 영역 안에서 더 다양한 세부 기술을 포함한다는 구성적 특징을 보여 준다.</w:t>
      </w:r>
    </w:p>
    <w:p>
      <w:pPr>
        <w:pStyle w:val="BodyText"/>
        <w:keepNext/>
      </w:pPr>
      <w:r>
        <w:drawing>
          <wp:inline>
            <wp:extent cx="5334000" cy="2794000"/>
            <wp:effectExtent b="0" l="0" r="0" t="0"/>
            <wp:docPr descr="" title="" id="38" name="Picture"/>
            <a:graphic>
              <a:graphicData uri="http://schemas.openxmlformats.org/drawingml/2006/picture">
                <pic:pic>
                  <pic:nvPicPr>
                    <pic:cNvPr descr="figures/fig_pred_types_v37_ko.png" id="39" name="Picture"/>
                    <pic:cNvPicPr>
                      <a:picLocks noChangeArrowheads="1" noChangeAspect="1"/>
                    </pic:cNvPicPr>
                  </pic:nvPicPr>
                  <pic:blipFill>
                    <a:blip r:embed="rId37"/>
                    <a:stretch>
                      <a:fillRect/>
                    </a:stretch>
                  </pic:blipFill>
                  <pic:spPr bwMode="auto">
                    <a:xfrm>
                      <a:off x="0" y="0"/>
                      <a:ext cx="5334000" cy="2794000"/>
                    </a:xfrm>
                    <a:prstGeom prst="rect">
                      <a:avLst/>
                    </a:prstGeom>
                    <a:noFill/>
                    <a:ln w="9525">
                      <a:noFill/>
                      <a:headEnd/>
                      <a:tailEnd/>
                    </a:ln>
                  </pic:spPr>
                </pic:pic>
              </a:graphicData>
            </a:graphic>
          </wp:inline>
        </w:drawing>
      </w:r>
    </w:p>
    <w:p>
      <w:pPr>
        <w:pStyle w:val="BodyText"/>
      </w:pPr>
      <w:r>
        <w:rPr>
          <w:b/>
          <w:bCs/>
          <w:highlight w:val="yellow"/>
          <w:sz w:val="20"/>
          <w:szCs w:val="20"/>
        </w:rPr>
        <w:t xml:space="preserve">그림 5.</w:t>
      </w:r>
      <w:r>
        <w:rPr>
          <w:sz w:val="20"/>
          <w:szCs w:val="20"/>
        </w:rPr>
        <w:t xml:space="preserve"> </w:t>
      </w:r>
      <w:r>
        <w:rPr>
          <w:sz w:val="20"/>
          <w:szCs w:val="20"/>
        </w:rPr>
        <w:t xml:space="preserve">기술범위(왼쪽)와 출원연도(오른쪽)에 따른 공동분류 유형별 예측확률(다항 로짓; 다른 변수는 각 출원의 관측값으로 고정한 후 평균).</w:t>
      </w:r>
    </w:p>
    <w:p>
      <w:pPr>
        <w:pStyle w:val="BodyText"/>
        <w:keepNext/>
      </w:pPr>
      <w:r>
        <w:rPr>
          <w:b/>
          <w:bCs/>
          <w:sz w:val="20"/>
          <w:szCs w:val="20"/>
        </w:rPr>
        <w:t xml:space="preserve">표 8.</w:t>
      </w:r>
      <w:r>
        <w:rPr>
          <w:sz w:val="20"/>
          <w:szCs w:val="20"/>
        </w:rPr>
        <w:t xml:space="preserve"> </w:t>
      </w:r>
      <w:r>
        <w:rPr>
          <w:sz w:val="20"/>
          <w:szCs w:val="20"/>
        </w:rPr>
        <w:t xml:space="preserve">공동분류 유형의 다항 로짓(기준 범주 = 접합 단독형; N = 928; 출원청 더미 7개 포함(계수 생략); 로그우도 −774.5; 우도비 χ²(18) = 367.4, p &lt; 0.001; McFadden 의사 R² = 0.192; AIC 1,589.0; 괄호 안은 로그 계수의 표준오차; * p &lt; 0.10, ** p &lt; 0.05, *** p &lt; 0.01).</w:t>
      </w:r>
    </w:p>
    <w:tbl>
      <w:tblPr>
        <w:tblStyle w:val="Table"/>
        <w:tblW w:type="dxa" w:w="9064"/>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51"/>
        <w:gridCol w:w="1098"/>
        <w:gridCol w:w="1576"/>
        <w:gridCol w:w="875"/>
        <w:gridCol w:w="1313"/>
        <w:gridCol w:w="1576"/>
        <w:gridCol w:w="875"/>
      </w:tblGrid>
      <w:tr>
        <w:trPr>
          <w:tblHeader w:val="on"/>
          <w:cantSplit/>
        </w:trPr>
        <w:tc>
          <w:tcPr>
            <w:tcW w:type="dxa" w:w="1751"/>
            <w:tcBorders>
              <w:bottom w:val="single" w:sz="4" w:space="0" w:color="000000"/>
            </w:tcBorders>
          </w:tcPr>
          <w:p>
            <w:pPr>
              <w:pStyle w:val="Compact"/>
              <w:spacing w:before="20" w:after="20" w:line="240" w:lineRule="auto"/>
              <w:keepNext/>
            </w:pPr>
          </w:p>
        </w:tc>
        <w:tc>
          <w:tcPr>
            <w:tcW w:type="dxa" w:w="1098"/>
            <w:tcBorders>
              <w:bottom w:val="single" w:sz="4" w:space="0" w:color="000000"/>
            </w:tcBorders>
          </w:tcPr>
          <w:p>
            <w:pPr>
              <w:pStyle w:val="Compact"/>
              <w:spacing w:before="20" w:after="20" w:line="240" w:lineRule="auto"/>
              <w:jc w:val="center"/>
              <w:keepNext/>
            </w:pPr>
            <w:r>
              <w:rPr>
                <w:sz w:val="16"/>
                <w:szCs w:val="16"/>
              </w:rPr>
              <w:t xml:space="preserve">통합형 RRR</w:t>
            </w:r>
          </w:p>
        </w:tc>
        <w:tc>
          <w:tcPr>
            <w:tcW w:type="dxa" w:w="1576"/>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875"/>
            <w:tcBorders>
              <w:bottom w:val="single" w:sz="4" w:space="0" w:color="000000"/>
            </w:tcBorders>
          </w:tcPr>
          <w:p>
            <w:pPr>
              <w:pStyle w:val="Compact"/>
              <w:spacing w:before="20" w:after="20" w:line="240" w:lineRule="auto"/>
              <w:jc w:val="center"/>
              <w:keepNext/>
            </w:pPr>
            <w:r>
              <w:rPr>
                <w:sz w:val="16"/>
                <w:szCs w:val="16"/>
              </w:rPr>
              <w:t xml:space="preserve">p</w:t>
            </w:r>
          </w:p>
        </w:tc>
        <w:tc>
          <w:tcPr>
            <w:tcW w:type="dxa" w:w="1313"/>
            <w:tcBorders>
              <w:bottom w:val="single" w:sz="4" w:space="0" w:color="000000"/>
            </w:tcBorders>
          </w:tcPr>
          <w:p>
            <w:pPr>
              <w:pStyle w:val="Compact"/>
              <w:spacing w:before="20" w:after="20" w:line="240" w:lineRule="auto"/>
              <w:jc w:val="center"/>
              <w:keepNext/>
            </w:pPr>
            <w:r>
              <w:rPr>
                <w:sz w:val="16"/>
                <w:szCs w:val="16"/>
              </w:rPr>
              <w:t xml:space="preserve">공정 단독형 RRR</w:t>
            </w:r>
          </w:p>
        </w:tc>
        <w:tc>
          <w:tcPr>
            <w:tcW w:type="dxa" w:w="1576"/>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875"/>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751"/>
          </w:tcPr>
          <w:p>
            <w:pPr>
              <w:pStyle w:val="Compact"/>
              <w:spacing w:before="20" w:after="20" w:line="240" w:lineRule="auto"/>
              <w:keepNext/>
            </w:pPr>
            <w:r>
              <w:rPr>
                <w:sz w:val="16"/>
                <w:szCs w:val="16"/>
              </w:rPr>
              <w:t xml:space="preserve">기술범위</w:t>
            </w:r>
          </w:p>
        </w:tc>
        <w:tc>
          <w:tcPr>
            <w:tcW w:type="dxa" w:w="1098"/>
          </w:tcPr>
          <w:p>
            <w:pPr>
              <w:pStyle w:val="Compact"/>
              <w:spacing w:before="20" w:after="20" w:line="240" w:lineRule="auto"/>
              <w:jc w:val="center"/>
              <w:keepNext/>
            </w:pPr>
            <w:r>
              <w:rPr>
                <w:sz w:val="16"/>
                <w:szCs w:val="16"/>
              </w:rPr>
              <w:t xml:space="preserve">1.403***</w:t>
            </w:r>
          </w:p>
        </w:tc>
        <w:tc>
          <w:tcPr>
            <w:tcW w:type="dxa" w:w="1576"/>
          </w:tcPr>
          <w:p>
            <w:pPr>
              <w:pStyle w:val="Compact"/>
              <w:spacing w:before="20" w:after="20" w:line="240" w:lineRule="auto"/>
              <w:jc w:val="center"/>
              <w:keepNext/>
            </w:pPr>
            <w:r>
              <w:rPr>
                <w:sz w:val="16"/>
                <w:szCs w:val="16"/>
              </w:rPr>
              <w:t xml:space="preserve">(0.031)</w:t>
            </w:r>
          </w:p>
        </w:tc>
        <w:tc>
          <w:tcPr>
            <w:tcW w:type="dxa" w:w="875"/>
          </w:tcPr>
          <w:p>
            <w:pPr>
              <w:pStyle w:val="Compact"/>
              <w:spacing w:before="20" w:after="20" w:line="240" w:lineRule="auto"/>
              <w:jc w:val="center"/>
              <w:keepNext/>
            </w:pPr>
            <w:r>
              <w:rPr>
                <w:sz w:val="16"/>
                <w:szCs w:val="16"/>
              </w:rPr>
              <w:t xml:space="preserve">&lt;0.001</w:t>
            </w:r>
          </w:p>
        </w:tc>
        <w:tc>
          <w:tcPr>
            <w:tcW w:type="dxa" w:w="1313"/>
          </w:tcPr>
          <w:p>
            <w:pPr>
              <w:pStyle w:val="Compact"/>
              <w:spacing w:before="20" w:after="20" w:line="240" w:lineRule="auto"/>
              <w:jc w:val="center"/>
              <w:keepNext/>
            </w:pPr>
            <w:r>
              <w:rPr>
                <w:sz w:val="16"/>
                <w:szCs w:val="16"/>
              </w:rPr>
              <w:t xml:space="preserve">0.905**</w:t>
            </w:r>
          </w:p>
        </w:tc>
        <w:tc>
          <w:tcPr>
            <w:tcW w:type="dxa" w:w="1576"/>
          </w:tcPr>
          <w:p>
            <w:pPr>
              <w:pStyle w:val="Compact"/>
              <w:spacing w:before="20" w:after="20" w:line="240" w:lineRule="auto"/>
              <w:jc w:val="center"/>
              <w:keepNext/>
            </w:pPr>
            <w:r>
              <w:rPr>
                <w:sz w:val="16"/>
                <w:szCs w:val="16"/>
              </w:rPr>
              <w:t xml:space="preserve">(0.048)</w:t>
            </w:r>
          </w:p>
        </w:tc>
        <w:tc>
          <w:tcPr>
            <w:tcW w:type="dxa" w:w="875"/>
          </w:tcPr>
          <w:p>
            <w:pPr>
              <w:pStyle w:val="Compact"/>
              <w:spacing w:before="20" w:after="20" w:line="240" w:lineRule="auto"/>
              <w:jc w:val="center"/>
              <w:keepNext/>
            </w:pPr>
            <w:r>
              <w:rPr>
                <w:sz w:val="16"/>
                <w:szCs w:val="16"/>
              </w:rPr>
              <w:t xml:space="preserve">0.039</w:t>
            </w:r>
          </w:p>
        </w:tc>
      </w:tr>
      <w:tr>
        <w:trPr>
          <w:cantSplit/>
        </w:trPr>
        <w:tc>
          <w:tcPr>
            <w:tcW w:type="dxa" w:w="1751"/>
          </w:tcPr>
          <w:p>
            <w:pPr>
              <w:pStyle w:val="Compact"/>
              <w:spacing w:before="20" w:after="20" w:line="240" w:lineRule="auto"/>
              <w:keepNext/>
            </w:pPr>
            <w:r>
              <w:rPr>
                <w:sz w:val="16"/>
                <w:szCs w:val="16"/>
              </w:rPr>
              <w:t xml:space="preserve">출원연도(yc)</w:t>
            </w:r>
          </w:p>
        </w:tc>
        <w:tc>
          <w:tcPr>
            <w:tcW w:type="dxa" w:w="1098"/>
          </w:tcPr>
          <w:p>
            <w:pPr>
              <w:pStyle w:val="Compact"/>
              <w:spacing w:before="20" w:after="20" w:line="240" w:lineRule="auto"/>
              <w:jc w:val="center"/>
              <w:keepNext/>
            </w:pPr>
            <w:r>
              <w:rPr>
                <w:sz w:val="16"/>
                <w:szCs w:val="16"/>
              </w:rPr>
              <w:t xml:space="preserve">0.993</w:t>
            </w:r>
          </w:p>
        </w:tc>
        <w:tc>
          <w:tcPr>
            <w:tcW w:type="dxa" w:w="1576"/>
          </w:tcPr>
          <w:p>
            <w:pPr>
              <w:pStyle w:val="Compact"/>
              <w:spacing w:before="20" w:after="20" w:line="240" w:lineRule="auto"/>
              <w:jc w:val="center"/>
              <w:keepNext/>
            </w:pPr>
            <w:r>
              <w:rPr>
                <w:sz w:val="16"/>
                <w:szCs w:val="16"/>
              </w:rPr>
              <w:t xml:space="preserve">(0.015)</w:t>
            </w:r>
          </w:p>
        </w:tc>
        <w:tc>
          <w:tcPr>
            <w:tcW w:type="dxa" w:w="875"/>
          </w:tcPr>
          <w:p>
            <w:pPr>
              <w:pStyle w:val="Compact"/>
              <w:spacing w:before="20" w:after="20" w:line="240" w:lineRule="auto"/>
              <w:jc w:val="center"/>
              <w:keepNext/>
            </w:pPr>
            <w:r>
              <w:rPr>
                <w:sz w:val="16"/>
                <w:szCs w:val="16"/>
              </w:rPr>
              <w:t xml:space="preserve">0.654</w:t>
            </w:r>
          </w:p>
        </w:tc>
        <w:tc>
          <w:tcPr>
            <w:tcW w:type="dxa" w:w="1313"/>
          </w:tcPr>
          <w:p>
            <w:pPr>
              <w:pStyle w:val="Compact"/>
              <w:spacing w:before="20" w:after="20" w:line="240" w:lineRule="auto"/>
              <w:jc w:val="center"/>
              <w:keepNext/>
            </w:pPr>
            <w:r>
              <w:rPr>
                <w:sz w:val="16"/>
                <w:szCs w:val="16"/>
              </w:rPr>
              <w:t xml:space="preserve">0.913***</w:t>
            </w:r>
          </w:p>
        </w:tc>
        <w:tc>
          <w:tcPr>
            <w:tcW w:type="dxa" w:w="1576"/>
          </w:tcPr>
          <w:p>
            <w:pPr>
              <w:pStyle w:val="Compact"/>
              <w:spacing w:before="20" w:after="20" w:line="240" w:lineRule="auto"/>
              <w:jc w:val="center"/>
              <w:keepNext/>
            </w:pPr>
            <w:r>
              <w:rPr>
                <w:sz w:val="16"/>
                <w:szCs w:val="16"/>
              </w:rPr>
              <w:t xml:space="preserve">(0.015)</w:t>
            </w:r>
          </w:p>
        </w:tc>
        <w:tc>
          <w:tcPr>
            <w:tcW w:type="dxa" w:w="875"/>
          </w:tcPr>
          <w:p>
            <w:pPr>
              <w:pStyle w:val="Compact"/>
              <w:spacing w:before="20" w:after="20" w:line="240" w:lineRule="auto"/>
              <w:jc w:val="center"/>
              <w:keepNext/>
            </w:pPr>
            <w:r>
              <w:rPr>
                <w:sz w:val="16"/>
                <w:szCs w:val="16"/>
              </w:rPr>
              <w:t xml:space="preserve">&lt;0.001</w:t>
            </w:r>
          </w:p>
        </w:tc>
      </w:tr>
    </w:tbl>
    <w:bookmarkEnd w:id="40"/>
    <w:bookmarkStart w:id="44" w:name="기술융합의-시간적-변화-rq2"/>
    <w:p>
      <w:pPr>
        <w:pStyle w:val="Heading3"/>
      </w:pPr>
      <w:r>
        <w:t xml:space="preserve">5.2 기술융합의 시간적 변화 (RQ2)</w:t>
      </w:r>
    </w:p>
    <w:p>
      <w:pPr>
        <w:pStyle w:val="FirstParagraph"/>
      </w:pPr>
      <w:r>
        <w:rPr>
          <w:highlight w:val="yellow"/>
        </w:rPr>
        <w:t xml:space="preserve">제5.1절에서</w:t>
      </w:r>
      <w:r>
        <w:t xml:space="preserve"> </w:t>
      </w:r>
      <w:r>
        <w:t xml:space="preserve">확인한 융합의 수준은 시기에 따라 크게 달랐다. 표 9와</w:t>
      </w:r>
      <w:r>
        <w:t xml:space="preserve"> </w:t>
      </w:r>
      <w:r>
        <w:rPr>
          <w:highlight w:val="yellow"/>
        </w:rPr>
        <w:t xml:space="preserve">그림 6은</w:t>
      </w:r>
      <w:r>
        <w:t xml:space="preserve"> </w:t>
      </w:r>
      <w:r>
        <w:t xml:space="preserve">출원 집중도를 고려하여 세 시기로 구분한 유형 분포를 나타낸 것이다. 1968–2014년은 47년 동안의 출원(179건)이 이후 5년간의 출원(209건)보다 적을 만큼 출원이 드물어 하나의 시기로 묶었으며, 2015년 이후는 5년 단위로 2015–2019년과 2020–2024년으로 구분하였다. 공정 단독형의 비중은 2014년 이전 43.6%에서 2015–2019년 14.8%, 2020–2024년 10.4%로 지속적으로 감소하였다. 통합형은 31.3%에서 62.2%로 크게 증가하였다가 44.3%로 감소하였고, 접합 단독형은 25.1%와 23.0%에서 45.4%로 증가하였다. 이러한 융합의 전개는 세 국면으로 해석할 수 있다. 2014년 이전에는 공정 단독형이 가장 많았고, 2015–2019년에는 통합형이 62.2%로 정점에 이르러 두 공정의 기술이 하나의 발명에 함께 포함되는 경우가 가장 많았다. 2020–2024년에는 통합형의 비중이 낮아지고 접합 단독형(45.4%)이 통합형(44.3%)과 비슷한 수준으로 증가하였다. 이하에서는 세 국면을 각각 형성기, 확산기, 재편기라 지칭한다.</w:t>
      </w:r>
    </w:p>
    <w:p>
      <w:pPr>
        <w:pStyle w:val="BodyText"/>
        <w:keepNext/>
      </w:pPr>
      <w:r>
        <w:rPr>
          <w:b/>
          <w:bCs/>
          <w:sz w:val="20"/>
          <w:szCs w:val="20"/>
        </w:rPr>
        <w:t xml:space="preserve">표 9.</w:t>
      </w:r>
      <w:r>
        <w:rPr>
          <w:sz w:val="20"/>
          <w:szCs w:val="20"/>
        </w:rPr>
        <w:t xml:space="preserve"> </w:t>
      </w:r>
      <w:r>
        <w:rPr>
          <w:sz w:val="20"/>
          <w:szCs w:val="20"/>
        </w:rPr>
        <w:t xml:space="preserve">세 출원 시기별 공동분류 유형 분포(N = 928; 괄호 안은 행 비중; 첫 시기는 1968–2014년으로 이후 두 시기보다 길다).</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74"/>
        <w:gridCol w:w="1774"/>
        <w:gridCol w:w="1774"/>
        <w:gridCol w:w="1577"/>
        <w:gridCol w:w="591"/>
        <w:gridCol w:w="1577"/>
      </w:tblGrid>
      <w:tr>
        <w:trPr>
          <w:tblHeader w:val="on"/>
          <w:cantSplit/>
        </w:trPr>
        <w:tc>
          <w:tcPr>
            <w:tcW w:type="dxa" w:w="1774"/>
            <w:tcBorders>
              <w:bottom w:val="single" w:sz="4" w:space="0" w:color="000000"/>
            </w:tcBorders>
          </w:tcPr>
          <w:p>
            <w:pPr>
              <w:pStyle w:val="Compact"/>
              <w:spacing w:before="20" w:after="20" w:line="240" w:lineRule="auto"/>
              <w:keepNext/>
            </w:pPr>
            <w:r>
              <w:rPr>
                <w:highlight w:val="yellow"/>
                <w:sz w:val="17"/>
                <w:szCs w:val="17"/>
              </w:rPr>
              <w:t xml:space="preserve">출원 시기</w:t>
            </w:r>
          </w:p>
        </w:tc>
        <w:tc>
          <w:tcPr>
            <w:tcW w:type="dxa" w:w="1774"/>
            <w:tcBorders>
              <w:bottom w:val="single" w:sz="4" w:space="0" w:color="000000"/>
            </w:tcBorders>
          </w:tcPr>
          <w:p>
            <w:pPr>
              <w:pStyle w:val="Compact"/>
              <w:spacing w:before="20" w:after="20" w:line="240" w:lineRule="auto"/>
              <w:keepNext/>
            </w:pPr>
            <w:r>
              <w:rPr>
                <w:sz w:val="17"/>
                <w:szCs w:val="17"/>
              </w:rPr>
              <w:t xml:space="preserve">접합 단독형</w:t>
            </w:r>
          </w:p>
        </w:tc>
        <w:tc>
          <w:tcPr>
            <w:tcW w:type="dxa" w:w="1774"/>
            <w:tcBorders>
              <w:bottom w:val="single" w:sz="4" w:space="0" w:color="000000"/>
            </w:tcBorders>
          </w:tcPr>
          <w:p>
            <w:pPr>
              <w:pStyle w:val="Compact"/>
              <w:spacing w:before="20" w:after="20" w:line="240" w:lineRule="auto"/>
              <w:keepNext/>
            </w:pPr>
            <w:r>
              <w:rPr>
                <w:sz w:val="17"/>
                <w:szCs w:val="17"/>
              </w:rPr>
              <w:t xml:space="preserve">통합형</w:t>
            </w:r>
          </w:p>
        </w:tc>
        <w:tc>
          <w:tcPr>
            <w:tcW w:type="dxa" w:w="1577"/>
            <w:tcBorders>
              <w:bottom w:val="single" w:sz="4" w:space="0" w:color="000000"/>
            </w:tcBorders>
          </w:tcPr>
          <w:p>
            <w:pPr>
              <w:pStyle w:val="Compact"/>
              <w:spacing w:before="20" w:after="20" w:line="240" w:lineRule="auto"/>
              <w:keepNext/>
            </w:pPr>
            <w:r>
              <w:rPr>
                <w:sz w:val="17"/>
                <w:szCs w:val="17"/>
              </w:rPr>
              <w:t xml:space="preserve">공정 단독형</w:t>
            </w:r>
          </w:p>
        </w:tc>
        <w:tc>
          <w:tcPr>
            <w:tcW w:type="dxa" w:w="591"/>
            <w:tcBorders>
              <w:bottom w:val="single" w:sz="4" w:space="0" w:color="000000"/>
            </w:tcBorders>
          </w:tcPr>
          <w:p>
            <w:pPr>
              <w:pStyle w:val="Compact"/>
              <w:spacing w:before="20" w:after="20" w:line="240" w:lineRule="auto"/>
              <w:jc w:val="right"/>
              <w:keepNext/>
            </w:pPr>
            <w:r>
              <w:rPr>
                <w:sz w:val="17"/>
                <w:szCs w:val="17"/>
              </w:rPr>
              <w:t xml:space="preserve">N</w:t>
            </w:r>
          </w:p>
        </w:tc>
        <w:tc>
          <w:tcPr>
            <w:tcW w:type="dxa" w:w="1577"/>
            <w:tcBorders>
              <w:bottom w:val="single" w:sz="4" w:space="0" w:color="000000"/>
            </w:tcBorders>
          </w:tcPr>
          <w:p>
            <w:pPr>
              <w:pStyle w:val="Compact"/>
              <w:spacing w:before="20" w:after="20" w:line="240" w:lineRule="auto"/>
              <w:jc w:val="right"/>
              <w:keepNext/>
            </w:pPr>
            <w:r>
              <w:rPr>
                <w:sz w:val="17"/>
                <w:szCs w:val="17"/>
              </w:rPr>
              <w:t xml:space="preserve">제조공정 분류(%)</w:t>
            </w:r>
          </w:p>
        </w:tc>
      </w:tr>
      <w:tr>
        <w:trPr>
          <w:cantSplit/>
        </w:trPr>
        <w:tc>
          <w:tcPr>
            <w:tcW w:type="dxa" w:w="1774"/>
          </w:tcPr>
          <w:p>
            <w:pPr>
              <w:pStyle w:val="Compact"/>
              <w:spacing w:before="20" w:after="20" w:line="240" w:lineRule="auto"/>
              <w:keepNext/>
            </w:pPr>
            <w:r>
              <w:rPr>
                <w:sz w:val="17"/>
                <w:szCs w:val="17"/>
              </w:rPr>
              <w:t xml:space="preserve">–2014</w:t>
            </w:r>
          </w:p>
        </w:tc>
        <w:tc>
          <w:tcPr>
            <w:tcW w:type="dxa" w:w="1774"/>
          </w:tcPr>
          <w:p>
            <w:pPr>
              <w:pStyle w:val="Compact"/>
              <w:spacing w:before="20" w:after="20" w:line="240" w:lineRule="auto"/>
              <w:keepNext/>
            </w:pPr>
            <w:r>
              <w:rPr>
                <w:sz w:val="17"/>
                <w:szCs w:val="17"/>
              </w:rPr>
              <w:t xml:space="preserve">45 (25.1%)</w:t>
            </w:r>
          </w:p>
        </w:tc>
        <w:tc>
          <w:tcPr>
            <w:tcW w:type="dxa" w:w="1774"/>
          </w:tcPr>
          <w:p>
            <w:pPr>
              <w:pStyle w:val="Compact"/>
              <w:spacing w:before="20" w:after="20" w:line="240" w:lineRule="auto"/>
              <w:keepNext/>
            </w:pPr>
            <w:r>
              <w:rPr>
                <w:sz w:val="17"/>
                <w:szCs w:val="17"/>
              </w:rPr>
              <w:t xml:space="preserve">56 (31.3%)</w:t>
            </w:r>
          </w:p>
        </w:tc>
        <w:tc>
          <w:tcPr>
            <w:tcW w:type="dxa" w:w="1577"/>
          </w:tcPr>
          <w:p>
            <w:pPr>
              <w:pStyle w:val="Compact"/>
              <w:spacing w:before="20" w:after="20" w:line="240" w:lineRule="auto"/>
              <w:keepNext/>
            </w:pPr>
            <w:r>
              <w:rPr>
                <w:sz w:val="17"/>
                <w:szCs w:val="17"/>
              </w:rPr>
              <w:t xml:space="preserve">78 (43.6%)</w:t>
            </w:r>
          </w:p>
        </w:tc>
        <w:tc>
          <w:tcPr>
            <w:tcW w:type="dxa" w:w="591"/>
          </w:tcPr>
          <w:p>
            <w:pPr>
              <w:pStyle w:val="Compact"/>
              <w:spacing w:before="20" w:after="20" w:line="240" w:lineRule="auto"/>
              <w:jc w:val="right"/>
              <w:keepNext/>
            </w:pPr>
            <w:r>
              <w:rPr>
                <w:sz w:val="17"/>
                <w:szCs w:val="17"/>
              </w:rPr>
              <w:t xml:space="preserve">179</w:t>
            </w:r>
          </w:p>
        </w:tc>
        <w:tc>
          <w:tcPr>
            <w:tcW w:type="dxa" w:w="1577"/>
          </w:tcPr>
          <w:p>
            <w:pPr>
              <w:pStyle w:val="Compact"/>
              <w:spacing w:before="20" w:after="20" w:line="240" w:lineRule="auto"/>
              <w:jc w:val="right"/>
              <w:keepNext/>
            </w:pPr>
            <w:r>
              <w:rPr>
                <w:sz w:val="17"/>
                <w:szCs w:val="17"/>
              </w:rPr>
              <w:t xml:space="preserve">74.9</w:t>
            </w:r>
          </w:p>
        </w:tc>
      </w:tr>
      <w:tr>
        <w:trPr>
          <w:cantSplit/>
        </w:trPr>
        <w:tc>
          <w:tcPr>
            <w:tcW w:type="dxa" w:w="1774"/>
          </w:tcPr>
          <w:p>
            <w:pPr>
              <w:pStyle w:val="Compact"/>
              <w:spacing w:before="20" w:after="20" w:line="240" w:lineRule="auto"/>
              <w:keepNext/>
            </w:pPr>
            <w:r>
              <w:rPr>
                <w:sz w:val="17"/>
                <w:szCs w:val="17"/>
              </w:rPr>
              <w:t xml:space="preserve">2015–2019</w:t>
            </w:r>
          </w:p>
        </w:tc>
        <w:tc>
          <w:tcPr>
            <w:tcW w:type="dxa" w:w="1774"/>
          </w:tcPr>
          <w:p>
            <w:pPr>
              <w:pStyle w:val="Compact"/>
              <w:spacing w:before="20" w:after="20" w:line="240" w:lineRule="auto"/>
              <w:keepNext/>
            </w:pPr>
            <w:r>
              <w:rPr>
                <w:sz w:val="17"/>
                <w:szCs w:val="17"/>
              </w:rPr>
              <w:t xml:space="preserve">48 (23.0%)</w:t>
            </w:r>
          </w:p>
        </w:tc>
        <w:tc>
          <w:tcPr>
            <w:tcW w:type="dxa" w:w="1774"/>
          </w:tcPr>
          <w:p>
            <w:pPr>
              <w:pStyle w:val="Compact"/>
              <w:spacing w:before="20" w:after="20" w:line="240" w:lineRule="auto"/>
              <w:keepNext/>
            </w:pPr>
            <w:r>
              <w:rPr>
                <w:sz w:val="17"/>
                <w:szCs w:val="17"/>
              </w:rPr>
              <w:t xml:space="preserve">130 (62.2%)</w:t>
            </w:r>
          </w:p>
        </w:tc>
        <w:tc>
          <w:tcPr>
            <w:tcW w:type="dxa" w:w="1577"/>
          </w:tcPr>
          <w:p>
            <w:pPr>
              <w:pStyle w:val="Compact"/>
              <w:spacing w:before="20" w:after="20" w:line="240" w:lineRule="auto"/>
              <w:keepNext/>
            </w:pPr>
            <w:r>
              <w:rPr>
                <w:sz w:val="17"/>
                <w:szCs w:val="17"/>
              </w:rPr>
              <w:t xml:space="preserve">31 (14.8%)</w:t>
            </w:r>
          </w:p>
        </w:tc>
        <w:tc>
          <w:tcPr>
            <w:tcW w:type="dxa" w:w="591"/>
          </w:tcPr>
          <w:p>
            <w:pPr>
              <w:pStyle w:val="Compact"/>
              <w:spacing w:before="20" w:after="20" w:line="240" w:lineRule="auto"/>
              <w:jc w:val="right"/>
              <w:keepNext/>
            </w:pPr>
            <w:r>
              <w:rPr>
                <w:sz w:val="17"/>
                <w:szCs w:val="17"/>
              </w:rPr>
              <w:t xml:space="preserve">209</w:t>
            </w:r>
          </w:p>
        </w:tc>
        <w:tc>
          <w:tcPr>
            <w:tcW w:type="dxa" w:w="1577"/>
          </w:tcPr>
          <w:p>
            <w:pPr>
              <w:pStyle w:val="Compact"/>
              <w:spacing w:before="20" w:after="20" w:line="240" w:lineRule="auto"/>
              <w:jc w:val="right"/>
              <w:keepNext/>
            </w:pPr>
            <w:r>
              <w:rPr>
                <w:sz w:val="17"/>
                <w:szCs w:val="17"/>
              </w:rPr>
              <w:t xml:space="preserve">77.0</w:t>
            </w:r>
          </w:p>
        </w:tc>
      </w:tr>
      <w:tr>
        <w:trPr>
          <w:cantSplit/>
        </w:trPr>
        <w:tc>
          <w:tcPr>
            <w:tcW w:type="dxa" w:w="1774"/>
          </w:tcPr>
          <w:p>
            <w:pPr>
              <w:pStyle w:val="Compact"/>
              <w:spacing w:before="20" w:after="20" w:line="240" w:lineRule="auto"/>
              <w:keepNext/>
            </w:pPr>
            <w:r>
              <w:rPr>
                <w:sz w:val="17"/>
                <w:szCs w:val="17"/>
              </w:rPr>
              <w:t xml:space="preserve">2020–2024</w:t>
            </w:r>
          </w:p>
        </w:tc>
        <w:tc>
          <w:tcPr>
            <w:tcW w:type="dxa" w:w="1774"/>
          </w:tcPr>
          <w:p>
            <w:pPr>
              <w:pStyle w:val="Compact"/>
              <w:spacing w:before="20" w:after="20" w:line="240" w:lineRule="auto"/>
              <w:keepNext/>
            </w:pPr>
            <w:r>
              <w:rPr>
                <w:sz w:val="17"/>
                <w:szCs w:val="17"/>
              </w:rPr>
              <w:t xml:space="preserve">245 (45.4%)</w:t>
            </w:r>
          </w:p>
        </w:tc>
        <w:tc>
          <w:tcPr>
            <w:tcW w:type="dxa" w:w="1774"/>
          </w:tcPr>
          <w:p>
            <w:pPr>
              <w:pStyle w:val="Compact"/>
              <w:spacing w:before="20" w:after="20" w:line="240" w:lineRule="auto"/>
              <w:keepNext/>
            </w:pPr>
            <w:r>
              <w:rPr>
                <w:sz w:val="17"/>
                <w:szCs w:val="17"/>
              </w:rPr>
              <w:t xml:space="preserve">239 (44.3%)</w:t>
            </w:r>
          </w:p>
        </w:tc>
        <w:tc>
          <w:tcPr>
            <w:tcW w:type="dxa" w:w="1577"/>
          </w:tcPr>
          <w:p>
            <w:pPr>
              <w:pStyle w:val="Compact"/>
              <w:spacing w:before="20" w:after="20" w:line="240" w:lineRule="auto"/>
              <w:keepNext/>
            </w:pPr>
            <w:r>
              <w:rPr>
                <w:sz w:val="17"/>
                <w:szCs w:val="17"/>
              </w:rPr>
              <w:t xml:space="preserve">56 (10.4%)</w:t>
            </w:r>
          </w:p>
        </w:tc>
        <w:tc>
          <w:tcPr>
            <w:tcW w:type="dxa" w:w="591"/>
          </w:tcPr>
          <w:p>
            <w:pPr>
              <w:pStyle w:val="Compact"/>
              <w:spacing w:before="20" w:after="20" w:line="240" w:lineRule="auto"/>
              <w:jc w:val="right"/>
              <w:keepNext/>
            </w:pPr>
            <w:r>
              <w:rPr>
                <w:sz w:val="17"/>
                <w:szCs w:val="17"/>
              </w:rPr>
              <w:t xml:space="preserve">540</w:t>
            </w:r>
          </w:p>
        </w:tc>
        <w:tc>
          <w:tcPr>
            <w:tcW w:type="dxa" w:w="1577"/>
          </w:tcPr>
          <w:p>
            <w:pPr>
              <w:pStyle w:val="Compact"/>
              <w:spacing w:before="20" w:after="20" w:line="240" w:lineRule="auto"/>
              <w:jc w:val="right"/>
              <w:keepNext/>
            </w:pPr>
            <w:r>
              <w:rPr>
                <w:sz w:val="17"/>
                <w:szCs w:val="17"/>
              </w:rPr>
              <w:t xml:space="preserve">54.6</w:t>
            </w:r>
          </w:p>
        </w:tc>
      </w:tr>
    </w:tbl>
    <w:p>
      <w:pPr>
        <w:pStyle w:val="BodyText"/>
        <w:keepNext/>
      </w:pPr>
      <w:r>
        <w:drawing>
          <wp:inline>
            <wp:extent cx="5334000" cy="3386666"/>
            <wp:effectExtent b="0" l="0" r="0" t="0"/>
            <wp:docPr descr="" title="" id="42" name="Picture"/>
            <a:graphic>
              <a:graphicData uri="http://schemas.openxmlformats.org/drawingml/2006/picture">
                <pic:pic>
                  <pic:nvPicPr>
                    <pic:cNvPr descr="figures/fig7_period_shares_v37_ko.png" id="43" name="Picture"/>
                    <pic:cNvPicPr>
                      <a:picLocks noChangeArrowheads="1" noChangeAspect="1"/>
                    </pic:cNvPicPr>
                  </pic:nvPicPr>
                  <pic:blipFill>
                    <a:blip r:embed="rId41"/>
                    <a:stretch>
                      <a:fillRect/>
                    </a:stretch>
                  </pic:blipFill>
                  <pic:spPr bwMode="auto">
                    <a:xfrm>
                      <a:off x="0" y="0"/>
                      <a:ext cx="5334000" cy="3386666"/>
                    </a:xfrm>
                    <a:prstGeom prst="rect">
                      <a:avLst/>
                    </a:prstGeom>
                    <a:noFill/>
                    <a:ln w="9525">
                      <a:noFill/>
                      <a:headEnd/>
                      <a:tailEnd/>
                    </a:ln>
                  </pic:spPr>
                </pic:pic>
              </a:graphicData>
            </a:graphic>
          </wp:inline>
        </w:drawing>
      </w:r>
    </w:p>
    <w:p>
      <w:pPr>
        <w:pStyle w:val="BodyText"/>
      </w:pPr>
      <w:r>
        <w:rPr>
          <w:b/>
          <w:bCs/>
          <w:highlight w:val="yellow"/>
          <w:sz w:val="20"/>
          <w:szCs w:val="20"/>
        </w:rPr>
        <w:t xml:space="preserve">그림 6.</w:t>
      </w:r>
      <w:r>
        <w:rPr>
          <w:sz w:val="20"/>
          <w:szCs w:val="20"/>
        </w:rPr>
        <w:t xml:space="preserve"> </w:t>
      </w:r>
      <w:r>
        <w:rPr>
          <w:sz w:val="20"/>
          <w:szCs w:val="20"/>
        </w:rPr>
        <w:t xml:space="preserve">세 출원 시기별 공동분류 유형의 구성비(N = 928; 첫 시기는 1968–2014년으로 이후 두 시기보다 길다).</w:t>
      </w:r>
    </w:p>
    <w:p>
      <w:pPr>
        <w:pStyle w:val="BodyText"/>
      </w:pPr>
      <w:r>
        <w:rPr>
          <w:b/>
          <w:bCs/>
        </w:rPr>
        <w:t xml:space="preserve">출원연도가 최근일수록 특허는 공정 단독형보다 접합 단독형으로 분류될 가능성이 높아졌다.</w:t>
      </w:r>
      <w:r>
        <w:t xml:space="preserve"> </w:t>
      </w:r>
      <w:r>
        <w:t xml:space="preserve">표 8의 다항 로짓에서 공정 단독형의 상대위험은 매년 약 8.7%씩 감소한 반면(RRR 0.913, p &lt; 0.01), 통합형의 상대위험에는 전 기간에 걸친 유의한 선형 추세가 나타나지 않았다(RRR 0.993). 2010년 출원의 공정 단독형 예측확률은 0.27이었으나 2022년 출원은 0.12였으며, 같은 기간 접합 단독형은 0.31에서 0.40으로 증가하고 통합형은 0.43에서 0.47로 거의 변화하지 않았다(</w:t>
      </w:r>
      <w:r>
        <w:rPr>
          <w:highlight w:val="yellow"/>
        </w:rPr>
        <w:t xml:space="preserve">그림 5</w:t>
      </w:r>
      <w:r>
        <w:t xml:space="preserve"> </w:t>
      </w:r>
      <w:r>
        <w:t xml:space="preserve">오른쪽). 표 7의 이항 로짓에서도 출원연도의 승산비는 1보다 작아(연간 OR 0.946, p &lt; 0.01) 최근 출원일수록 제조공정 기호를 가질 승산이 낮았으며, 이러한 감소는 주로 공정 단독형의 감소에서 비롯된 것이다. 선형 연도 대신 기간 더미를 투입한 다항 로짓에서도 동일한 양상이 확인된다. 2014년 이전 대비 공정 단독형의 상대위험은 2015–2019년 0.273, 2020–2024년 0.101(모두 p &lt; 0.01)로 낮아졌고, 통합형은 1.707(p = 0.09)로 높아졌다가 0.762(비유의)로 낮아졌다. 2010년 이후 표본(N = 830)에서는 통합형의 연도 계수도 1보다 유의하게 작았으며(RRR 0.934, p &lt; 0.05), 좁은 제조공정 정의와 무관 용법 제외 표본에서도 마찬가지였다(부록 A). 이상의 결과는 출원의 무게중심이 제조공정에서 접합 쪽으로 이동하였음을 보여 준다.</w:t>
      </w:r>
    </w:p>
    <w:p>
      <w:pPr>
        <w:pStyle w:val="BodyText"/>
      </w:pPr>
      <w:r>
        <w:t xml:space="preserve">한편 기술범위와 통합형의 연관은 세 국면 모두에서 유지되었다. 시기별로 분리하여 추정하면 통합형의 상대위험비는 형성기 1.179, 확산기 1.513, 재편기 1.414로 모두 1% 수준에서 유의하다(첫 시기에는 비어 있는 출원청 칸이 많아 출원청 더미를 제외하고 추정). 즉, 융합의 비중과 출원의 무게중심은 국면마다 변화하였으나, 경계를 넘는 특허가 더 다양한 세부 기술을 포함한다는 특징은 세 국면 모두에서 유지되었다.</w:t>
      </w:r>
    </w:p>
    <w:bookmarkEnd w:id="44"/>
    <w:bookmarkStart w:id="45" w:name="기술융합의-구조적-중심-변화-rq3"/>
    <w:p>
      <w:pPr>
        <w:pStyle w:val="Heading3"/>
      </w:pPr>
      <w:r>
        <w:t xml:space="preserve">5.3 기술융합의 구조적 중심 변화 (RQ3)</w:t>
      </w:r>
    </w:p>
    <w:p>
      <w:pPr>
        <w:pStyle w:val="FirstParagraph"/>
      </w:pPr>
      <w:r>
        <w:rPr>
          <w:highlight w:val="yellow"/>
        </w:rPr>
        <w:t xml:space="preserve">제5.2절에서</w:t>
      </w:r>
      <w:r>
        <w:t xml:space="preserve"> </w:t>
      </w:r>
      <w:r>
        <w:t xml:space="preserve">확인한 국면별 변화가 융합의 구조와 어떻게 연관되는지를 파악하기 위해, 본 절에서는 핵심 기술을 포함한 접합 출원이 제조공정 기호를 함께 보유하는 정도와 접합 기호와 결합하는 제조공정 영역의 변화를 시기별로 분석한다. 표 10은 핵심 기술 모형의 분석 결과이다.</w:t>
      </w:r>
    </w:p>
    <w:p>
      <w:pPr>
        <w:pStyle w:val="BodyText"/>
      </w:pPr>
      <w:r>
        <w:rPr>
          <w:b/>
          <w:bCs/>
        </w:rPr>
        <w:t xml:space="preserve">핵심 기술을 포함한 출원은 초기에는 그렇지 않은 출원보다 통합형일 가능성이 현저히 높았으나, 그 차이는 최근 출원일수록 감소하였다.</w:t>
      </w:r>
      <w:r>
        <w:t xml:space="preserve"> </w:t>
      </w:r>
      <w:r>
        <w:t xml:space="preserve">형성기인 2014년 이전에는 핵심 기술을 포함한 접합 출원의 79.6%가 통합형이었던 반면 핵심 기술이 없는 출원은 27.7%에 그쳤으며, 출원청을 통제한 핵심 기술의 승산비는 11.071(p &lt; 0.01)이었다. 확산기인 2015–2019년에도 핵심 기술을 포함한 출원이 더 자주 통합형으로 분류되었으나(77.1% 대 57.9%, 승산비 2.452, p &lt; 0.05), 그 승산비는 2014년 이전의 0.221배로 감소하였다(p &lt; 0.05). 재편기인 2020–2024년에는 핵심 기술을 포함한 출원의 통합형 비중이 48.4%로 낮아져 핵심 기술이 없는 출원(56.9%)과 유의한 차이를 보이지 않았다(승산비 0.658, p = 0.15). 이 시기의 승산비는 2014년 이전의 0.059배이다(p &lt; 0.01). 즉, 핵심 기술을 포함한 출원이 경계를 더 자주 넘는 경향은 형성기에 뚜렷하였으나 재편기에는 확인되지 않았다.</w:t>
      </w:r>
    </w:p>
    <w:p>
      <w:pPr>
        <w:pStyle w:val="BodyText"/>
        <w:keepNext/>
      </w:pPr>
      <w:r>
        <w:rPr>
          <w:b/>
          <w:bCs/>
          <w:sz w:val="20"/>
          <w:szCs w:val="20"/>
        </w:rPr>
        <w:t xml:space="preserve">표 10.</w:t>
      </w:r>
      <w:r>
        <w:rPr>
          <w:sz w:val="20"/>
          <w:szCs w:val="20"/>
        </w:rPr>
        <w:t xml:space="preserve"> </w:t>
      </w:r>
      <w:r>
        <w:rPr>
          <w:sz w:val="20"/>
          <w:szCs w:val="20"/>
        </w:rPr>
        <w:t xml:space="preserve">핵심 기술 보유와 통합형: 출원 시기별 비중과 이항 로짓(H01L24 기호를 가진 출원 N = 763; 종속변수 = 통합형 여부; 출원청 더미 포함; 이분산 강건 표준오차; * p &lt; 0.10, ** p &lt; 0.05, *** p &lt; 0.01).</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286"/>
        <w:gridCol w:w="2004"/>
        <w:gridCol w:w="2004"/>
        <w:gridCol w:w="1415"/>
        <w:gridCol w:w="1572"/>
        <w:gridCol w:w="786"/>
      </w:tblGrid>
      <w:tr>
        <w:trPr>
          <w:tblHeader w:val="on"/>
          <w:cantSplit/>
        </w:trPr>
        <w:tc>
          <w:tcPr>
            <w:tcW w:type="dxa" w:w="1286"/>
            <w:tcBorders>
              <w:bottom w:val="single" w:sz="4" w:space="0" w:color="000000"/>
            </w:tcBorders>
          </w:tcPr>
          <w:p>
            <w:pPr>
              <w:pStyle w:val="Compact"/>
              <w:spacing w:before="20" w:after="20" w:line="240" w:lineRule="auto"/>
              <w:keepNext/>
            </w:pPr>
            <w:r>
              <w:rPr>
                <w:sz w:val="16"/>
                <w:szCs w:val="16"/>
              </w:rPr>
              <w:t xml:space="preserve">출원 시기</w:t>
            </w:r>
          </w:p>
        </w:tc>
        <w:tc>
          <w:tcPr>
            <w:tcW w:type="dxa" w:w="2004"/>
            <w:tcBorders>
              <w:bottom w:val="single" w:sz="4" w:space="0" w:color="000000"/>
            </w:tcBorders>
          </w:tcPr>
          <w:p>
            <w:pPr>
              <w:pStyle w:val="Compact"/>
              <w:spacing w:before="20" w:after="20" w:line="240" w:lineRule="auto"/>
              <w:keepNext/>
            </w:pPr>
            <w:r>
              <w:rPr>
                <w:sz w:val="16"/>
                <w:szCs w:val="16"/>
              </w:rPr>
              <w:t xml:space="preserve">핵심 기술 보유: 통합형/N(%)</w:t>
            </w:r>
          </w:p>
        </w:tc>
        <w:tc>
          <w:tcPr>
            <w:tcW w:type="dxa" w:w="2004"/>
            <w:tcBorders>
              <w:bottom w:val="single" w:sz="4" w:space="0" w:color="000000"/>
            </w:tcBorders>
          </w:tcPr>
          <w:p>
            <w:pPr>
              <w:pStyle w:val="Compact"/>
              <w:spacing w:before="20" w:after="20" w:line="240" w:lineRule="auto"/>
              <w:keepNext/>
            </w:pPr>
            <w:r>
              <w:rPr>
                <w:sz w:val="16"/>
                <w:szCs w:val="16"/>
              </w:rPr>
              <w:t xml:space="preserve">핵심 기술 없음: 통합형/N(%)</w:t>
            </w:r>
          </w:p>
        </w:tc>
        <w:tc>
          <w:tcPr>
            <w:tcW w:type="dxa" w:w="1415"/>
            <w:tcBorders>
              <w:bottom w:val="single" w:sz="4" w:space="0" w:color="000000"/>
            </w:tcBorders>
          </w:tcPr>
          <w:p>
            <w:pPr>
              <w:pStyle w:val="Compact"/>
              <w:spacing w:before="20" w:after="20" w:line="240" w:lineRule="auto"/>
              <w:jc w:val="center"/>
              <w:keepNext/>
            </w:pPr>
            <w:r>
              <w:rPr>
                <w:sz w:val="16"/>
                <w:szCs w:val="16"/>
              </w:rPr>
              <w:t xml:space="preserve">핵심 기술의 승산비</w:t>
            </w:r>
          </w:p>
        </w:tc>
        <w:tc>
          <w:tcPr>
            <w:tcW w:type="dxa" w:w="1572"/>
            <w:tcBorders>
              <w:bottom w:val="single" w:sz="4" w:space="0" w:color="000000"/>
            </w:tcBorders>
          </w:tcPr>
          <w:p>
            <w:pPr>
              <w:pStyle w:val="Compact"/>
              <w:spacing w:before="20" w:after="20" w:line="240" w:lineRule="auto"/>
              <w:jc w:val="center"/>
              <w:keepNext/>
            </w:pPr>
            <w:r>
              <w:rPr>
                <w:sz w:val="16"/>
                <w:szCs w:val="16"/>
              </w:rPr>
              <w:t xml:space="preserve">95% CI</w:t>
            </w:r>
          </w:p>
        </w:tc>
        <w:tc>
          <w:tcPr>
            <w:tcW w:type="dxa" w:w="786"/>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286"/>
          </w:tcPr>
          <w:p>
            <w:pPr>
              <w:pStyle w:val="Compact"/>
              <w:spacing w:before="20" w:after="20" w:line="240" w:lineRule="auto"/>
              <w:keepNext/>
            </w:pPr>
            <w:r>
              <w:rPr>
                <w:sz w:val="16"/>
                <w:szCs w:val="16"/>
              </w:rPr>
              <w:t xml:space="preserve">–2014</w:t>
            </w:r>
          </w:p>
        </w:tc>
        <w:tc>
          <w:tcPr>
            <w:tcW w:type="dxa" w:w="2004"/>
          </w:tcPr>
          <w:p>
            <w:pPr>
              <w:pStyle w:val="Compact"/>
              <w:spacing w:before="20" w:after="20" w:line="240" w:lineRule="auto"/>
              <w:keepNext/>
            </w:pPr>
            <w:r>
              <w:rPr>
                <w:sz w:val="16"/>
                <w:szCs w:val="16"/>
              </w:rPr>
              <w:t xml:space="preserve">43/54 (79.6)</w:t>
            </w:r>
          </w:p>
        </w:tc>
        <w:tc>
          <w:tcPr>
            <w:tcW w:type="dxa" w:w="2004"/>
          </w:tcPr>
          <w:p>
            <w:pPr>
              <w:pStyle w:val="Compact"/>
              <w:spacing w:before="20" w:after="20" w:line="240" w:lineRule="auto"/>
              <w:keepNext/>
            </w:pPr>
            <w:r>
              <w:rPr>
                <w:sz w:val="16"/>
                <w:szCs w:val="16"/>
              </w:rPr>
              <w:t xml:space="preserve">13/47 (27.7)</w:t>
            </w:r>
          </w:p>
        </w:tc>
        <w:tc>
          <w:tcPr>
            <w:tcW w:type="dxa" w:w="1415"/>
          </w:tcPr>
          <w:p>
            <w:pPr>
              <w:pStyle w:val="Compact"/>
              <w:spacing w:before="20" w:after="20" w:line="240" w:lineRule="auto"/>
              <w:jc w:val="center"/>
              <w:keepNext/>
            </w:pPr>
            <w:r>
              <w:rPr>
                <w:sz w:val="16"/>
                <w:szCs w:val="16"/>
              </w:rPr>
              <w:t xml:space="preserve">11.071***</w:t>
            </w:r>
          </w:p>
        </w:tc>
        <w:tc>
          <w:tcPr>
            <w:tcW w:type="dxa" w:w="1572"/>
          </w:tcPr>
          <w:p>
            <w:pPr>
              <w:pStyle w:val="Compact"/>
              <w:spacing w:before="20" w:after="20" w:line="240" w:lineRule="auto"/>
              <w:jc w:val="center"/>
              <w:keepNext/>
            </w:pPr>
            <w:r>
              <w:rPr>
                <w:sz w:val="16"/>
                <w:szCs w:val="16"/>
              </w:rPr>
              <w:t xml:space="preserve">4.211–29.107</w:t>
            </w:r>
          </w:p>
        </w:tc>
        <w:tc>
          <w:tcPr>
            <w:tcW w:type="dxa" w:w="786"/>
          </w:tcPr>
          <w:p>
            <w:pPr>
              <w:pStyle w:val="Compact"/>
              <w:spacing w:before="20" w:after="20" w:line="240" w:lineRule="auto"/>
              <w:jc w:val="center"/>
              <w:keepNext/>
            </w:pPr>
            <w:r>
              <w:rPr>
                <w:sz w:val="16"/>
                <w:szCs w:val="16"/>
              </w:rPr>
              <w:t xml:space="preserve">&lt;0.001</w:t>
            </w:r>
          </w:p>
        </w:tc>
      </w:tr>
      <w:tr>
        <w:trPr>
          <w:cantSplit/>
        </w:trPr>
        <w:tc>
          <w:tcPr>
            <w:tcW w:type="dxa" w:w="1286"/>
          </w:tcPr>
          <w:p>
            <w:pPr>
              <w:pStyle w:val="Compact"/>
              <w:spacing w:before="20" w:after="20" w:line="240" w:lineRule="auto"/>
              <w:keepNext/>
            </w:pPr>
            <w:r>
              <w:rPr>
                <w:sz w:val="16"/>
                <w:szCs w:val="16"/>
              </w:rPr>
              <w:t xml:space="preserve">2015–2019</w:t>
            </w:r>
          </w:p>
        </w:tc>
        <w:tc>
          <w:tcPr>
            <w:tcW w:type="dxa" w:w="2004"/>
          </w:tcPr>
          <w:p>
            <w:pPr>
              <w:pStyle w:val="Compact"/>
              <w:spacing w:before="20" w:after="20" w:line="240" w:lineRule="auto"/>
              <w:keepNext/>
            </w:pPr>
            <w:r>
              <w:rPr>
                <w:sz w:val="16"/>
                <w:szCs w:val="16"/>
              </w:rPr>
              <w:t xml:space="preserve">108/140 (77.1)</w:t>
            </w:r>
          </w:p>
        </w:tc>
        <w:tc>
          <w:tcPr>
            <w:tcW w:type="dxa" w:w="2004"/>
          </w:tcPr>
          <w:p>
            <w:pPr>
              <w:pStyle w:val="Compact"/>
              <w:spacing w:before="20" w:after="20" w:line="240" w:lineRule="auto"/>
              <w:keepNext/>
            </w:pPr>
            <w:r>
              <w:rPr>
                <w:sz w:val="16"/>
                <w:szCs w:val="16"/>
              </w:rPr>
              <w:t xml:space="preserve">22/38 (57.9)</w:t>
            </w:r>
          </w:p>
        </w:tc>
        <w:tc>
          <w:tcPr>
            <w:tcW w:type="dxa" w:w="1415"/>
          </w:tcPr>
          <w:p>
            <w:pPr>
              <w:pStyle w:val="Compact"/>
              <w:spacing w:before="20" w:after="20" w:line="240" w:lineRule="auto"/>
              <w:jc w:val="center"/>
              <w:keepNext/>
            </w:pPr>
            <w:r>
              <w:rPr>
                <w:sz w:val="16"/>
                <w:szCs w:val="16"/>
              </w:rPr>
              <w:t xml:space="preserve">2.452**</w:t>
            </w:r>
          </w:p>
        </w:tc>
        <w:tc>
          <w:tcPr>
            <w:tcW w:type="dxa" w:w="1572"/>
          </w:tcPr>
          <w:p>
            <w:pPr>
              <w:pStyle w:val="Compact"/>
              <w:spacing w:before="20" w:after="20" w:line="240" w:lineRule="auto"/>
              <w:jc w:val="center"/>
              <w:keepNext/>
            </w:pPr>
            <w:r>
              <w:rPr>
                <w:sz w:val="16"/>
                <w:szCs w:val="16"/>
              </w:rPr>
              <w:t xml:space="preserve">1.158–5.194</w:t>
            </w:r>
          </w:p>
        </w:tc>
        <w:tc>
          <w:tcPr>
            <w:tcW w:type="dxa" w:w="786"/>
          </w:tcPr>
          <w:p>
            <w:pPr>
              <w:pStyle w:val="Compact"/>
              <w:spacing w:before="20" w:after="20" w:line="240" w:lineRule="auto"/>
              <w:jc w:val="center"/>
              <w:keepNext/>
            </w:pPr>
            <w:r>
              <w:rPr>
                <w:sz w:val="16"/>
                <w:szCs w:val="16"/>
              </w:rPr>
              <w:t xml:space="preserve">0.019</w:t>
            </w:r>
          </w:p>
        </w:tc>
      </w:tr>
      <w:tr>
        <w:trPr>
          <w:cantSplit/>
        </w:trPr>
        <w:tc>
          <w:tcPr>
            <w:tcW w:type="dxa" w:w="1286"/>
          </w:tcPr>
          <w:p>
            <w:pPr>
              <w:pStyle w:val="Compact"/>
              <w:spacing w:before="20" w:after="20" w:line="240" w:lineRule="auto"/>
              <w:keepNext/>
            </w:pPr>
            <w:r>
              <w:rPr>
                <w:sz w:val="16"/>
                <w:szCs w:val="16"/>
              </w:rPr>
              <w:t xml:space="preserve">2020–2024</w:t>
            </w:r>
          </w:p>
        </w:tc>
        <w:tc>
          <w:tcPr>
            <w:tcW w:type="dxa" w:w="2004"/>
          </w:tcPr>
          <w:p>
            <w:pPr>
              <w:pStyle w:val="Compact"/>
              <w:spacing w:before="20" w:after="20" w:line="240" w:lineRule="auto"/>
              <w:keepNext/>
            </w:pPr>
            <w:r>
              <w:rPr>
                <w:sz w:val="16"/>
                <w:szCs w:val="16"/>
              </w:rPr>
              <w:t xml:space="preserve">206/426 (48.4)</w:t>
            </w:r>
          </w:p>
        </w:tc>
        <w:tc>
          <w:tcPr>
            <w:tcW w:type="dxa" w:w="2004"/>
          </w:tcPr>
          <w:p>
            <w:pPr>
              <w:pStyle w:val="Compact"/>
              <w:spacing w:before="20" w:after="20" w:line="240" w:lineRule="auto"/>
              <w:keepNext/>
            </w:pPr>
            <w:r>
              <w:rPr>
                <w:sz w:val="16"/>
                <w:szCs w:val="16"/>
              </w:rPr>
              <w:t xml:space="preserve">33/58 (56.9)</w:t>
            </w:r>
          </w:p>
        </w:tc>
        <w:tc>
          <w:tcPr>
            <w:tcW w:type="dxa" w:w="1415"/>
          </w:tcPr>
          <w:p>
            <w:pPr>
              <w:pStyle w:val="Compact"/>
              <w:spacing w:before="20" w:after="20" w:line="240" w:lineRule="auto"/>
              <w:jc w:val="center"/>
              <w:keepNext/>
            </w:pPr>
            <w:r>
              <w:rPr>
                <w:sz w:val="16"/>
                <w:szCs w:val="16"/>
              </w:rPr>
              <w:t xml:space="preserve">0.658</w:t>
            </w:r>
          </w:p>
        </w:tc>
        <w:tc>
          <w:tcPr>
            <w:tcW w:type="dxa" w:w="1572"/>
          </w:tcPr>
          <w:p>
            <w:pPr>
              <w:pStyle w:val="Compact"/>
              <w:spacing w:before="20" w:after="20" w:line="240" w:lineRule="auto"/>
              <w:jc w:val="center"/>
              <w:keepNext/>
            </w:pPr>
            <w:r>
              <w:rPr>
                <w:sz w:val="16"/>
                <w:szCs w:val="16"/>
              </w:rPr>
              <w:t xml:space="preserve">0.374–1.160</w:t>
            </w:r>
          </w:p>
        </w:tc>
        <w:tc>
          <w:tcPr>
            <w:tcW w:type="dxa" w:w="786"/>
          </w:tcPr>
          <w:p>
            <w:pPr>
              <w:pStyle w:val="Compact"/>
              <w:spacing w:before="20" w:after="20" w:line="240" w:lineRule="auto"/>
              <w:jc w:val="center"/>
              <w:keepNext/>
            </w:pPr>
            <w:r>
              <w:rPr>
                <w:sz w:val="16"/>
                <w:szCs w:val="16"/>
              </w:rPr>
              <w:t xml:space="preserve">0.148</w:t>
            </w:r>
          </w:p>
        </w:tc>
      </w:tr>
    </w:tbl>
    <w:p>
      <w:pPr>
        <w:pStyle w:val="BodyText"/>
      </w:pPr>
      <w:r>
        <w:rPr>
          <w:i/>
          <w:iCs/>
          <w:sz w:val="20"/>
          <w:szCs w:val="20"/>
        </w:rPr>
        <w:t xml:space="preserve">주:</w:t>
      </w:r>
      <w:r>
        <w:rPr>
          <w:sz w:val="20"/>
          <w:szCs w:val="20"/>
        </w:rPr>
        <w:t xml:space="preserve"> </w:t>
      </w:r>
      <w:r>
        <w:rPr>
          <w:sz w:val="20"/>
          <w:szCs w:val="20"/>
        </w:rPr>
        <w:t xml:space="preserve">승산비는 같은 시기에 핵심 기술을 가진 출원이 통합형일 승산을 가지지 않은 출원과 비교한 값이다(핵심 기술의 주효과와 해당 시기 상호작용의 합을 지수 변환). 상호작용(2014년 이전 대비 배수)은 2015–2019년 0.221(p = 0.016), 2020–2024년 0.059(p &lt; 0.001)이며, 두 상호작용의 결합 Wald χ²(2) = 26.43(p &lt; 0.001), McFadden 의사 R² = 0.069이다.</w:t>
      </w:r>
    </w:p>
    <w:p>
      <w:pPr>
        <w:pStyle w:val="BodyText"/>
      </w:pPr>
      <w:r>
        <w:t xml:space="preserve">변화는 핵심 기술을 포함한 출원에서 비롯되었다. 핵심 기술이 없는 접합 출원의 통합형 비중은 27.7%에서 57.9%, 56.9%로 오히려 높아진 반면, 핵심 기술을 포함한 출원은 79.6%와 77.1%에서 48.4%로 낮아졌다. 같은 기간 접합 출원 가운데 핵심 기술을 포함한 출원의 비중은 53.5%, 78.7%, 88.0%로 높아져, 발명이 하나의 핵심 설계로 수렴한 것으로 보인다. 핵심 기술과 함께 부여된 제조공정 기호 역시 시기에 따라 달랐다. 핵심 기술을 포함한 통합형 출원에서 가장 빈번한 H01L21 기호는 2015–2019년에는 반도체 몸체끼리의 접합(21/187, 22건)과 기판 관통 배선(21/76898, 21건)이었고, 2020–2024년에는 임시 기판을 이용한 지지(21/6835, 48건)와 봉지 공정용 임시 기판(21/568, 43건)이었다. 뒤의 두 기호는 접합 원리 자체보다는 다이를 지지하고 패키지로 완성하는 공정에 해당한다. 종합하면, 초기에는 핵심 기술을 포함한 발명이 다른 접합 발명에 비해 제조공정 지식을 포함하는 경우가 현저히 많았으나 최근에는 그 차이가 확인되지 않으며, 핵심 기술과 함께 부여되는 제조공정도 다이 지지나 봉지와 같은 주변 공정으로 변화한 것으로 해석된다.</w:t>
      </w:r>
    </w:p>
    <w:p>
      <w:pPr>
        <w:pStyle w:val="BodyText"/>
      </w:pPr>
      <w:r>
        <w:t xml:space="preserve">이러한 이동은 개별 기호를 넘어 제조공정 영역 전체와 기술 네트워크의 구조에서도 확인된다(표 11). 접합 기호와의 Jaccard 계수를 보면, 웨이퍼 제조공정은 형성기 0.306, 확산기 0.598, 재편기 0.159로 확산기에 가장 높았다가 크게 낮아진 반면, 공정 장치는 0.046, 0.059, 0.176으로, 패키징 단계 공정은 0.194, 0.234, 0.268로 지속적으로 높아졌다. 각 영역의 기호가 접합 기호와 함께 부여된 출원 수도 확산기에서 재편기로 가면서 웨이퍼 제조공정은 119건에서 82건으로 감소하였으나, 공정 장치는 11건에서 89건으로, 패키징 단계 공정은 43건에서 139건으로 증가하였다. 이에 따라 접합과 가장 강하게 결합한 제조공정 영역은 형성기와 확산기의 웨이퍼 제조공정에서 재편기의 패키징 단계 공정으로 바뀌었다. 기술 네트워크에서는 허브와 연결 기호가 서로 다른 양상을 보였다. 연결 강도가 가장 큰 세 기호는 세 시기 모두 핵심 기호(24/80, 24/08, 24/05)로, 핵심 기술은 허브의 위치를 유지하였다. 반면 형성기와 확산기에 네트워크 전체에서 매개 중심성이 가장 컸던 기호는 반도체 몸체끼리의 접합(21/187)이었으며, 웨이퍼 제조공정 기호가 전체 매개 중심성의 53.6%와 42.5%를 차지하였다. 재편기에는 이 비중이 9.0%로 감소하고 공정 장치 기호가 26.1%를 차지하였으며, 매개 중심성이 가장 큰 제조공정 기호 다섯 개도 패키지 구조 등 조립체의 제조 장치(21/67121), 이송 장치의 기계 부품(21/67766), 기계적 처리 장치(21/67092), 임시 기판을 이용한 지지(21/6835)의 공정 장치 기호 네 개와 패키징 단계 공정 기호 하나(21/50)였다. 연결 가중치의 역수를 거리로 삼아 계산하여도 이러한 방향은 동일하였다. 즉, 핵심 기술은 네트워크의 중심에 그대로 남아 있는 가운데, 접합과 제조공정을 잇는 연결은 웨이퍼 제조공정에서 공정 장치와 패키징 단계 공정으로 이동하였다.</w:t>
      </w:r>
    </w:p>
    <w:p>
      <w:pPr>
        <w:pStyle w:val="BodyText"/>
        <w:keepNext/>
      </w:pPr>
      <w:r>
        <w:rPr>
          <w:b/>
          <w:bCs/>
          <w:sz w:val="20"/>
          <w:szCs w:val="20"/>
        </w:rPr>
        <w:t xml:space="preserve">표 11.</w:t>
      </w:r>
      <w:r>
        <w:rPr>
          <w:sz w:val="20"/>
          <w:szCs w:val="20"/>
        </w:rPr>
        <w:t xml:space="preserve"> </w:t>
      </w:r>
      <w:r>
        <w:rPr>
          <w:sz w:val="20"/>
          <w:szCs w:val="20"/>
        </w:rPr>
        <w:t xml:space="preserve">시기별 제조공정 영역과 접합 기호의 결합 강도, 기술 네트워크의 허브와 연결(N = 928; Jaccard 계수의 괄호 안은 해당 영역과 접합 기호를 함께 가진 출원 수).</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360"/>
        <w:gridCol w:w="2236"/>
        <w:gridCol w:w="2236"/>
        <w:gridCol w:w="2236"/>
      </w:tblGrid>
      <w:tr>
        <w:trPr>
          <w:tblHeader w:val="on"/>
          <w:cantSplit/>
        </w:trPr>
        <w:tc>
          <w:tcPr>
            <w:tcW w:type="dxa" w:w="2360"/>
            <w:tcBorders>
              <w:bottom w:val="single" w:sz="4" w:space="0" w:color="000000"/>
            </w:tcBorders>
          </w:tcPr>
          <w:p>
            <w:pPr>
              <w:pStyle w:val="Compact"/>
              <w:spacing w:before="20" w:after="20" w:line="240" w:lineRule="auto"/>
              <w:keepNext/>
            </w:pPr>
            <w:r>
              <w:rPr>
                <w:sz w:val="18"/>
                <w:szCs w:val="18"/>
              </w:rPr>
              <w:t xml:space="preserve">지표</w:t>
            </w:r>
          </w:p>
        </w:tc>
        <w:tc>
          <w:tcPr>
            <w:tcW w:type="dxa" w:w="2236"/>
            <w:tcBorders>
              <w:bottom w:val="single" w:sz="4" w:space="0" w:color="000000"/>
            </w:tcBorders>
          </w:tcPr>
          <w:p>
            <w:pPr>
              <w:pStyle w:val="Compact"/>
              <w:spacing w:before="20" w:after="20" w:line="240" w:lineRule="auto"/>
              <w:jc w:val="center"/>
              <w:keepNext/>
            </w:pPr>
            <w:r>
              <w:rPr>
                <w:sz w:val="18"/>
                <w:szCs w:val="18"/>
              </w:rPr>
              <w:t xml:space="preserve">형성기(–2014)</w:t>
            </w:r>
          </w:p>
        </w:tc>
        <w:tc>
          <w:tcPr>
            <w:tcW w:type="dxa" w:w="2236"/>
            <w:tcBorders>
              <w:bottom w:val="single" w:sz="4" w:space="0" w:color="000000"/>
            </w:tcBorders>
          </w:tcPr>
          <w:p>
            <w:pPr>
              <w:pStyle w:val="Compact"/>
              <w:spacing w:before="20" w:after="20" w:line="240" w:lineRule="auto"/>
              <w:jc w:val="center"/>
              <w:keepNext/>
            </w:pPr>
            <w:r>
              <w:rPr>
                <w:sz w:val="18"/>
                <w:szCs w:val="18"/>
              </w:rPr>
              <w:t xml:space="preserve">확산기(2015–2019)</w:t>
            </w:r>
          </w:p>
        </w:tc>
        <w:tc>
          <w:tcPr>
            <w:tcW w:type="dxa" w:w="2236"/>
            <w:tcBorders>
              <w:bottom w:val="single" w:sz="4" w:space="0" w:color="000000"/>
            </w:tcBorders>
          </w:tcPr>
          <w:p>
            <w:pPr>
              <w:pStyle w:val="Compact"/>
              <w:spacing w:before="20" w:after="20" w:line="240" w:lineRule="auto"/>
              <w:jc w:val="center"/>
              <w:keepNext/>
            </w:pPr>
            <w:r>
              <w:rPr>
                <w:sz w:val="18"/>
                <w:szCs w:val="18"/>
              </w:rPr>
              <w:t xml:space="preserve">재편기(2020–2024)</w:t>
            </w:r>
          </w:p>
        </w:tc>
      </w:tr>
      <w:tr>
        <w:trPr>
          <w:cantSplit/>
        </w:trPr>
        <w:tc>
          <w:tcPr>
            <w:tcW w:type="dxa" w:w="2360"/>
          </w:tcPr>
          <w:p>
            <w:pPr>
              <w:pStyle w:val="Compact"/>
              <w:spacing w:before="20" w:after="20" w:line="240" w:lineRule="auto"/>
              <w:keepNext/>
            </w:pPr>
            <w:r>
              <w:rPr>
                <w:sz w:val="18"/>
                <w:szCs w:val="18"/>
              </w:rPr>
              <w:t xml:space="preserve">접합 기호와의 Jaccard: 웨이퍼 제조공정</w:t>
            </w:r>
          </w:p>
        </w:tc>
        <w:tc>
          <w:tcPr>
            <w:tcW w:type="dxa" w:w="2236"/>
          </w:tcPr>
          <w:p>
            <w:pPr>
              <w:pStyle w:val="Compact"/>
              <w:spacing w:before="20" w:after="20" w:line="240" w:lineRule="auto"/>
              <w:jc w:val="center"/>
              <w:keepNext/>
            </w:pPr>
            <w:r>
              <w:rPr>
                <w:sz w:val="18"/>
                <w:szCs w:val="18"/>
              </w:rPr>
              <w:t xml:space="preserve">0.306 (52)</w:t>
            </w:r>
          </w:p>
        </w:tc>
        <w:tc>
          <w:tcPr>
            <w:tcW w:type="dxa" w:w="2236"/>
          </w:tcPr>
          <w:p>
            <w:pPr>
              <w:pStyle w:val="Compact"/>
              <w:spacing w:before="20" w:after="20" w:line="240" w:lineRule="auto"/>
              <w:jc w:val="center"/>
              <w:keepNext/>
            </w:pPr>
            <w:r>
              <w:rPr>
                <w:sz w:val="18"/>
                <w:szCs w:val="18"/>
              </w:rPr>
              <w:t xml:space="preserve">0.598 (119)</w:t>
            </w:r>
          </w:p>
        </w:tc>
        <w:tc>
          <w:tcPr>
            <w:tcW w:type="dxa" w:w="2236"/>
          </w:tcPr>
          <w:p>
            <w:pPr>
              <w:pStyle w:val="Compact"/>
              <w:spacing w:before="20" w:after="20" w:line="240" w:lineRule="auto"/>
              <w:jc w:val="center"/>
              <w:keepNext/>
            </w:pPr>
            <w:r>
              <w:rPr>
                <w:sz w:val="18"/>
                <w:szCs w:val="18"/>
              </w:rPr>
              <w:t xml:space="preserve">0.159 (82)</w:t>
            </w:r>
          </w:p>
        </w:tc>
      </w:tr>
      <w:tr>
        <w:trPr>
          <w:cantSplit/>
        </w:trPr>
        <w:tc>
          <w:tcPr>
            <w:tcW w:type="dxa" w:w="2360"/>
          </w:tcPr>
          <w:p>
            <w:pPr>
              <w:pStyle w:val="Compact"/>
              <w:spacing w:before="20" w:after="20" w:line="240" w:lineRule="auto"/>
              <w:keepNext/>
            </w:pPr>
            <w:r>
              <w:rPr>
                <w:sz w:val="18"/>
                <w:szCs w:val="18"/>
              </w:rPr>
              <w:t xml:space="preserve">접합 기호와의 Jaccard: 공정 장치</w:t>
            </w:r>
          </w:p>
        </w:tc>
        <w:tc>
          <w:tcPr>
            <w:tcW w:type="dxa" w:w="2236"/>
          </w:tcPr>
          <w:p>
            <w:pPr>
              <w:pStyle w:val="Compact"/>
              <w:spacing w:before="20" w:after="20" w:line="240" w:lineRule="auto"/>
              <w:jc w:val="center"/>
              <w:keepNext/>
            </w:pPr>
            <w:r>
              <w:rPr>
                <w:sz w:val="18"/>
                <w:szCs w:val="18"/>
              </w:rPr>
              <w:t xml:space="preserve">0.046 (5)</w:t>
            </w:r>
          </w:p>
        </w:tc>
        <w:tc>
          <w:tcPr>
            <w:tcW w:type="dxa" w:w="2236"/>
          </w:tcPr>
          <w:p>
            <w:pPr>
              <w:pStyle w:val="Compact"/>
              <w:spacing w:before="20" w:after="20" w:line="240" w:lineRule="auto"/>
              <w:jc w:val="center"/>
              <w:keepNext/>
            </w:pPr>
            <w:r>
              <w:rPr>
                <w:sz w:val="18"/>
                <w:szCs w:val="18"/>
              </w:rPr>
              <w:t xml:space="preserve">0.059 (11)</w:t>
            </w:r>
          </w:p>
        </w:tc>
        <w:tc>
          <w:tcPr>
            <w:tcW w:type="dxa" w:w="2236"/>
          </w:tcPr>
          <w:p>
            <w:pPr>
              <w:pStyle w:val="Compact"/>
              <w:spacing w:before="20" w:after="20" w:line="240" w:lineRule="auto"/>
              <w:jc w:val="center"/>
              <w:keepNext/>
            </w:pPr>
            <w:r>
              <w:rPr>
                <w:sz w:val="18"/>
                <w:szCs w:val="18"/>
              </w:rPr>
              <w:t xml:space="preserve">0.176 (89)</w:t>
            </w:r>
          </w:p>
        </w:tc>
      </w:tr>
      <w:tr>
        <w:trPr>
          <w:cantSplit/>
        </w:trPr>
        <w:tc>
          <w:tcPr>
            <w:tcW w:type="dxa" w:w="2360"/>
          </w:tcPr>
          <w:p>
            <w:pPr>
              <w:pStyle w:val="Compact"/>
              <w:spacing w:before="20" w:after="20" w:line="240" w:lineRule="auto"/>
              <w:keepNext/>
            </w:pPr>
            <w:r>
              <w:rPr>
                <w:sz w:val="18"/>
                <w:szCs w:val="18"/>
              </w:rPr>
              <w:t xml:space="preserve">접합 기호와의 Jaccard: 패키징 단계 공정</w:t>
            </w:r>
          </w:p>
        </w:tc>
        <w:tc>
          <w:tcPr>
            <w:tcW w:type="dxa" w:w="2236"/>
          </w:tcPr>
          <w:p>
            <w:pPr>
              <w:pStyle w:val="Compact"/>
              <w:spacing w:before="20" w:after="20" w:line="240" w:lineRule="auto"/>
              <w:jc w:val="center"/>
              <w:keepNext/>
            </w:pPr>
            <w:r>
              <w:rPr>
                <w:sz w:val="18"/>
                <w:szCs w:val="18"/>
              </w:rPr>
              <w:t xml:space="preserve">0.194 (21)</w:t>
            </w:r>
          </w:p>
        </w:tc>
        <w:tc>
          <w:tcPr>
            <w:tcW w:type="dxa" w:w="2236"/>
          </w:tcPr>
          <w:p>
            <w:pPr>
              <w:pStyle w:val="Compact"/>
              <w:spacing w:before="20" w:after="20" w:line="240" w:lineRule="auto"/>
              <w:jc w:val="center"/>
              <w:keepNext/>
            </w:pPr>
            <w:r>
              <w:rPr>
                <w:sz w:val="18"/>
                <w:szCs w:val="18"/>
              </w:rPr>
              <w:t xml:space="preserve">0.234 (43)</w:t>
            </w:r>
          </w:p>
        </w:tc>
        <w:tc>
          <w:tcPr>
            <w:tcW w:type="dxa" w:w="2236"/>
          </w:tcPr>
          <w:p>
            <w:pPr>
              <w:pStyle w:val="Compact"/>
              <w:spacing w:before="20" w:after="20" w:line="240" w:lineRule="auto"/>
              <w:jc w:val="center"/>
              <w:keepNext/>
            </w:pPr>
            <w:r>
              <w:rPr>
                <w:sz w:val="18"/>
                <w:szCs w:val="18"/>
              </w:rPr>
              <w:t xml:space="preserve">0.268 (139)</w:t>
            </w:r>
          </w:p>
        </w:tc>
      </w:tr>
      <w:tr>
        <w:trPr>
          <w:cantSplit/>
        </w:trPr>
        <w:tc>
          <w:tcPr>
            <w:tcW w:type="dxa" w:w="2360"/>
          </w:tcPr>
          <w:p>
            <w:pPr>
              <w:pStyle w:val="Compact"/>
              <w:spacing w:before="20" w:after="20" w:line="240" w:lineRule="auto"/>
              <w:keepNext/>
            </w:pPr>
            <w:r>
              <w:rPr>
                <w:sz w:val="18"/>
                <w:szCs w:val="18"/>
              </w:rPr>
              <w:t xml:space="preserve">매개 중심성 비중(%): 웨이퍼 제조공정</w:t>
            </w:r>
          </w:p>
        </w:tc>
        <w:tc>
          <w:tcPr>
            <w:tcW w:type="dxa" w:w="2236"/>
          </w:tcPr>
          <w:p>
            <w:pPr>
              <w:pStyle w:val="Compact"/>
              <w:spacing w:before="20" w:after="20" w:line="240" w:lineRule="auto"/>
              <w:jc w:val="center"/>
              <w:keepNext/>
            </w:pPr>
            <w:r>
              <w:rPr>
                <w:sz w:val="18"/>
                <w:szCs w:val="18"/>
              </w:rPr>
              <w:t xml:space="preserve">53.6</w:t>
            </w:r>
          </w:p>
        </w:tc>
        <w:tc>
          <w:tcPr>
            <w:tcW w:type="dxa" w:w="2236"/>
          </w:tcPr>
          <w:p>
            <w:pPr>
              <w:pStyle w:val="Compact"/>
              <w:spacing w:before="20" w:after="20" w:line="240" w:lineRule="auto"/>
              <w:jc w:val="center"/>
              <w:keepNext/>
            </w:pPr>
            <w:r>
              <w:rPr>
                <w:sz w:val="18"/>
                <w:szCs w:val="18"/>
              </w:rPr>
              <w:t xml:space="preserve">42.5</w:t>
            </w:r>
          </w:p>
        </w:tc>
        <w:tc>
          <w:tcPr>
            <w:tcW w:type="dxa" w:w="2236"/>
          </w:tcPr>
          <w:p>
            <w:pPr>
              <w:pStyle w:val="Compact"/>
              <w:spacing w:before="20" w:after="20" w:line="240" w:lineRule="auto"/>
              <w:jc w:val="center"/>
              <w:keepNext/>
            </w:pPr>
            <w:r>
              <w:rPr>
                <w:sz w:val="18"/>
                <w:szCs w:val="18"/>
              </w:rPr>
              <w:t xml:space="preserve">9.0</w:t>
            </w:r>
          </w:p>
        </w:tc>
      </w:tr>
      <w:tr>
        <w:trPr>
          <w:cantSplit/>
        </w:trPr>
        <w:tc>
          <w:tcPr>
            <w:tcW w:type="dxa" w:w="2360"/>
          </w:tcPr>
          <w:p>
            <w:pPr>
              <w:pStyle w:val="Compact"/>
              <w:spacing w:before="20" w:after="20" w:line="240" w:lineRule="auto"/>
              <w:keepNext/>
            </w:pPr>
            <w:r>
              <w:rPr>
                <w:sz w:val="18"/>
                <w:szCs w:val="18"/>
              </w:rPr>
              <w:t xml:space="preserve">매개 중심성 비중(%): 공정 장치</w:t>
            </w:r>
          </w:p>
        </w:tc>
        <w:tc>
          <w:tcPr>
            <w:tcW w:type="dxa" w:w="2236"/>
          </w:tcPr>
          <w:p>
            <w:pPr>
              <w:pStyle w:val="Compact"/>
              <w:spacing w:before="20" w:after="20" w:line="240" w:lineRule="auto"/>
              <w:jc w:val="center"/>
              <w:keepNext/>
            </w:pPr>
            <w:r>
              <w:rPr>
                <w:sz w:val="18"/>
                <w:szCs w:val="18"/>
              </w:rPr>
              <w:t xml:space="preserve">0.0</w:t>
            </w:r>
          </w:p>
        </w:tc>
        <w:tc>
          <w:tcPr>
            <w:tcW w:type="dxa" w:w="2236"/>
          </w:tcPr>
          <w:p>
            <w:pPr>
              <w:pStyle w:val="Compact"/>
              <w:spacing w:before="20" w:after="20" w:line="240" w:lineRule="auto"/>
              <w:jc w:val="center"/>
              <w:keepNext/>
            </w:pPr>
            <w:r>
              <w:rPr>
                <w:sz w:val="18"/>
                <w:szCs w:val="18"/>
              </w:rPr>
              <w:t xml:space="preserve">1.8</w:t>
            </w:r>
          </w:p>
        </w:tc>
        <w:tc>
          <w:tcPr>
            <w:tcW w:type="dxa" w:w="2236"/>
          </w:tcPr>
          <w:p>
            <w:pPr>
              <w:pStyle w:val="Compact"/>
              <w:spacing w:before="20" w:after="20" w:line="240" w:lineRule="auto"/>
              <w:jc w:val="center"/>
              <w:keepNext/>
            </w:pPr>
            <w:r>
              <w:rPr>
                <w:sz w:val="18"/>
                <w:szCs w:val="18"/>
              </w:rPr>
              <w:t xml:space="preserve">26.1</w:t>
            </w:r>
          </w:p>
        </w:tc>
      </w:tr>
      <w:tr>
        <w:trPr>
          <w:cantSplit/>
        </w:trPr>
        <w:tc>
          <w:tcPr>
            <w:tcW w:type="dxa" w:w="2360"/>
          </w:tcPr>
          <w:p>
            <w:pPr>
              <w:pStyle w:val="Compact"/>
              <w:spacing w:before="20" w:after="20" w:line="240" w:lineRule="auto"/>
              <w:keepNext/>
            </w:pPr>
            <w:r>
              <w:rPr>
                <w:sz w:val="18"/>
                <w:szCs w:val="18"/>
              </w:rPr>
              <w:t xml:space="preserve">매개 중심성 비중(%): 패키징 단계 공정</w:t>
            </w:r>
          </w:p>
        </w:tc>
        <w:tc>
          <w:tcPr>
            <w:tcW w:type="dxa" w:w="2236"/>
          </w:tcPr>
          <w:p>
            <w:pPr>
              <w:pStyle w:val="Compact"/>
              <w:spacing w:before="20" w:after="20" w:line="240" w:lineRule="auto"/>
              <w:jc w:val="center"/>
              <w:keepNext/>
            </w:pPr>
            <w:r>
              <w:rPr>
                <w:sz w:val="18"/>
                <w:szCs w:val="18"/>
              </w:rPr>
              <w:t xml:space="preserve">0.3</w:t>
            </w:r>
          </w:p>
        </w:tc>
        <w:tc>
          <w:tcPr>
            <w:tcW w:type="dxa" w:w="2236"/>
          </w:tcPr>
          <w:p>
            <w:pPr>
              <w:pStyle w:val="Compact"/>
              <w:spacing w:before="20" w:after="20" w:line="240" w:lineRule="auto"/>
              <w:jc w:val="center"/>
              <w:keepNext/>
            </w:pPr>
            <w:r>
              <w:rPr>
                <w:sz w:val="18"/>
                <w:szCs w:val="18"/>
              </w:rPr>
              <w:t xml:space="preserve">0.6</w:t>
            </w:r>
          </w:p>
        </w:tc>
        <w:tc>
          <w:tcPr>
            <w:tcW w:type="dxa" w:w="2236"/>
          </w:tcPr>
          <w:p>
            <w:pPr>
              <w:pStyle w:val="Compact"/>
              <w:spacing w:before="20" w:after="20" w:line="240" w:lineRule="auto"/>
              <w:jc w:val="center"/>
              <w:keepNext/>
            </w:pPr>
            <w:r>
              <w:rPr>
                <w:sz w:val="18"/>
                <w:szCs w:val="18"/>
              </w:rPr>
              <w:t xml:space="preserve">7.3</w:t>
            </w:r>
          </w:p>
        </w:tc>
      </w:tr>
      <w:tr>
        <w:trPr>
          <w:cantSplit/>
        </w:trPr>
        <w:tc>
          <w:tcPr>
            <w:tcW w:type="dxa" w:w="2360"/>
          </w:tcPr>
          <w:p>
            <w:pPr>
              <w:pStyle w:val="Compact"/>
              <w:spacing w:before="20" w:after="20" w:line="240" w:lineRule="auto"/>
              <w:keepNext/>
            </w:pPr>
            <w:r>
              <w:rPr>
                <w:sz w:val="18"/>
                <w:szCs w:val="18"/>
              </w:rPr>
              <w:t xml:space="preserve">매개 중심성 비중(%): 접합 기호(H01L24)</w:t>
            </w:r>
          </w:p>
        </w:tc>
        <w:tc>
          <w:tcPr>
            <w:tcW w:type="dxa" w:w="2236"/>
          </w:tcPr>
          <w:p>
            <w:pPr>
              <w:pStyle w:val="Compact"/>
              <w:spacing w:before="20" w:after="20" w:line="240" w:lineRule="auto"/>
              <w:jc w:val="center"/>
              <w:keepNext/>
            </w:pPr>
            <w:r>
              <w:rPr>
                <w:sz w:val="18"/>
                <w:szCs w:val="18"/>
              </w:rPr>
              <w:t xml:space="preserve">46.1</w:t>
            </w:r>
          </w:p>
        </w:tc>
        <w:tc>
          <w:tcPr>
            <w:tcW w:type="dxa" w:w="2236"/>
          </w:tcPr>
          <w:p>
            <w:pPr>
              <w:pStyle w:val="Compact"/>
              <w:spacing w:before="20" w:after="20" w:line="240" w:lineRule="auto"/>
              <w:jc w:val="center"/>
              <w:keepNext/>
            </w:pPr>
            <w:r>
              <w:rPr>
                <w:sz w:val="18"/>
                <w:szCs w:val="18"/>
              </w:rPr>
              <w:t xml:space="preserve">55.1</w:t>
            </w:r>
          </w:p>
        </w:tc>
        <w:tc>
          <w:tcPr>
            <w:tcW w:type="dxa" w:w="2236"/>
          </w:tcPr>
          <w:p>
            <w:pPr>
              <w:pStyle w:val="Compact"/>
              <w:spacing w:before="20" w:after="20" w:line="240" w:lineRule="auto"/>
              <w:jc w:val="center"/>
              <w:keepNext/>
            </w:pPr>
            <w:r>
              <w:rPr>
                <w:sz w:val="18"/>
                <w:szCs w:val="18"/>
              </w:rPr>
              <w:t xml:space="preserve">57.6</w:t>
            </w:r>
          </w:p>
        </w:tc>
      </w:tr>
      <w:tr>
        <w:trPr>
          <w:cantSplit/>
        </w:trPr>
        <w:tc>
          <w:tcPr>
            <w:tcW w:type="dxa" w:w="2360"/>
          </w:tcPr>
          <w:p>
            <w:pPr>
              <w:pStyle w:val="Compact"/>
              <w:spacing w:before="20" w:after="20" w:line="240" w:lineRule="auto"/>
              <w:keepNext/>
            </w:pPr>
            <w:r>
              <w:rPr>
                <w:sz w:val="18"/>
                <w:szCs w:val="18"/>
              </w:rPr>
              <w:t xml:space="preserve">허브: 연결 강도 상위 세 기호</w:t>
            </w:r>
          </w:p>
        </w:tc>
        <w:tc>
          <w:tcPr>
            <w:tcW w:type="dxa" w:w="2236"/>
          </w:tcPr>
          <w:p>
            <w:pPr>
              <w:pStyle w:val="Compact"/>
              <w:spacing w:before="20" w:after="20" w:line="240" w:lineRule="auto"/>
              <w:jc w:val="center"/>
              <w:keepNext/>
            </w:pPr>
            <w:r>
              <w:rPr>
                <w:sz w:val="18"/>
                <w:szCs w:val="18"/>
              </w:rPr>
              <w:t xml:space="preserve">24/80, 24/05, 24/08</w:t>
            </w:r>
          </w:p>
        </w:tc>
        <w:tc>
          <w:tcPr>
            <w:tcW w:type="dxa" w:w="2236"/>
          </w:tcPr>
          <w:p>
            <w:pPr>
              <w:pStyle w:val="Compact"/>
              <w:spacing w:before="20" w:after="20" w:line="240" w:lineRule="auto"/>
              <w:jc w:val="center"/>
              <w:keepNext/>
            </w:pPr>
            <w:r>
              <w:rPr>
                <w:sz w:val="18"/>
                <w:szCs w:val="18"/>
              </w:rPr>
              <w:t xml:space="preserve">24/80, 24/05, 24/08</w:t>
            </w:r>
          </w:p>
        </w:tc>
        <w:tc>
          <w:tcPr>
            <w:tcW w:type="dxa" w:w="2236"/>
          </w:tcPr>
          <w:p>
            <w:pPr>
              <w:pStyle w:val="Compact"/>
              <w:spacing w:before="20" w:after="20" w:line="240" w:lineRule="auto"/>
              <w:jc w:val="center"/>
              <w:keepNext/>
            </w:pPr>
            <w:r>
              <w:rPr>
                <w:sz w:val="18"/>
                <w:szCs w:val="18"/>
              </w:rPr>
              <w:t xml:space="preserve">24/08, 24/80, 24/05</w:t>
            </w:r>
          </w:p>
        </w:tc>
      </w:tr>
      <w:tr>
        <w:trPr>
          <w:cantSplit/>
        </w:trPr>
        <w:tc>
          <w:tcPr>
            <w:tcW w:type="dxa" w:w="2360"/>
          </w:tcPr>
          <w:p>
            <w:pPr>
              <w:pStyle w:val="Compact"/>
              <w:spacing w:before="20" w:after="20" w:line="240" w:lineRule="auto"/>
              <w:keepNext/>
            </w:pPr>
            <w:r>
              <w:rPr>
                <w:sz w:val="18"/>
                <w:szCs w:val="18"/>
              </w:rPr>
              <w:t xml:space="preserve">연결 기호: 매개 중심성 상위 제조공정 기호</w:t>
            </w:r>
          </w:p>
        </w:tc>
        <w:tc>
          <w:tcPr>
            <w:tcW w:type="dxa" w:w="2236"/>
          </w:tcPr>
          <w:p>
            <w:pPr>
              <w:pStyle w:val="Compact"/>
              <w:spacing w:before="20" w:after="20" w:line="240" w:lineRule="auto"/>
              <w:jc w:val="center"/>
              <w:keepNext/>
            </w:pPr>
            <w:r>
              <w:rPr>
                <w:sz w:val="18"/>
                <w:szCs w:val="18"/>
              </w:rPr>
              <w:t xml:space="preserve">21/187, 21/76251</w:t>
            </w:r>
          </w:p>
        </w:tc>
        <w:tc>
          <w:tcPr>
            <w:tcW w:type="dxa" w:w="2236"/>
          </w:tcPr>
          <w:p>
            <w:pPr>
              <w:pStyle w:val="Compact"/>
              <w:spacing w:before="20" w:after="20" w:line="240" w:lineRule="auto"/>
              <w:jc w:val="center"/>
              <w:keepNext/>
            </w:pPr>
            <w:r>
              <w:rPr>
                <w:sz w:val="18"/>
                <w:szCs w:val="18"/>
              </w:rPr>
              <w:t xml:space="preserve">21/187, 21/2007</w:t>
            </w:r>
          </w:p>
        </w:tc>
        <w:tc>
          <w:tcPr>
            <w:tcW w:type="dxa" w:w="2236"/>
          </w:tcPr>
          <w:p>
            <w:pPr>
              <w:pStyle w:val="Compact"/>
              <w:spacing w:before="20" w:after="20" w:line="240" w:lineRule="auto"/>
              <w:jc w:val="center"/>
              <w:keepNext/>
            </w:pPr>
            <w:r>
              <w:rPr>
                <w:sz w:val="18"/>
                <w:szCs w:val="18"/>
              </w:rPr>
              <w:t xml:space="preserve">21/67121, 21/67766</w:t>
            </w:r>
          </w:p>
        </w:tc>
      </w:tr>
    </w:tbl>
    <w:p>
      <w:pPr>
        <w:pStyle w:val="BodyText"/>
      </w:pPr>
      <w:r>
        <w:rPr>
          <w:i/>
          <w:iCs/>
          <w:sz w:val="20"/>
          <w:szCs w:val="20"/>
        </w:rPr>
        <w:t xml:space="preserve">주:</w:t>
      </w:r>
      <w:r>
        <w:rPr>
          <w:sz w:val="20"/>
          <w:szCs w:val="20"/>
        </w:rPr>
        <w:t xml:space="preserve"> </w:t>
      </w:r>
      <w:r>
        <w:rPr>
          <w:sz w:val="20"/>
          <w:szCs w:val="20"/>
        </w:rPr>
        <w:t xml:space="preserve">Jaccard 계수는 해당 영역의 기호와 접합 기호를 함께 가진 출원 수를 둘 가운데 하나라도 가진 출원 수로 나눈 값이다. 매개 중심성 비중은 시기별 기술 네트워크에서 각 영역 기호의 매개 중심성 합이 전체 합에서 차지하는 비중이며, 연결 가중치를 고려하지 않고 계산하였다. 연결 기호 행은 해당 시기에 매개 중심성이 가장 큰 제조공정 기호 두 개로, 형성기와 확산기의 기호는 웨이퍼 제조공정, 재편기의 기호는 공정 장치에 속한다. 기호 앞의 H01L은 생략하였다.</w:t>
      </w:r>
    </w:p>
    <w:bookmarkEnd w:id="45"/>
    <w:bookmarkStart w:id="46" w:name="강건성-검증"/>
    <w:p>
      <w:pPr>
        <w:pStyle w:val="Heading3"/>
      </w:pPr>
      <w:r>
        <w:t xml:space="preserve">5.4 강건성 검증</w:t>
      </w:r>
    </w:p>
    <w:p>
      <w:pPr>
        <w:pStyle w:val="FirstParagraph"/>
      </w:pPr>
      <w:r>
        <w:t xml:space="preserve">이상의 결과가 표본과 변수 정의에 따라 달라지는지 확인하기 위해, 원자료에서 표본과 변수를 변경하여 재추정하였다. 표 12는</w:t>
      </w:r>
      <w:r>
        <w:t xml:space="preserve"> </w:t>
      </w:r>
      <w:r>
        <w:rPr>
          <w:highlight w:val="yellow"/>
        </w:rPr>
        <w:t xml:space="preserve">다항 로짓의</w:t>
      </w:r>
      <w:r>
        <w:t xml:space="preserve"> </w:t>
      </w:r>
      <w:r>
        <w:t xml:space="preserve">핵심 계수를, 표 13은</w:t>
      </w:r>
      <w:r>
        <w:t xml:space="preserve"> </w:t>
      </w:r>
      <w:r>
        <w:rPr>
          <w:highlight w:val="yellow"/>
        </w:rPr>
        <w:t xml:space="preserve">핵심 기술 모형의</w:t>
      </w:r>
      <w:r>
        <w:t xml:space="preserve"> </w:t>
      </w:r>
      <w:r>
        <w:t xml:space="preserve">시기별 승산비를 비교한 것이며, 다항 로짓의 전체 계수는 부록 A에 제시하였다.</w:t>
      </w:r>
    </w:p>
    <w:p>
      <w:pPr>
        <w:pStyle w:val="BodyText"/>
        <w:keepNext/>
      </w:pPr>
      <w:r>
        <w:rPr>
          <w:b/>
          <w:bCs/>
          <w:sz w:val="20"/>
          <w:szCs w:val="20"/>
        </w:rPr>
        <w:t xml:space="preserve">표 12.</w:t>
      </w:r>
      <w:r>
        <w:rPr>
          <w:sz w:val="20"/>
          <w:szCs w:val="20"/>
        </w:rPr>
        <w:t xml:space="preserve"> </w:t>
      </w:r>
      <w:r>
        <w:rPr>
          <w:highlight w:val="yellow"/>
          <w:sz w:val="20"/>
          <w:szCs w:val="20"/>
        </w:rPr>
        <w:t xml:space="preserve">다항 로짓의</w:t>
      </w:r>
      <w:r>
        <w:rPr>
          <w:sz w:val="20"/>
          <w:szCs w:val="20"/>
        </w:rPr>
        <w:t xml:space="preserve"> </w:t>
      </w:r>
      <w:r>
        <w:rPr>
          <w:sz w:val="20"/>
          <w:szCs w:val="20"/>
        </w:rPr>
        <w:t xml:space="preserve">재추정 결과 비교(다항 로짓 RRR, 기준 범주 = 접합 단독형; 출원청 더미 포함; * p &lt; 0.10, ** p &lt; 0.05, *** p &lt; 0.01).</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4352"/>
        <w:gridCol w:w="705"/>
        <w:gridCol w:w="1682"/>
        <w:gridCol w:w="2329"/>
      </w:tblGrid>
      <w:tr>
        <w:trPr>
          <w:tblHeader w:val="on"/>
          <w:cantSplit/>
        </w:trPr>
        <w:tc>
          <w:tcPr>
            <w:tcW w:type="dxa" w:w="4352"/>
            <w:tcBorders>
              <w:bottom w:val="single" w:sz="4" w:space="0" w:color="000000"/>
            </w:tcBorders>
          </w:tcPr>
          <w:p>
            <w:pPr>
              <w:pStyle w:val="Compact"/>
              <w:spacing w:before="20" w:after="20" w:line="240" w:lineRule="auto"/>
              <w:keepNext/>
            </w:pPr>
            <w:r>
              <w:rPr>
                <w:sz w:val="18"/>
                <w:szCs w:val="18"/>
              </w:rPr>
              <w:t xml:space="preserve">표본·변수</w:t>
            </w:r>
          </w:p>
        </w:tc>
        <w:tc>
          <w:tcPr>
            <w:tcW w:type="dxa" w:w="705"/>
            <w:tcBorders>
              <w:bottom w:val="single" w:sz="4" w:space="0" w:color="000000"/>
            </w:tcBorders>
          </w:tcPr>
          <w:p>
            <w:pPr>
              <w:pStyle w:val="Compact"/>
              <w:spacing w:before="20" w:after="20" w:line="240" w:lineRule="auto"/>
              <w:jc w:val="right"/>
              <w:keepNext/>
            </w:pPr>
            <w:r>
              <w:rPr>
                <w:sz w:val="18"/>
                <w:szCs w:val="18"/>
              </w:rPr>
              <w:t xml:space="preserve">N</w:t>
            </w:r>
          </w:p>
        </w:tc>
        <w:tc>
          <w:tcPr>
            <w:tcW w:type="dxa" w:w="1682"/>
            <w:tcBorders>
              <w:bottom w:val="single" w:sz="4" w:space="0" w:color="000000"/>
            </w:tcBorders>
          </w:tcPr>
          <w:p>
            <w:pPr>
              <w:pStyle w:val="Compact"/>
              <w:spacing w:before="20" w:after="20" w:line="240" w:lineRule="auto"/>
              <w:keepNext/>
            </w:pPr>
            <w:r>
              <w:rPr>
                <w:sz w:val="18"/>
                <w:szCs w:val="18"/>
              </w:rPr>
              <w:t xml:space="preserve">범위 → 통합형</w:t>
            </w:r>
          </w:p>
        </w:tc>
        <w:tc>
          <w:tcPr>
            <w:tcW w:type="dxa" w:w="2329"/>
            <w:tcBorders>
              <w:bottom w:val="single" w:sz="4" w:space="0" w:color="000000"/>
            </w:tcBorders>
          </w:tcPr>
          <w:p>
            <w:pPr>
              <w:pStyle w:val="Compact"/>
              <w:spacing w:before="20" w:after="20" w:line="240" w:lineRule="auto"/>
              <w:keepNext/>
            </w:pPr>
            <w:r>
              <w:rPr>
                <w:sz w:val="18"/>
                <w:szCs w:val="18"/>
              </w:rPr>
              <w:t xml:space="preserve">연도 → 공정 단독형</w:t>
            </w:r>
          </w:p>
        </w:tc>
      </w:tr>
      <w:tr>
        <w:trPr>
          <w:cantSplit/>
        </w:trPr>
        <w:tc>
          <w:tcPr>
            <w:tcW w:type="dxa" w:w="4352"/>
          </w:tcPr>
          <w:p>
            <w:pPr>
              <w:pStyle w:val="Compact"/>
              <w:spacing w:before="20" w:after="20" w:line="240" w:lineRule="auto"/>
              <w:keepNext/>
            </w:pPr>
            <w:r>
              <w:rPr>
                <w:sz w:val="18"/>
                <w:szCs w:val="18"/>
              </w:rPr>
              <w:t xml:space="preserve">기준(표 8)</w:t>
            </w:r>
          </w:p>
        </w:tc>
        <w:tc>
          <w:tcPr>
            <w:tcW w:type="dxa" w:w="705"/>
          </w:tcPr>
          <w:p>
            <w:pPr>
              <w:pStyle w:val="Compact"/>
              <w:spacing w:before="20" w:after="20" w:line="240" w:lineRule="auto"/>
              <w:jc w:val="right"/>
              <w:keepNext/>
            </w:pPr>
            <w:r>
              <w:rPr>
                <w:sz w:val="18"/>
                <w:szCs w:val="18"/>
              </w:rPr>
              <w:t xml:space="preserve">928</w:t>
            </w:r>
          </w:p>
        </w:tc>
        <w:tc>
          <w:tcPr>
            <w:tcW w:type="dxa" w:w="1682"/>
          </w:tcPr>
          <w:p>
            <w:pPr>
              <w:pStyle w:val="Compact"/>
              <w:spacing w:before="20" w:after="20" w:line="240" w:lineRule="auto"/>
              <w:keepNext/>
            </w:pPr>
            <w:r>
              <w:rPr>
                <w:sz w:val="18"/>
                <w:szCs w:val="18"/>
              </w:rPr>
              <w:t xml:space="preserve">1.403***</w:t>
            </w:r>
          </w:p>
        </w:tc>
        <w:tc>
          <w:tcPr>
            <w:tcW w:type="dxa" w:w="2329"/>
          </w:tcPr>
          <w:p>
            <w:pPr>
              <w:pStyle w:val="Compact"/>
              <w:spacing w:before="20" w:after="20" w:line="240" w:lineRule="auto"/>
              <w:keepNext/>
            </w:pPr>
            <w:r>
              <w:rPr>
                <w:sz w:val="18"/>
                <w:szCs w:val="18"/>
              </w:rPr>
              <w:t xml:space="preserve">0.913***</w:t>
            </w:r>
          </w:p>
        </w:tc>
      </w:tr>
      <w:tr>
        <w:trPr>
          <w:cantSplit/>
        </w:trPr>
        <w:tc>
          <w:tcPr>
            <w:tcW w:type="dxa" w:w="4352"/>
          </w:tcPr>
          <w:p>
            <w:pPr>
              <w:pStyle w:val="Compact"/>
              <w:spacing w:before="20" w:after="20" w:line="240" w:lineRule="auto"/>
              <w:keepNext/>
            </w:pPr>
            <w:r>
              <w:rPr>
                <w:sz w:val="18"/>
                <w:szCs w:val="18"/>
              </w:rPr>
              <w:t xml:space="preserve">기준 + 동일 제목 군집 표준오차</w:t>
            </w:r>
          </w:p>
        </w:tc>
        <w:tc>
          <w:tcPr>
            <w:tcW w:type="dxa" w:w="705"/>
          </w:tcPr>
          <w:p>
            <w:pPr>
              <w:pStyle w:val="Compact"/>
              <w:spacing w:before="20" w:after="20" w:line="240" w:lineRule="auto"/>
              <w:jc w:val="right"/>
              <w:keepNext/>
            </w:pPr>
            <w:r>
              <w:rPr>
                <w:sz w:val="18"/>
                <w:szCs w:val="18"/>
              </w:rPr>
              <w:t xml:space="preserve">928</w:t>
            </w:r>
          </w:p>
        </w:tc>
        <w:tc>
          <w:tcPr>
            <w:tcW w:type="dxa" w:w="1682"/>
          </w:tcPr>
          <w:p>
            <w:pPr>
              <w:pStyle w:val="Compact"/>
              <w:spacing w:before="20" w:after="20" w:line="240" w:lineRule="auto"/>
              <w:keepNext/>
            </w:pPr>
            <w:r>
              <w:rPr>
                <w:sz w:val="18"/>
                <w:szCs w:val="18"/>
              </w:rPr>
              <w:t xml:space="preserve">1.403***</w:t>
            </w:r>
          </w:p>
        </w:tc>
        <w:tc>
          <w:tcPr>
            <w:tcW w:type="dxa" w:w="2329"/>
          </w:tcPr>
          <w:p>
            <w:pPr>
              <w:pStyle w:val="Compact"/>
              <w:spacing w:before="20" w:after="20" w:line="240" w:lineRule="auto"/>
              <w:keepNext/>
            </w:pPr>
            <w:r>
              <w:rPr>
                <w:sz w:val="18"/>
                <w:szCs w:val="18"/>
              </w:rPr>
              <w:t xml:space="preserve">0.913***</w:t>
            </w:r>
          </w:p>
        </w:tc>
      </w:tr>
      <w:tr>
        <w:trPr>
          <w:cantSplit/>
        </w:trPr>
        <w:tc>
          <w:tcPr>
            <w:tcW w:type="dxa" w:w="4352"/>
          </w:tcPr>
          <w:p>
            <w:pPr>
              <w:pStyle w:val="Compact"/>
              <w:spacing w:before="20" w:after="20" w:line="240" w:lineRule="auto"/>
              <w:keepNext/>
            </w:pPr>
            <w:r>
              <w:rPr>
                <w:sz w:val="18"/>
                <w:szCs w:val="18"/>
              </w:rPr>
              <w:t xml:space="preserve">동일 제목 중복 제거(제목당 1건)</w:t>
            </w:r>
          </w:p>
        </w:tc>
        <w:tc>
          <w:tcPr>
            <w:tcW w:type="dxa" w:w="705"/>
          </w:tcPr>
          <w:p>
            <w:pPr>
              <w:pStyle w:val="Compact"/>
              <w:spacing w:before="20" w:after="20" w:line="240" w:lineRule="auto"/>
              <w:jc w:val="right"/>
              <w:keepNext/>
            </w:pPr>
            <w:r>
              <w:rPr>
                <w:sz w:val="18"/>
                <w:szCs w:val="18"/>
              </w:rPr>
              <w:t xml:space="preserve">473</w:t>
            </w:r>
          </w:p>
        </w:tc>
        <w:tc>
          <w:tcPr>
            <w:tcW w:type="dxa" w:w="1682"/>
          </w:tcPr>
          <w:p>
            <w:pPr>
              <w:pStyle w:val="Compact"/>
              <w:spacing w:before="20" w:after="20" w:line="240" w:lineRule="auto"/>
              <w:keepNext/>
            </w:pPr>
            <w:r>
              <w:rPr>
                <w:sz w:val="18"/>
                <w:szCs w:val="18"/>
              </w:rPr>
              <w:t xml:space="preserve">1.295***</w:t>
            </w:r>
          </w:p>
        </w:tc>
        <w:tc>
          <w:tcPr>
            <w:tcW w:type="dxa" w:w="2329"/>
          </w:tcPr>
          <w:p>
            <w:pPr>
              <w:pStyle w:val="Compact"/>
              <w:spacing w:before="20" w:after="20" w:line="240" w:lineRule="auto"/>
              <w:keepNext/>
            </w:pPr>
            <w:r>
              <w:rPr>
                <w:sz w:val="18"/>
                <w:szCs w:val="18"/>
              </w:rPr>
              <w:t xml:space="preserve">0.935***</w:t>
            </w:r>
          </w:p>
        </w:tc>
      </w:tr>
      <w:tr>
        <w:trPr>
          <w:cantSplit/>
        </w:trPr>
        <w:tc>
          <w:tcPr>
            <w:tcW w:type="dxa" w:w="4352"/>
          </w:tcPr>
          <w:p>
            <w:pPr>
              <w:pStyle w:val="Compact"/>
              <w:spacing w:before="20" w:after="20" w:line="240" w:lineRule="auto"/>
              <w:keepNext/>
            </w:pPr>
            <w:r>
              <w:rPr>
                <w:sz w:val="18"/>
                <w:szCs w:val="18"/>
              </w:rPr>
              <w:t xml:space="preserve">좁은 제조공정 정의(패키징 단계 공정 제외)</w:t>
            </w:r>
          </w:p>
        </w:tc>
        <w:tc>
          <w:tcPr>
            <w:tcW w:type="dxa" w:w="705"/>
          </w:tcPr>
          <w:p>
            <w:pPr>
              <w:pStyle w:val="Compact"/>
              <w:spacing w:before="20" w:after="20" w:line="240" w:lineRule="auto"/>
              <w:jc w:val="right"/>
              <w:keepNext/>
            </w:pPr>
            <w:r>
              <w:rPr>
                <w:sz w:val="18"/>
                <w:szCs w:val="18"/>
              </w:rPr>
              <w:t xml:space="preserve">908</w:t>
            </w:r>
          </w:p>
        </w:tc>
        <w:tc>
          <w:tcPr>
            <w:tcW w:type="dxa" w:w="1682"/>
          </w:tcPr>
          <w:p>
            <w:pPr>
              <w:pStyle w:val="Compact"/>
              <w:spacing w:before="20" w:after="20" w:line="240" w:lineRule="auto"/>
              <w:keepNext/>
            </w:pPr>
            <w:r>
              <w:rPr>
                <w:sz w:val="18"/>
                <w:szCs w:val="18"/>
              </w:rPr>
              <w:t xml:space="preserve">1.352***</w:t>
            </w:r>
          </w:p>
        </w:tc>
        <w:tc>
          <w:tcPr>
            <w:tcW w:type="dxa" w:w="2329"/>
          </w:tcPr>
          <w:p>
            <w:pPr>
              <w:pStyle w:val="Compact"/>
              <w:spacing w:before="20" w:after="20" w:line="240" w:lineRule="auto"/>
              <w:keepNext/>
            </w:pPr>
            <w:r>
              <w:rPr>
                <w:sz w:val="18"/>
                <w:szCs w:val="18"/>
              </w:rPr>
              <w:t xml:space="preserve">0.898***</w:t>
            </w:r>
          </w:p>
        </w:tc>
      </w:tr>
      <w:tr>
        <w:trPr>
          <w:cantSplit/>
        </w:trPr>
        <w:tc>
          <w:tcPr>
            <w:tcW w:type="dxa" w:w="4352"/>
          </w:tcPr>
          <w:p>
            <w:pPr>
              <w:pStyle w:val="Compact"/>
              <w:spacing w:before="20" w:after="20" w:line="240" w:lineRule="auto"/>
              <w:keepNext/>
            </w:pPr>
            <w:r>
              <w:rPr>
                <w:sz w:val="18"/>
                <w:szCs w:val="18"/>
              </w:rPr>
              <w:t xml:space="preserve">무관 용법 68건 제외</w:t>
            </w:r>
          </w:p>
        </w:tc>
        <w:tc>
          <w:tcPr>
            <w:tcW w:type="dxa" w:w="705"/>
          </w:tcPr>
          <w:p>
            <w:pPr>
              <w:pStyle w:val="Compact"/>
              <w:spacing w:before="20" w:after="20" w:line="240" w:lineRule="auto"/>
              <w:jc w:val="right"/>
              <w:keepNext/>
            </w:pPr>
            <w:r>
              <w:rPr>
                <w:sz w:val="18"/>
                <w:szCs w:val="18"/>
              </w:rPr>
              <w:t xml:space="preserve">860</w:t>
            </w:r>
          </w:p>
        </w:tc>
        <w:tc>
          <w:tcPr>
            <w:tcW w:type="dxa" w:w="1682"/>
          </w:tcPr>
          <w:p>
            <w:pPr>
              <w:pStyle w:val="Compact"/>
              <w:spacing w:before="20" w:after="20" w:line="240" w:lineRule="auto"/>
              <w:keepNext/>
            </w:pPr>
            <w:r>
              <w:rPr>
                <w:sz w:val="18"/>
                <w:szCs w:val="18"/>
              </w:rPr>
              <w:t xml:space="preserve">1.384***</w:t>
            </w:r>
          </w:p>
        </w:tc>
        <w:tc>
          <w:tcPr>
            <w:tcW w:type="dxa" w:w="2329"/>
          </w:tcPr>
          <w:p>
            <w:pPr>
              <w:pStyle w:val="Compact"/>
              <w:spacing w:before="20" w:after="20" w:line="240" w:lineRule="auto"/>
              <w:keepNext/>
            </w:pPr>
            <w:r>
              <w:rPr>
                <w:sz w:val="18"/>
                <w:szCs w:val="18"/>
              </w:rPr>
              <w:t xml:space="preserve">0.820***</w:t>
            </w:r>
          </w:p>
        </w:tc>
      </w:tr>
      <w:tr>
        <w:trPr>
          <w:cantSplit/>
        </w:trPr>
        <w:tc>
          <w:tcPr>
            <w:tcW w:type="dxa" w:w="4352"/>
          </w:tcPr>
          <w:p>
            <w:pPr>
              <w:pStyle w:val="Compact"/>
              <w:spacing w:before="20" w:after="20" w:line="240" w:lineRule="auto"/>
              <w:keepNext/>
            </w:pPr>
            <w:r>
              <w:rPr>
                <w:i/>
                <w:iCs/>
                <w:sz w:val="18"/>
                <w:szCs w:val="18"/>
              </w:rPr>
              <w:t xml:space="preserve">hybrid bonding</w:t>
            </w:r>
            <w:r>
              <w:rPr>
                <w:sz w:val="18"/>
                <w:szCs w:val="18"/>
              </w:rPr>
              <w:t xml:space="preserve"> </w:t>
            </w:r>
            <w:r>
              <w:rPr>
                <w:sz w:val="18"/>
                <w:szCs w:val="18"/>
              </w:rPr>
              <w:t xml:space="preserve">표본(제목 기준)</w:t>
            </w:r>
          </w:p>
        </w:tc>
        <w:tc>
          <w:tcPr>
            <w:tcW w:type="dxa" w:w="705"/>
          </w:tcPr>
          <w:p>
            <w:pPr>
              <w:pStyle w:val="Compact"/>
              <w:spacing w:before="20" w:after="20" w:line="240" w:lineRule="auto"/>
              <w:jc w:val="right"/>
              <w:keepNext/>
            </w:pPr>
            <w:r>
              <w:rPr>
                <w:sz w:val="18"/>
                <w:szCs w:val="18"/>
              </w:rPr>
              <w:t xml:space="preserve">467</w:t>
            </w:r>
          </w:p>
        </w:tc>
        <w:tc>
          <w:tcPr>
            <w:tcW w:type="dxa" w:w="1682"/>
          </w:tcPr>
          <w:p>
            <w:pPr>
              <w:pStyle w:val="Compact"/>
              <w:spacing w:before="20" w:after="20" w:line="240" w:lineRule="auto"/>
              <w:keepNext/>
            </w:pPr>
            <w:r>
              <w:rPr>
                <w:sz w:val="18"/>
                <w:szCs w:val="18"/>
              </w:rPr>
              <w:t xml:space="preserve">1.485***</w:t>
            </w:r>
          </w:p>
        </w:tc>
        <w:tc>
          <w:tcPr>
            <w:tcW w:type="dxa" w:w="2329"/>
          </w:tcPr>
          <w:p>
            <w:pPr>
              <w:pStyle w:val="Compact"/>
              <w:spacing w:before="20" w:after="20" w:line="240" w:lineRule="auto"/>
              <w:keepNext/>
            </w:pPr>
            <w:r>
              <w:rPr>
                <w:sz w:val="18"/>
                <w:szCs w:val="18"/>
              </w:rPr>
              <w:t xml:space="preserve">1.029</w:t>
            </w:r>
          </w:p>
        </w:tc>
      </w:tr>
    </w:tbl>
    <w:p>
      <w:pPr>
        <w:pStyle w:val="BodyText"/>
      </w:pPr>
      <w:r>
        <w:rPr>
          <w:i/>
          <w:iCs/>
          <w:sz w:val="20"/>
          <w:szCs w:val="20"/>
        </w:rPr>
        <w:t xml:space="preserve">주:</w:t>
      </w:r>
      <w:r>
        <w:rPr>
          <w:sz w:val="20"/>
          <w:szCs w:val="20"/>
        </w:rPr>
        <w:t xml:space="preserve"> </w:t>
      </w:r>
      <w:r>
        <w:rPr>
          <w:sz w:val="20"/>
          <w:szCs w:val="20"/>
        </w:rPr>
        <w:t xml:space="preserve">군집 표준오차 행은 점추정치가 기준과 같고 유의성만 동일 제목 군집 기준이다. 표준오차와 나머지 계수, 그리고 유형 최소치 조정 CPC 범위(breadth_adj)의 탐색적 결과는 부록 A에 제시하였다.</w:t>
      </w:r>
    </w:p>
    <w:p>
      <w:pPr>
        <w:pStyle w:val="BodyText"/>
      </w:pPr>
      <w:r>
        <w:rPr>
          <w:b/>
          <w:bCs/>
        </w:rPr>
        <w:t xml:space="preserve">관측치의 독립성.</w:t>
      </w:r>
      <w:r>
        <w:t xml:space="preserve"> </w:t>
      </w:r>
      <w:r>
        <w:t xml:space="preserve">동일한 제목의 출원을 하나의 군집으로 묶어 표준오차를 재계산하여도 표 12의 두 계수는 모두 1% 수준에서 유의하였다. 유의성을 잃는 계수는 범위 → 공정 단독형(RRR 0.905, p = 0.29)뿐이다.</w:t>
      </w:r>
    </w:p>
    <w:p>
      <w:pPr>
        <w:pStyle w:val="BodyText"/>
      </w:pPr>
      <w:r>
        <w:rPr>
          <w:b/>
          <w:bCs/>
        </w:rPr>
        <w:t xml:space="preserve">범위의 기계적 부분.</w:t>
      </w:r>
      <w:r>
        <w:t xml:space="preserve"> </w:t>
      </w:r>
      <w:r>
        <w:t xml:space="preserve">통합형은 정의상 두 클래스의 기호를 각각 하나 이상 보유하므로 범위가 2 이상일 수밖에 없다. 따라서 기준 breadth에서 관찰된 양의 연관은 이러한 유형별 최소 CPC 수의 차이를 일부 반영할 수 있다. 이에 보유 클래스마다 최소 1개 기호를 차감한 유형 최소치 조정 CPC 범위(breadth_adj, 제4.3절)로 재추정한 결과, 통합형의 RRR은 1.403에서 1.262로 감소하였으나 방향은 유지되었다(부록 A). 이는 유형의 최소 구성을 제외한 추가적인 CPC 다양성 역시 통합형과 관련되어 있음을 의미한다.</w:t>
      </w:r>
    </w:p>
    <w:p>
      <w:pPr>
        <w:pStyle w:val="BodyText"/>
      </w:pPr>
      <w:r>
        <w:rPr>
          <w:b/>
          <w:bCs/>
        </w:rPr>
        <w:t xml:space="preserve">동일 제목 중복.</w:t>
      </w:r>
      <w:r>
        <w:t xml:space="preserve"> </w:t>
      </w:r>
      <w:r>
        <w:t xml:space="preserve">제목이 같은 출원 가운데 가장 이른 출원 1건만 남기면 표본은 473건이 된다. 이 표본에서도 기술범위와 출원연도의 핵심 계수는 모두 1% 수준에서 유의성을 유지하였다.</w:t>
      </w:r>
    </w:p>
    <w:p>
      <w:pPr>
        <w:pStyle w:val="BodyText"/>
      </w:pPr>
      <w:r>
        <w:rPr>
          <w:b/>
          <w:bCs/>
        </w:rPr>
        <w:t xml:space="preserve">제조공정의 정의.</w:t>
      </w:r>
      <w:r>
        <w:t xml:space="preserve"> </w:t>
      </w:r>
      <w:r>
        <w:t xml:space="preserve">제4.2절에서 밝힌 바와 같이 H01L21(제조공정 분류)에는 패키징 단계의 제조공정도 포함되어 있다. 이를 제조공정에서 제외한 좁은 정의를 적용하면(어느 기호도 남지 않는 20건 제외, N = 908), 제조공정 기호를 보유한 출원은 전체 928건의 52.0%로 낮아지고, 908건의 유형 분포는 접합 단독형 46.8%, 통합형 37.2%, 공정 단독형 16.0%로 바뀌어 접합 단독형이 가장 많아진다. 즉, 통합형이 최다 유형이라는 기술통계는 정의에 따라 달라지지만, 좁은 정의에서도 출원의 3분의 1 이상이 두 영역의 기호를 함께 보유하며, 두 핵심 계수의 부호와 유의성도 그대로 유지되었다.</w:t>
      </w:r>
    </w:p>
    <w:p>
      <w:pPr>
        <w:pStyle w:val="BodyText"/>
      </w:pPr>
      <w:r>
        <w:rPr>
          <w:b/>
          <w:bCs/>
        </w:rPr>
        <w:t xml:space="preserve">검색어의 정밀도.</w:t>
      </w:r>
      <w:r>
        <w:t xml:space="preserve"> </w:t>
      </w:r>
      <w:r>
        <w:t xml:space="preserve">무관한 용법 68건을 제외한 표본(N = 860)에서 유형 분포는 통합형 47.4%, 접합 단독형 35.3%, 공정 단독형 17.2%이며, 핵심 계수도 모두 유지되었다.</w:t>
      </w:r>
      <w:r>
        <w:t xml:space="preserve"> </w:t>
      </w:r>
      <w:r>
        <w:rPr>
          <w:i/>
          <w:iCs/>
        </w:rPr>
        <w:t xml:space="preserve">hybrid bonding</w:t>
      </w:r>
      <w:r>
        <w:t xml:space="preserve"> </w:t>
      </w:r>
      <w:r>
        <w:t xml:space="preserve">표본(N = 467)에서는 통합형 49.5%, 접합 단독형 38.3%, 공정 단독형 12.2%이며, 통합형에 대한 기술범위의 상대위험비(1.485)는 1% 수준에서 유의성을 유지하였다. 다만 이 표본은 2014년 이전 출원이 30건에 불과하여 연도 계수는 유의하지 않았다(1.029). 이는 공정 단독형의 감소가</w:t>
      </w:r>
      <w:r>
        <w:t xml:space="preserve"> </w:t>
      </w:r>
      <w:r>
        <w:rPr>
          <w:i/>
          <w:iCs/>
        </w:rPr>
        <w:t xml:space="preserve">direct bonding</w:t>
      </w:r>
      <w:r>
        <w:t xml:space="preserve">이라는 용어가 주로 사용되던 시기의 웨이퍼 접합 공정 출원에서</w:t>
      </w:r>
      <w:r>
        <w:t xml:space="preserve"> </w:t>
      </w:r>
      <w:r>
        <w:rPr>
          <w:i/>
          <w:iCs/>
        </w:rPr>
        <w:t xml:space="preserve">hybrid bonding</w:t>
      </w:r>
      <w:r>
        <w:t xml:space="preserve"> </w:t>
      </w:r>
      <w:r>
        <w:t xml:space="preserve">시기의 구조 출원으로 이행한 변화를 상당 부분 반영하는데, 이 표본으로는 그 이전 시기를 충분히 관찰할 수 없기 때문인 것으로 보인다.</w:t>
      </w:r>
    </w:p>
    <w:p>
      <w:pPr>
        <w:pStyle w:val="BodyText"/>
      </w:pPr>
      <w:r>
        <w:rPr>
          <w:b/>
          <w:bCs/>
          <w:highlight w:val="yellow"/>
        </w:rPr>
        <w:t xml:space="preserve">핵심 기술 분석의</w:t>
      </w:r>
      <w:r>
        <w:rPr>
          <w:b/>
          <w:bCs/>
        </w:rPr>
        <w:t xml:space="preserve"> </w:t>
      </w:r>
      <w:r>
        <w:rPr>
          <w:b/>
          <w:bCs/>
        </w:rPr>
        <w:t xml:space="preserve">결과가 특정 표본이나 변수 정의에 따른 것이 아닌지 확인하기 위해 기준 모형(표 10)을 여섯 가지 방식으로 재추정하였다.</w:t>
      </w:r>
      <w:r>
        <w:t xml:space="preserve"> </w:t>
      </w:r>
      <w:r>
        <w:t xml:space="preserve">핵심 기호 외의 접합 기호 수를 통제한 모형은 핵심 기술의 효과가 단순히 접합 기호를 다수 보유한 출원의 특성을 반영한 것은 아닌지를, 핵심 기술을 24/08·24/80으로 한정한 모형은 핵심 기술의 범위를 좁혀도 같은 결과가 나타나는지를 확인한다. 나머지 네 가지는 표 12의 다항 로짓에 적용한 것과 같은 방식으로 관측치의 독립성, 동일 제목 중복, 제조공정의 정의, 검색어의 무관한 용법을 확인한다. 표 13에서 2014년 이전의 승산비가 1보다 크고, 2020–2024년의 승산비가 1과 유의하게 다르지 않으며, 그 차이(마지막 열)가 유의하게 1보다 작다는 결과는 일곱 가지 추정에서 모두 유지되었다. 핵심 기호 외의 접합 기호 수를 통제하여도(그 자체의 승산비 1.100, p &lt; 0.01) 시기별 승산비는 거의 변하지 않았다. 결과가 가장 약해지는 경우는 무관 용법을 제외한 표본이다. 이 표본에서는 2014년 이전의 승산비가 3.981로 작아지는데, 이는 접합 기호를 가진 무관한 출원 51건 가운데 28건이 2014년 이전의 핵심 기술 없는 출원이고 그중 25건이 접합 단독형이었기 때문이다. 그럼에도 이 표본에서 2014년 이전의 승산비(p &lt; 0.05)와 2020–2024년의 상호작용(0.185, p &lt; 0.05)은 유의하였다. 다만 2015–2019년의 승산비는 군집 표준오차와 무관 용법 제외 표본에서 유의성을 잃으므로, 핵심 기술의 우위가 유의하지 않게 된 시점이 확산기인지 재편기인지는 확정하지 않는다.</w:t>
      </w:r>
    </w:p>
    <w:p>
      <w:pPr>
        <w:pStyle w:val="BodyText"/>
        <w:keepNext/>
      </w:pPr>
      <w:r>
        <w:rPr>
          <w:b/>
          <w:bCs/>
          <w:sz w:val="20"/>
          <w:szCs w:val="20"/>
        </w:rPr>
        <w:t xml:space="preserve">표 13.</w:t>
      </w:r>
      <w:r>
        <w:rPr>
          <w:sz w:val="20"/>
          <w:szCs w:val="20"/>
        </w:rPr>
        <w:t xml:space="preserve"> </w:t>
      </w:r>
      <w:r>
        <w:rPr>
          <w:highlight w:val="yellow"/>
          <w:sz w:val="20"/>
          <w:szCs w:val="20"/>
        </w:rPr>
        <w:t xml:space="preserve">핵심 기술 모형의</w:t>
      </w:r>
      <w:r>
        <w:rPr>
          <w:sz w:val="20"/>
          <w:szCs w:val="20"/>
        </w:rPr>
        <w:t xml:space="preserve"> </w:t>
      </w:r>
      <w:r>
        <w:rPr>
          <w:sz w:val="20"/>
          <w:szCs w:val="20"/>
        </w:rPr>
        <w:t xml:space="preserve">재추정 결과 비교(H01L24 기호를 가진 출원; 핵심 기술의 시기별 승산비; 마지막 열은 2020–2024년 상호작용, 즉 2014년 이전 대비 배수; 출원청 더미 포함; * p &lt; 0.10, ** p &lt; 0.05, *** p &lt; 0.01).</w:t>
      </w:r>
    </w:p>
    <w:tbl>
      <w:tblPr>
        <w:tblStyle w:val="Table"/>
        <w:tblW w:type="dxa" w:w="9073"/>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302"/>
        <w:gridCol w:w="461"/>
        <w:gridCol w:w="1137"/>
        <w:gridCol w:w="1295"/>
        <w:gridCol w:w="1295"/>
        <w:gridCol w:w="1583"/>
      </w:tblGrid>
      <w:tr>
        <w:trPr>
          <w:tblHeader w:val="on"/>
          <w:cantSplit/>
        </w:trPr>
        <w:tc>
          <w:tcPr>
            <w:tcW w:type="dxa" w:w="3302"/>
            <w:tcBorders>
              <w:bottom w:val="single" w:sz="4" w:space="0" w:color="000000"/>
            </w:tcBorders>
          </w:tcPr>
          <w:p>
            <w:pPr>
              <w:pStyle w:val="Compact"/>
              <w:spacing w:before="20" w:after="20" w:line="240" w:lineRule="auto"/>
              <w:keepNext/>
            </w:pPr>
            <w:r>
              <w:rPr>
                <w:sz w:val="13"/>
                <w:szCs w:val="13"/>
              </w:rPr>
              <w:t xml:space="preserve">표본·변수</w:t>
            </w:r>
          </w:p>
        </w:tc>
        <w:tc>
          <w:tcPr>
            <w:tcW w:type="dxa" w:w="461"/>
            <w:tcBorders>
              <w:bottom w:val="single" w:sz="4" w:space="0" w:color="000000"/>
            </w:tcBorders>
          </w:tcPr>
          <w:p>
            <w:pPr>
              <w:pStyle w:val="Compact"/>
              <w:spacing w:before="20" w:after="20" w:line="240" w:lineRule="auto"/>
              <w:jc w:val="right"/>
              <w:keepNext/>
            </w:pPr>
            <w:r>
              <w:rPr>
                <w:sz w:val="13"/>
                <w:szCs w:val="13"/>
              </w:rPr>
              <w:t xml:space="preserve">N</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–2014</w:t>
            </w:r>
          </w:p>
        </w:tc>
        <w:tc>
          <w:tcPr>
            <w:tcW w:type="dxa" w:w="1295"/>
            <w:tcBorders>
              <w:bottom w:val="single" w:sz="4" w:space="0" w:color="000000"/>
            </w:tcBorders>
          </w:tcPr>
          <w:p>
            <w:pPr>
              <w:pStyle w:val="Compact"/>
              <w:spacing w:before="20" w:after="20" w:line="240" w:lineRule="auto"/>
              <w:jc w:val="center"/>
              <w:keepNext/>
            </w:pPr>
            <w:r>
              <w:rPr>
                <w:sz w:val="13"/>
                <w:szCs w:val="13"/>
              </w:rPr>
              <w:t xml:space="preserve">2015–2019</w:t>
            </w:r>
          </w:p>
        </w:tc>
        <w:tc>
          <w:tcPr>
            <w:tcW w:type="dxa" w:w="1295"/>
            <w:tcBorders>
              <w:bottom w:val="single" w:sz="4" w:space="0" w:color="000000"/>
            </w:tcBorders>
          </w:tcPr>
          <w:p>
            <w:pPr>
              <w:pStyle w:val="Compact"/>
              <w:spacing w:before="20" w:after="20" w:line="240" w:lineRule="auto"/>
              <w:jc w:val="center"/>
              <w:keepNext/>
            </w:pPr>
            <w:r>
              <w:rPr>
                <w:sz w:val="13"/>
                <w:szCs w:val="13"/>
              </w:rPr>
              <w:t xml:space="preserve">2020–2024</w:t>
            </w:r>
          </w:p>
        </w:tc>
        <w:tc>
          <w:tcPr>
            <w:tcW w:type="dxa" w:w="1583"/>
            <w:tcBorders>
              <w:bottom w:val="single" w:sz="4" w:space="0" w:color="000000"/>
            </w:tcBorders>
          </w:tcPr>
          <w:p>
            <w:pPr>
              <w:pStyle w:val="Compact"/>
              <w:spacing w:before="20" w:after="20" w:line="240" w:lineRule="auto"/>
              <w:jc w:val="center"/>
              <w:keepNext/>
            </w:pPr>
            <w:r>
              <w:rPr>
                <w:sz w:val="13"/>
                <w:szCs w:val="13"/>
              </w:rPr>
              <w:t xml:space="preserve">2020–2024년 상호작용</w:t>
            </w:r>
          </w:p>
        </w:tc>
      </w:tr>
      <w:tr>
        <w:trPr>
          <w:cantSplit/>
        </w:trPr>
        <w:tc>
          <w:tcPr>
            <w:tcW w:type="dxa" w:w="3302"/>
          </w:tcPr>
          <w:p>
            <w:pPr>
              <w:pStyle w:val="Compact"/>
              <w:spacing w:before="20" w:after="20" w:line="240" w:lineRule="auto"/>
              <w:keepNext/>
            </w:pPr>
            <w:r>
              <w:rPr>
                <w:sz w:val="13"/>
                <w:szCs w:val="13"/>
              </w:rPr>
              <w:t xml:space="preserve">기준(표 10)</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11.071***</w:t>
            </w:r>
          </w:p>
        </w:tc>
        <w:tc>
          <w:tcPr>
            <w:tcW w:type="dxa" w:w="1295"/>
          </w:tcPr>
          <w:p>
            <w:pPr>
              <w:pStyle w:val="Compact"/>
              <w:spacing w:before="20" w:after="20" w:line="240" w:lineRule="auto"/>
              <w:jc w:val="center"/>
              <w:keepNext/>
            </w:pPr>
            <w:r>
              <w:rPr>
                <w:sz w:val="13"/>
                <w:szCs w:val="13"/>
              </w:rPr>
              <w:t xml:space="preserve">2.452**</w:t>
            </w:r>
          </w:p>
        </w:tc>
        <w:tc>
          <w:tcPr>
            <w:tcW w:type="dxa" w:w="1295"/>
          </w:tcPr>
          <w:p>
            <w:pPr>
              <w:pStyle w:val="Compact"/>
              <w:spacing w:before="20" w:after="20" w:line="240" w:lineRule="auto"/>
              <w:jc w:val="center"/>
              <w:keepNext/>
            </w:pPr>
            <w:r>
              <w:rPr>
                <w:sz w:val="13"/>
                <w:szCs w:val="13"/>
              </w:rPr>
              <w:t xml:space="preserve">0.658</w:t>
            </w:r>
          </w:p>
        </w:tc>
        <w:tc>
          <w:tcPr>
            <w:tcW w:type="dxa" w:w="1583"/>
          </w:tcPr>
          <w:p>
            <w:pPr>
              <w:pStyle w:val="Compact"/>
              <w:spacing w:before="20" w:after="20" w:line="240" w:lineRule="auto"/>
              <w:jc w:val="center"/>
              <w:keepNext/>
            </w:pPr>
            <w:r>
              <w:rPr>
                <w:sz w:val="13"/>
                <w:szCs w:val="13"/>
              </w:rPr>
              <w:t xml:space="preserve">0.059***</w:t>
            </w:r>
          </w:p>
        </w:tc>
      </w:tr>
      <w:tr>
        <w:trPr>
          <w:cantSplit/>
        </w:trPr>
        <w:tc>
          <w:tcPr>
            <w:tcW w:type="dxa" w:w="3302"/>
          </w:tcPr>
          <w:p>
            <w:pPr>
              <w:pStyle w:val="Compact"/>
              <w:spacing w:before="20" w:after="20" w:line="240" w:lineRule="auto"/>
              <w:keepNext/>
            </w:pPr>
            <w:r>
              <w:rPr>
                <w:sz w:val="13"/>
                <w:szCs w:val="13"/>
              </w:rPr>
              <w:t xml:space="preserve">핵심 기호 외 접합 기호 수 통제</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8.768***</w:t>
            </w:r>
          </w:p>
        </w:tc>
        <w:tc>
          <w:tcPr>
            <w:tcW w:type="dxa" w:w="1295"/>
          </w:tcPr>
          <w:p>
            <w:pPr>
              <w:pStyle w:val="Compact"/>
              <w:spacing w:before="20" w:after="20" w:line="240" w:lineRule="auto"/>
              <w:jc w:val="center"/>
              <w:keepNext/>
            </w:pPr>
            <w:r>
              <w:rPr>
                <w:sz w:val="13"/>
                <w:szCs w:val="13"/>
              </w:rPr>
              <w:t xml:space="preserve">2.377**</w:t>
            </w:r>
          </w:p>
        </w:tc>
        <w:tc>
          <w:tcPr>
            <w:tcW w:type="dxa" w:w="1295"/>
          </w:tcPr>
          <w:p>
            <w:pPr>
              <w:pStyle w:val="Compact"/>
              <w:spacing w:before="20" w:after="20" w:line="240" w:lineRule="auto"/>
              <w:jc w:val="center"/>
              <w:keepNext/>
            </w:pPr>
            <w:r>
              <w:rPr>
                <w:sz w:val="13"/>
                <w:szCs w:val="13"/>
              </w:rPr>
              <w:t xml:space="preserve">0.684</w:t>
            </w:r>
          </w:p>
        </w:tc>
        <w:tc>
          <w:tcPr>
            <w:tcW w:type="dxa" w:w="1583"/>
          </w:tcPr>
          <w:p>
            <w:pPr>
              <w:pStyle w:val="Compact"/>
              <w:spacing w:before="20" w:after="20" w:line="240" w:lineRule="auto"/>
              <w:jc w:val="center"/>
              <w:keepNext/>
            </w:pPr>
            <w:r>
              <w:rPr>
                <w:sz w:val="13"/>
                <w:szCs w:val="13"/>
              </w:rPr>
              <w:t xml:space="preserve">0.078***</w:t>
            </w:r>
          </w:p>
        </w:tc>
      </w:tr>
      <w:tr>
        <w:trPr>
          <w:cantSplit/>
        </w:trPr>
        <w:tc>
          <w:tcPr>
            <w:tcW w:type="dxa" w:w="3302"/>
          </w:tcPr>
          <w:p>
            <w:pPr>
              <w:pStyle w:val="Compact"/>
              <w:spacing w:before="20" w:after="20" w:line="240" w:lineRule="auto"/>
              <w:keepNext/>
            </w:pPr>
            <w:r>
              <w:rPr>
                <w:sz w:val="13"/>
                <w:szCs w:val="13"/>
              </w:rPr>
              <w:t xml:space="preserve">기준 + 동일 제목 군집 표준오차</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11.071***</w:t>
            </w:r>
          </w:p>
        </w:tc>
        <w:tc>
          <w:tcPr>
            <w:tcW w:type="dxa" w:w="1295"/>
          </w:tcPr>
          <w:p>
            <w:pPr>
              <w:pStyle w:val="Compact"/>
              <w:spacing w:before="20" w:after="20" w:line="240" w:lineRule="auto"/>
              <w:jc w:val="center"/>
              <w:keepNext/>
            </w:pPr>
            <w:r>
              <w:rPr>
                <w:sz w:val="13"/>
                <w:szCs w:val="13"/>
              </w:rPr>
              <w:t xml:space="preserve">2.452</w:t>
            </w:r>
          </w:p>
        </w:tc>
        <w:tc>
          <w:tcPr>
            <w:tcW w:type="dxa" w:w="1295"/>
          </w:tcPr>
          <w:p>
            <w:pPr>
              <w:pStyle w:val="Compact"/>
              <w:spacing w:before="20" w:after="20" w:line="240" w:lineRule="auto"/>
              <w:jc w:val="center"/>
              <w:keepNext/>
            </w:pPr>
            <w:r>
              <w:rPr>
                <w:sz w:val="13"/>
                <w:szCs w:val="13"/>
              </w:rPr>
              <w:t xml:space="preserve">0.658</w:t>
            </w:r>
          </w:p>
        </w:tc>
        <w:tc>
          <w:tcPr>
            <w:tcW w:type="dxa" w:w="1583"/>
          </w:tcPr>
          <w:p>
            <w:pPr>
              <w:pStyle w:val="Compact"/>
              <w:spacing w:before="20" w:after="20" w:line="240" w:lineRule="auto"/>
              <w:jc w:val="center"/>
              <w:keepNext/>
            </w:pPr>
            <w:r>
              <w:rPr>
                <w:sz w:val="13"/>
                <w:szCs w:val="13"/>
              </w:rPr>
              <w:t xml:space="preserve">0.059***</w:t>
            </w:r>
          </w:p>
        </w:tc>
      </w:tr>
      <w:tr>
        <w:trPr>
          <w:cantSplit/>
        </w:trPr>
        <w:tc>
          <w:tcPr>
            <w:tcW w:type="dxa" w:w="3302"/>
          </w:tcPr>
          <w:p>
            <w:pPr>
              <w:pStyle w:val="Compact"/>
              <w:spacing w:before="20" w:after="20" w:line="240" w:lineRule="auto"/>
              <w:keepNext/>
            </w:pPr>
            <w:r>
              <w:rPr>
                <w:sz w:val="13"/>
                <w:szCs w:val="13"/>
              </w:rPr>
              <w:t xml:space="preserve">동일 제목 중복 제거(제목당 1건)</w:t>
            </w:r>
          </w:p>
        </w:tc>
        <w:tc>
          <w:tcPr>
            <w:tcW w:type="dxa" w:w="461"/>
          </w:tcPr>
          <w:p>
            <w:pPr>
              <w:pStyle w:val="Compact"/>
              <w:spacing w:before="20" w:after="20" w:line="240" w:lineRule="auto"/>
              <w:jc w:val="right"/>
              <w:keepNext/>
            </w:pPr>
            <w:r>
              <w:rPr>
                <w:sz w:val="13"/>
                <w:szCs w:val="13"/>
              </w:rPr>
              <w:t xml:space="preserve">361</w:t>
            </w:r>
          </w:p>
        </w:tc>
        <w:tc>
          <w:tcPr>
            <w:tcW w:type="dxa" w:w="1137"/>
          </w:tcPr>
          <w:p>
            <w:pPr>
              <w:pStyle w:val="Compact"/>
              <w:spacing w:before="20" w:after="20" w:line="240" w:lineRule="auto"/>
              <w:jc w:val="center"/>
              <w:keepNext/>
            </w:pPr>
            <w:r>
              <w:rPr>
                <w:sz w:val="13"/>
                <w:szCs w:val="13"/>
              </w:rPr>
              <w:t xml:space="preserve">6.191***</w:t>
            </w:r>
          </w:p>
        </w:tc>
        <w:tc>
          <w:tcPr>
            <w:tcW w:type="dxa" w:w="1295"/>
          </w:tcPr>
          <w:p>
            <w:pPr>
              <w:pStyle w:val="Compact"/>
              <w:spacing w:before="20" w:after="20" w:line="240" w:lineRule="auto"/>
              <w:jc w:val="center"/>
              <w:keepNext/>
            </w:pPr>
            <w:r>
              <w:rPr>
                <w:sz w:val="13"/>
                <w:szCs w:val="13"/>
              </w:rPr>
              <w:t xml:space="preserve">4.433***</w:t>
            </w:r>
          </w:p>
        </w:tc>
        <w:tc>
          <w:tcPr>
            <w:tcW w:type="dxa" w:w="1295"/>
          </w:tcPr>
          <w:p>
            <w:pPr>
              <w:pStyle w:val="Compact"/>
              <w:spacing w:before="20" w:after="20" w:line="240" w:lineRule="auto"/>
              <w:jc w:val="center"/>
              <w:keepNext/>
            </w:pPr>
            <w:r>
              <w:rPr>
                <w:sz w:val="13"/>
                <w:szCs w:val="13"/>
              </w:rPr>
              <w:t xml:space="preserve">0.814</w:t>
            </w:r>
          </w:p>
        </w:tc>
        <w:tc>
          <w:tcPr>
            <w:tcW w:type="dxa" w:w="1583"/>
          </w:tcPr>
          <w:p>
            <w:pPr>
              <w:pStyle w:val="Compact"/>
              <w:spacing w:before="20" w:after="20" w:line="240" w:lineRule="auto"/>
              <w:jc w:val="center"/>
              <w:keepNext/>
            </w:pPr>
            <w:r>
              <w:rPr>
                <w:sz w:val="13"/>
                <w:szCs w:val="13"/>
              </w:rPr>
              <w:t xml:space="preserve">0.131***</w:t>
            </w:r>
          </w:p>
        </w:tc>
      </w:tr>
      <w:tr>
        <w:trPr>
          <w:cantSplit/>
        </w:trPr>
        <w:tc>
          <w:tcPr>
            <w:tcW w:type="dxa" w:w="3302"/>
          </w:tcPr>
          <w:p>
            <w:pPr>
              <w:pStyle w:val="Compact"/>
              <w:spacing w:before="20" w:after="20" w:line="240" w:lineRule="auto"/>
              <w:keepNext/>
            </w:pPr>
            <w:r>
              <w:rPr>
                <w:sz w:val="13"/>
                <w:szCs w:val="13"/>
              </w:rPr>
              <w:t xml:space="preserve">좁은 제조공정 정의(패키징 단계 공정 제외)</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15.334***</w:t>
            </w:r>
          </w:p>
        </w:tc>
        <w:tc>
          <w:tcPr>
            <w:tcW w:type="dxa" w:w="1295"/>
          </w:tcPr>
          <w:p>
            <w:pPr>
              <w:pStyle w:val="Compact"/>
              <w:spacing w:before="20" w:after="20" w:line="240" w:lineRule="auto"/>
              <w:jc w:val="center"/>
              <w:keepNext/>
            </w:pPr>
            <w:r>
              <w:rPr>
                <w:sz w:val="13"/>
                <w:szCs w:val="13"/>
              </w:rPr>
              <w:t xml:space="preserve">3.185***</w:t>
            </w:r>
          </w:p>
        </w:tc>
        <w:tc>
          <w:tcPr>
            <w:tcW w:type="dxa" w:w="1295"/>
          </w:tcPr>
          <w:p>
            <w:pPr>
              <w:pStyle w:val="Compact"/>
              <w:spacing w:before="20" w:after="20" w:line="240" w:lineRule="auto"/>
              <w:jc w:val="center"/>
              <w:keepNext/>
            </w:pPr>
            <w:r>
              <w:rPr>
                <w:sz w:val="13"/>
                <w:szCs w:val="13"/>
              </w:rPr>
              <w:t xml:space="preserve">0.771</w:t>
            </w:r>
          </w:p>
        </w:tc>
        <w:tc>
          <w:tcPr>
            <w:tcW w:type="dxa" w:w="1583"/>
          </w:tcPr>
          <w:p>
            <w:pPr>
              <w:pStyle w:val="Compact"/>
              <w:spacing w:before="20" w:after="20" w:line="240" w:lineRule="auto"/>
              <w:jc w:val="center"/>
              <w:keepNext/>
            </w:pPr>
            <w:r>
              <w:rPr>
                <w:sz w:val="13"/>
                <w:szCs w:val="13"/>
              </w:rPr>
              <w:t xml:space="preserve">0.050***</w:t>
            </w:r>
          </w:p>
        </w:tc>
      </w:tr>
      <w:tr>
        <w:trPr>
          <w:cantSplit/>
        </w:trPr>
        <w:tc>
          <w:tcPr>
            <w:tcW w:type="dxa" w:w="3302"/>
          </w:tcPr>
          <w:p>
            <w:pPr>
              <w:pStyle w:val="Compact"/>
              <w:spacing w:before="20" w:after="20" w:line="240" w:lineRule="auto"/>
              <w:keepNext/>
            </w:pPr>
            <w:r>
              <w:rPr>
                <w:sz w:val="13"/>
                <w:szCs w:val="13"/>
              </w:rPr>
              <w:t xml:space="preserve">무관 용법 제외</w:t>
            </w:r>
          </w:p>
        </w:tc>
        <w:tc>
          <w:tcPr>
            <w:tcW w:type="dxa" w:w="461"/>
          </w:tcPr>
          <w:p>
            <w:pPr>
              <w:pStyle w:val="Compact"/>
              <w:spacing w:before="20" w:after="20" w:line="240" w:lineRule="auto"/>
              <w:jc w:val="right"/>
              <w:keepNext/>
            </w:pPr>
            <w:r>
              <w:rPr>
                <w:sz w:val="13"/>
                <w:szCs w:val="13"/>
              </w:rPr>
              <w:t xml:space="preserve">712</w:t>
            </w:r>
          </w:p>
        </w:tc>
        <w:tc>
          <w:tcPr>
            <w:tcW w:type="dxa" w:w="1137"/>
          </w:tcPr>
          <w:p>
            <w:pPr>
              <w:pStyle w:val="Compact"/>
              <w:spacing w:before="20" w:after="20" w:line="240" w:lineRule="auto"/>
              <w:jc w:val="center"/>
              <w:keepNext/>
            </w:pPr>
            <w:r>
              <w:rPr>
                <w:sz w:val="13"/>
                <w:szCs w:val="13"/>
              </w:rPr>
              <w:t xml:space="preserve">3.981**</w:t>
            </w:r>
          </w:p>
        </w:tc>
        <w:tc>
          <w:tcPr>
            <w:tcW w:type="dxa" w:w="1295"/>
          </w:tcPr>
          <w:p>
            <w:pPr>
              <w:pStyle w:val="Compact"/>
              <w:spacing w:before="20" w:after="20" w:line="240" w:lineRule="auto"/>
              <w:jc w:val="center"/>
              <w:keepNext/>
            </w:pPr>
            <w:r>
              <w:rPr>
                <w:sz w:val="13"/>
                <w:szCs w:val="13"/>
              </w:rPr>
              <w:t xml:space="preserve">1.817</w:t>
            </w:r>
          </w:p>
        </w:tc>
        <w:tc>
          <w:tcPr>
            <w:tcW w:type="dxa" w:w="1295"/>
          </w:tcPr>
          <w:p>
            <w:pPr>
              <w:pStyle w:val="Compact"/>
              <w:spacing w:before="20" w:after="20" w:line="240" w:lineRule="auto"/>
              <w:jc w:val="center"/>
              <w:keepNext/>
            </w:pPr>
            <w:r>
              <w:rPr>
                <w:sz w:val="13"/>
                <w:szCs w:val="13"/>
              </w:rPr>
              <w:t xml:space="preserve">0.738</w:t>
            </w:r>
          </w:p>
        </w:tc>
        <w:tc>
          <w:tcPr>
            <w:tcW w:type="dxa" w:w="1583"/>
          </w:tcPr>
          <w:p>
            <w:pPr>
              <w:pStyle w:val="Compact"/>
              <w:spacing w:before="20" w:after="20" w:line="240" w:lineRule="auto"/>
              <w:jc w:val="center"/>
              <w:keepNext/>
            </w:pPr>
            <w:r>
              <w:rPr>
                <w:sz w:val="13"/>
                <w:szCs w:val="13"/>
              </w:rPr>
              <w:t xml:space="preserve">0.185**</w:t>
            </w:r>
          </w:p>
        </w:tc>
      </w:tr>
      <w:tr>
        <w:trPr>
          <w:cantSplit/>
        </w:trPr>
        <w:tc>
          <w:tcPr>
            <w:tcW w:type="dxa" w:w="3302"/>
          </w:tcPr>
          <w:p>
            <w:pPr>
              <w:pStyle w:val="Compact"/>
              <w:spacing w:before="20" w:after="20" w:line="240" w:lineRule="auto"/>
              <w:keepNext/>
            </w:pPr>
            <w:r>
              <w:rPr>
                <w:sz w:val="13"/>
                <w:szCs w:val="13"/>
              </w:rPr>
              <w:t xml:space="preserve">핵심 기술을 24/08·24/80으로 한정</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14.474***</w:t>
            </w:r>
          </w:p>
        </w:tc>
        <w:tc>
          <w:tcPr>
            <w:tcW w:type="dxa" w:w="1295"/>
          </w:tcPr>
          <w:p>
            <w:pPr>
              <w:pStyle w:val="Compact"/>
              <w:spacing w:before="20" w:after="20" w:line="240" w:lineRule="auto"/>
              <w:jc w:val="center"/>
              <w:keepNext/>
            </w:pPr>
            <w:r>
              <w:rPr>
                <w:sz w:val="13"/>
                <w:szCs w:val="13"/>
              </w:rPr>
              <w:t xml:space="preserve">3.445***</w:t>
            </w:r>
          </w:p>
        </w:tc>
        <w:tc>
          <w:tcPr>
            <w:tcW w:type="dxa" w:w="1295"/>
          </w:tcPr>
          <w:p>
            <w:pPr>
              <w:pStyle w:val="Compact"/>
              <w:spacing w:before="20" w:after="20" w:line="240" w:lineRule="auto"/>
              <w:jc w:val="center"/>
              <w:keepNext/>
            </w:pPr>
            <w:r>
              <w:rPr>
                <w:sz w:val="13"/>
                <w:szCs w:val="13"/>
              </w:rPr>
              <w:t xml:space="preserve">0.732</w:t>
            </w:r>
          </w:p>
        </w:tc>
        <w:tc>
          <w:tcPr>
            <w:tcW w:type="dxa" w:w="1583"/>
          </w:tcPr>
          <w:p>
            <w:pPr>
              <w:pStyle w:val="Compact"/>
              <w:spacing w:before="20" w:after="20" w:line="240" w:lineRule="auto"/>
              <w:jc w:val="center"/>
              <w:keepNext/>
            </w:pPr>
            <w:r>
              <w:rPr>
                <w:sz w:val="13"/>
                <w:szCs w:val="13"/>
              </w:rPr>
              <w:t xml:space="preserve">0.051***</w:t>
            </w:r>
          </w:p>
        </w:tc>
      </w:tr>
    </w:tbl>
    <w:p>
      <w:pPr>
        <w:pStyle w:val="BodyText"/>
      </w:pPr>
      <w:r>
        <w:rPr>
          <w:i/>
          <w:iCs/>
          <w:sz w:val="20"/>
          <w:szCs w:val="20"/>
        </w:rPr>
        <w:t xml:space="preserve">주:</w:t>
      </w:r>
      <w:r>
        <w:rPr>
          <w:sz w:val="20"/>
          <w:szCs w:val="20"/>
        </w:rPr>
        <w:t xml:space="preserve"> </w:t>
      </w:r>
      <w:r>
        <w:rPr>
          <w:sz w:val="20"/>
          <w:szCs w:val="20"/>
        </w:rPr>
        <w:t xml:space="preserve">좁은 제조공정 정의에서는 제조공정 기호가 패키징 단계 공정 기호뿐인 통합형 출원을 접합 단독형으로 재분류하므로 표본 수는 같고 통합형이 338건이 된다.</w:t>
      </w:r>
      <w:r>
        <w:rPr>
          <w:sz w:val="20"/>
          <w:szCs w:val="20"/>
        </w:rPr>
        <w:t xml:space="preserve"> </w:t>
      </w:r>
      <w:r>
        <w:rPr>
          <w:i/>
          <w:iCs/>
          <w:sz w:val="20"/>
          <w:szCs w:val="20"/>
        </w:rPr>
        <w:t xml:space="preserve">hybrid bonding</w:t>
      </w:r>
      <w:r>
        <w:rPr>
          <w:sz w:val="20"/>
          <w:szCs w:val="20"/>
        </w:rPr>
        <w:t xml:space="preserve"> </w:t>
      </w:r>
      <w:r>
        <w:rPr>
          <w:sz w:val="20"/>
          <w:szCs w:val="20"/>
        </w:rPr>
        <w:t xml:space="preserve">표본은 2019년 이전에 핵심 기술이 없는 접합 출원이 12건에 불과하여 추정하지 않았다.</w:t>
      </w:r>
    </w:p>
    <w:p>
      <w:pPr>
        <w:pStyle w:val="BodyText"/>
      </w:pPr>
      <w:r>
        <w:t xml:space="preserve">표 14는 세 연구 질문에 대한 기준 결과와 본 절의 재추정 결과를 종합한 것이다. RQ1과 RQ3의 핵심 결과는 모든 재추정에서 유지되었으며, RQ2의 시간 추세는 2014년 이전 출원이 적은</w:t>
      </w:r>
      <w:r>
        <w:t xml:space="preserve"> </w:t>
      </w:r>
      <w:r>
        <w:rPr>
          <w:i/>
          <w:iCs/>
        </w:rPr>
        <w:t xml:space="preserve">hybrid bonding</w:t>
      </w:r>
      <w:r>
        <w:t xml:space="preserve"> </w:t>
      </w:r>
      <w:r>
        <w:t xml:space="preserve">표본을 제외한 모든 재추정에서 유지되었다.</w:t>
      </w:r>
    </w:p>
    <w:p>
      <w:pPr>
        <w:pStyle w:val="BodyText"/>
        <w:keepNext/>
      </w:pPr>
      <w:r>
        <w:rPr>
          <w:b/>
          <w:bCs/>
          <w:sz w:val="20"/>
          <w:szCs w:val="20"/>
        </w:rPr>
        <w:t xml:space="preserve">표 14.</w:t>
      </w:r>
      <w:r>
        <w:rPr>
          <w:sz w:val="20"/>
          <w:szCs w:val="20"/>
        </w:rPr>
        <w:t xml:space="preserve"> </w:t>
      </w:r>
      <w:r>
        <w:rPr>
          <w:sz w:val="20"/>
          <w:szCs w:val="20"/>
        </w:rPr>
        <w:t xml:space="preserve">연구 질문별 주요 결과 요약(* p &lt; 0.10, ** p &lt; 0.05, *** p &lt; 0.01; 95% CI는 로그 계수 ± 1.96 × 표준오차를 지수 변환한 값).</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578"/>
        <w:gridCol w:w="2157"/>
        <w:gridCol w:w="2504"/>
        <w:gridCol w:w="2830"/>
      </w:tblGrid>
      <w:tr>
        <w:trPr>
          <w:tblHeader w:val="on"/>
          <w:cantSplit/>
        </w:trPr>
        <w:tc>
          <w:tcPr>
            <w:tcW w:type="dxa" w:w="1578"/>
            <w:tcBorders>
              <w:bottom w:val="single" w:sz="4" w:space="0" w:color="000000"/>
            </w:tcBorders>
          </w:tcPr>
          <w:p>
            <w:pPr>
              <w:pStyle w:val="Compact"/>
              <w:spacing w:before="20" w:after="20" w:line="240" w:lineRule="auto"/>
              <w:keepNext/>
            </w:pPr>
            <w:r>
              <w:rPr>
                <w:sz w:val="18"/>
                <w:szCs w:val="18"/>
              </w:rPr>
              <w:t xml:space="preserve">연구 질문</w:t>
            </w:r>
          </w:p>
        </w:tc>
        <w:tc>
          <w:tcPr>
            <w:tcW w:type="dxa" w:w="2157"/>
            <w:tcBorders>
              <w:bottom w:val="single" w:sz="4" w:space="0" w:color="000000"/>
            </w:tcBorders>
          </w:tcPr>
          <w:p>
            <w:pPr>
              <w:pStyle w:val="Compact"/>
              <w:spacing w:before="20" w:after="20" w:line="240" w:lineRule="auto"/>
              <w:keepNext/>
            </w:pPr>
            <w:r>
              <w:rPr>
                <w:sz w:val="18"/>
                <w:szCs w:val="18"/>
              </w:rPr>
              <w:t xml:space="preserve">분석</w:t>
            </w:r>
          </w:p>
        </w:tc>
        <w:tc>
          <w:tcPr>
            <w:tcW w:type="dxa" w:w="2504"/>
            <w:tcBorders>
              <w:bottom w:val="single" w:sz="4" w:space="0" w:color="000000"/>
            </w:tcBorders>
          </w:tcPr>
          <w:p>
            <w:pPr>
              <w:pStyle w:val="Compact"/>
              <w:spacing w:before="20" w:after="20" w:line="240" w:lineRule="auto"/>
              <w:keepNext/>
            </w:pPr>
            <w:r>
              <w:rPr>
                <w:sz w:val="18"/>
                <w:szCs w:val="18"/>
              </w:rPr>
              <w:t xml:space="preserve">주요 결과</w:t>
            </w:r>
          </w:p>
        </w:tc>
        <w:tc>
          <w:tcPr>
            <w:tcW w:type="dxa" w:w="2830"/>
            <w:tcBorders>
              <w:bottom w:val="single" w:sz="4" w:space="0" w:color="000000"/>
            </w:tcBorders>
          </w:tcPr>
          <w:p>
            <w:pPr>
              <w:pStyle w:val="Compact"/>
              <w:spacing w:before="20" w:after="20" w:line="240" w:lineRule="auto"/>
              <w:keepNext/>
            </w:pPr>
            <w:r>
              <w:rPr>
                <w:sz w:val="18"/>
                <w:szCs w:val="18"/>
              </w:rPr>
              <w:t xml:space="preserve">재추정</w:t>
            </w:r>
          </w:p>
        </w:tc>
      </w:tr>
      <w:tr>
        <w:trPr>
          <w:cantSplit/>
        </w:trPr>
        <w:tc>
          <w:tcPr>
            <w:tcW w:type="dxa" w:w="1578"/>
          </w:tcPr>
          <w:p>
            <w:pPr>
              <w:pStyle w:val="Compact"/>
              <w:spacing w:before="20" w:after="20" w:line="240" w:lineRule="auto"/>
              <w:keepNext/>
            </w:pPr>
            <w:r>
              <w:rPr>
                <w:sz w:val="18"/>
                <w:szCs w:val="18"/>
              </w:rPr>
              <w:t xml:space="preserve">RQ1 수준과 유형</w:t>
            </w:r>
          </w:p>
        </w:tc>
        <w:tc>
          <w:tcPr>
            <w:tcW w:type="dxa" w:w="2157"/>
          </w:tcPr>
          <w:p>
            <w:pPr>
              <w:pStyle w:val="Compact"/>
              <w:spacing w:before="20" w:after="20" w:line="240" w:lineRule="auto"/>
              <w:keepNext/>
            </w:pPr>
            <w:r>
              <w:rPr>
                <w:sz w:val="18"/>
                <w:szCs w:val="18"/>
              </w:rPr>
              <w:t xml:space="preserve">유형 분포, 다항 로짓(기술범위 → 통합형)</w:t>
            </w:r>
          </w:p>
        </w:tc>
        <w:tc>
          <w:tcPr>
            <w:tcW w:type="dxa" w:w="2504"/>
          </w:tcPr>
          <w:p>
            <w:pPr>
              <w:pStyle w:val="Compact"/>
              <w:spacing w:before="20" w:after="20" w:line="240" w:lineRule="auto"/>
              <w:keepNext/>
            </w:pPr>
            <w:r>
              <w:rPr>
                <w:sz w:val="18"/>
                <w:szCs w:val="18"/>
              </w:rPr>
              <w:t xml:space="preserve">통합형 45.8%(좁은 정의 37.2%); RRR 1.403***(95% CI 1.321–1.489; 표 8)</w:t>
            </w:r>
          </w:p>
        </w:tc>
        <w:tc>
          <w:tcPr>
            <w:tcW w:type="dxa" w:w="2830"/>
          </w:tcPr>
          <w:p>
            <w:pPr>
              <w:pStyle w:val="Compact"/>
              <w:spacing w:before="20" w:after="20" w:line="240" w:lineRule="auto"/>
              <w:keepNext/>
            </w:pPr>
            <w:r>
              <w:rPr>
                <w:sz w:val="18"/>
                <w:szCs w:val="18"/>
              </w:rPr>
              <w:t xml:space="preserve">표 12의 모든 재추정에서 1.295–1.485***(구성적 연관)</w:t>
            </w:r>
          </w:p>
        </w:tc>
      </w:tr>
      <w:tr>
        <w:trPr>
          <w:cantSplit/>
        </w:trPr>
        <w:tc>
          <w:tcPr>
            <w:tcW w:type="dxa" w:w="1578"/>
          </w:tcPr>
          <w:p>
            <w:pPr>
              <w:pStyle w:val="Compact"/>
              <w:spacing w:before="20" w:after="20" w:line="240" w:lineRule="auto"/>
              <w:keepNext/>
            </w:pPr>
            <w:r>
              <w:rPr>
                <w:sz w:val="18"/>
                <w:szCs w:val="18"/>
              </w:rPr>
              <w:t xml:space="preserve">RQ2 시간적 변화</w:t>
            </w:r>
          </w:p>
        </w:tc>
        <w:tc>
          <w:tcPr>
            <w:tcW w:type="dxa" w:w="2157"/>
          </w:tcPr>
          <w:p>
            <w:pPr>
              <w:pStyle w:val="Compact"/>
              <w:spacing w:before="20" w:after="20" w:line="240" w:lineRule="auto"/>
              <w:keepNext/>
            </w:pPr>
            <w:r>
              <w:rPr>
                <w:sz w:val="18"/>
                <w:szCs w:val="18"/>
              </w:rPr>
              <w:t xml:space="preserve">시기별 유형 분포, 다항 로짓(출원연도 → 공정 단독형)</w:t>
            </w:r>
          </w:p>
        </w:tc>
        <w:tc>
          <w:tcPr>
            <w:tcW w:type="dxa" w:w="2504"/>
          </w:tcPr>
          <w:p>
            <w:pPr>
              <w:pStyle w:val="Compact"/>
              <w:spacing w:before="20" w:after="20" w:line="240" w:lineRule="auto"/>
              <w:keepNext/>
            </w:pPr>
            <w:r>
              <w:rPr>
                <w:sz w:val="18"/>
                <w:szCs w:val="18"/>
              </w:rPr>
              <w:t xml:space="preserve">통합형 31.3% → 62.2% → 44.3%(표 9); RRR 0.913***(95% CI 0.887–0.940; 표 8); 기간 더미 0.273***/0.101***; 기술범위의 연관은 세 시기 모두 1.179–1.513***</w:t>
            </w:r>
          </w:p>
        </w:tc>
        <w:tc>
          <w:tcPr>
            <w:tcW w:type="dxa" w:w="2830"/>
          </w:tcPr>
          <w:p>
            <w:pPr>
              <w:pStyle w:val="Compact"/>
              <w:spacing w:before="20" w:after="20" w:line="240" w:lineRule="auto"/>
              <w:keepNext/>
            </w:pPr>
            <w:r>
              <w:rPr>
                <w:sz w:val="18"/>
                <w:szCs w:val="18"/>
              </w:rPr>
              <w:t xml:space="preserve">0.820–0.935***(표 12); 다만 2014년 이전 출원이 30건뿐인</w:t>
            </w:r>
            <w:r>
              <w:rPr>
                <w:sz w:val="18"/>
                <w:szCs w:val="18"/>
              </w:rPr>
              <w:t xml:space="preserve"> </w:t>
            </w:r>
            <w:r>
              <w:rPr>
                <w:i/>
                <w:iCs/>
                <w:sz w:val="18"/>
                <w:szCs w:val="18"/>
              </w:rPr>
              <w:t xml:space="preserve">hybrid bonding</w:t>
            </w:r>
            <w:r>
              <w:rPr>
                <w:sz w:val="18"/>
                <w:szCs w:val="18"/>
              </w:rPr>
              <w:t xml:space="preserve"> </w:t>
            </w:r>
            <w:r>
              <w:rPr>
                <w:sz w:val="18"/>
                <w:szCs w:val="18"/>
              </w:rPr>
              <w:t xml:space="preserve">표본에서는 시간 추세가 식별되지 않음</w:t>
            </w:r>
          </w:p>
        </w:tc>
      </w:tr>
      <w:tr>
        <w:trPr>
          <w:cantSplit/>
        </w:trPr>
        <w:tc>
          <w:tcPr>
            <w:tcW w:type="dxa" w:w="1578"/>
          </w:tcPr>
          <w:p>
            <w:pPr>
              <w:pStyle w:val="Compact"/>
              <w:spacing w:before="20" w:after="20" w:line="240" w:lineRule="auto"/>
              <w:keepNext/>
            </w:pPr>
            <w:r>
              <w:rPr>
                <w:sz w:val="18"/>
                <w:szCs w:val="18"/>
              </w:rPr>
              <w:t xml:space="preserve">RQ3 구조적 중심 변화</w:t>
            </w:r>
          </w:p>
        </w:tc>
        <w:tc>
          <w:tcPr>
            <w:tcW w:type="dxa" w:w="2157"/>
          </w:tcPr>
          <w:p>
            <w:pPr>
              <w:pStyle w:val="Compact"/>
              <w:spacing w:before="20" w:after="20" w:line="240" w:lineRule="auto"/>
              <w:keepNext/>
            </w:pPr>
            <w:r>
              <w:rPr>
                <w:sz w:val="18"/>
                <w:szCs w:val="18"/>
              </w:rPr>
              <w:t xml:space="preserve">이항 로짓(핵심 기술 × 출원 시기), 영역별 결합 강도와 매개 중심성</w:t>
            </w:r>
          </w:p>
        </w:tc>
        <w:tc>
          <w:tcPr>
            <w:tcW w:type="dxa" w:w="2504"/>
          </w:tcPr>
          <w:p>
            <w:pPr>
              <w:pStyle w:val="Compact"/>
              <w:spacing w:before="20" w:after="20" w:line="240" w:lineRule="auto"/>
              <w:keepNext/>
            </w:pPr>
            <w:r>
              <w:rPr>
                <w:sz w:val="18"/>
                <w:szCs w:val="18"/>
              </w:rPr>
              <w:t xml:space="preserve">핵심 기술의 승산비 11.071***(95% CI 4.211–29.107) → 2.452** → 0.658(비유의; 표 10); 2020–2024년 상호작용 0.059***; 접합과 가장 강하게 결합한 제조공정 영역은 웨이퍼 제조공정에서 패키징 단계 공정으로(표 11)</w:t>
            </w:r>
          </w:p>
        </w:tc>
        <w:tc>
          <w:tcPr>
            <w:tcW w:type="dxa" w:w="2830"/>
          </w:tcPr>
          <w:p>
            <w:pPr>
              <w:pStyle w:val="Compact"/>
              <w:spacing w:before="20" w:after="20" w:line="240" w:lineRule="auto"/>
              <w:keepNext/>
            </w:pPr>
            <w:r>
              <w:rPr>
                <w:sz w:val="18"/>
                <w:szCs w:val="18"/>
              </w:rPr>
              <w:t xml:space="preserve">모든 재추정에서 상호작용 0.050–0.185, 모두 5% 수준에서 유의(표 13)</w:t>
            </w:r>
          </w:p>
        </w:tc>
      </w:tr>
    </w:tbl>
    <w:bookmarkEnd w:id="46"/>
    <w:bookmarkEnd w:id="47"/>
    <w:bookmarkStart w:id="51" w:name="논의"/>
    <w:p>
      <w:pPr>
        <w:pStyle w:val="Heading2"/>
      </w:pPr>
      <w:r>
        <w:t xml:space="preserve">6. 논의</w:t>
      </w:r>
    </w:p>
    <w:p>
      <w:pPr>
        <w:pStyle w:val="FirstParagraph"/>
      </w:pPr>
      <w:r>
        <w:t xml:space="preserve">본 절에서는 제5절의 분석 결과를 바탕으로 이론적 함의와 실무적·정책적 함의를 논의하고, 연구의 한계와 향후 연구 방향을 제시한다.</w:t>
      </w:r>
    </w:p>
    <w:bookmarkStart w:id="48" w:name="이론적-함의"/>
    <w:p>
      <w:pPr>
        <w:pStyle w:val="Heading3"/>
      </w:pPr>
      <w:r>
        <w:t xml:space="preserve">6.1 이론적 함의</w:t>
      </w:r>
    </w:p>
    <w:p>
      <w:pPr>
        <w:pStyle w:val="FirstParagraph"/>
      </w:pPr>
      <w:r>
        <w:t xml:space="preserve">본 연구의 결과는 세 연구 질문에 대응하여 다음과 같은 세 가지 이론적 함의를 가진다.</w:t>
      </w:r>
    </w:p>
    <w:p>
      <w:pPr>
        <w:pStyle w:val="BodyText"/>
      </w:pPr>
      <w:r>
        <w:rPr>
          <w:b/>
          <w:bCs/>
        </w:rPr>
        <w:t xml:space="preserve">첫째, 기술융합은 서로 다른 산업 사이뿐 아니라 한 산업 내의 공정 단계 사이에서도 나타난다(RQ1).</w:t>
      </w:r>
      <w:r>
        <w:t xml:space="preserve"> </w:t>
      </w:r>
      <w:r>
        <w:t xml:space="preserve">기존 문헌은 융합을 주로 산업과 산업, 기술 분야와 기술 분야 사이의 현상으로 다루어 왔다(Hacklin et al., 2010; Curran and Leker, 2011</w:t>
      </w:r>
      <w:r>
        <w:rPr>
          <w:highlight w:val="yellow"/>
        </w:rPr>
        <w:t xml:space="preserve">; Zhang and Zhang, 2025</w:t>
      </w:r>
      <w:r>
        <w:t xml:space="preserve">). 본 연구의 결과는 동일한 개념이 한 산업 내부의 경계, 즉 반도체 제조의 제조공정 영역과 접합 영역 사이에도 적용되며, 그 경계 넘기를 개별 특허에서 관찰할 수 있음을 보여 준다. 하이브리드 본딩 관련 특허의 45.8%는 두 영역의 기호를 함께 보유하며, 좁은 정의에서도 그 비중은 37.2%에 이른다. Jacobides et al.(2006)의 논의와 같이 산업 아키텍처가 분업의 틀이라면, 단계 간 인터페이스가 불안정해질 때 발명이 그 양쪽을 함께 포함하기 시작하는 것은 그 틀의 재편에 선행할 수 있는 기술적 상호의존의 확대이며, 본 연구는 이를 특허 공동분류로 포착하였다. Kapoor(2013)가 분업 속에서도 조직적 통합이 지속되었음을 보였다면, 본 연구는 그 통합의 기술적 기반, 즉 두 영역의 지식이 개별 발명 안에서 결합되고 있음을 보여 준다. 융합의 단계 논리(Hacklin et al., 2010)에 따르면 기술의 결합이 조직의 결합에 선행하므로, 경계를 넘는 특허의 분포가 조직 경계의 변화에 앞서 나타나는 지표가 될 수 있다는 가설은 후속 연구의 과제로 남긴다.</w:t>
      </w:r>
    </w:p>
    <w:p>
      <w:pPr>
        <w:pStyle w:val="BodyText"/>
      </w:pPr>
      <w:r>
        <w:rPr>
          <w:highlight w:val="yellow"/>
        </w:rPr>
        <w:t xml:space="preserve">이 결과는</w:t>
      </w:r>
      <w:r>
        <w:t xml:space="preserve"> </w:t>
      </w:r>
      <w:r>
        <w:t xml:space="preserve">또한 경계를 넘는 발명이 어떠한 특성을 지니는지에 대한 함의를 가진다. 본 연구에서 경계를 넘는 특허는 더 다양한 세부 기술을 포함하는 것으로 나타났다. Kodama(1992)의 융합은 기업의 연구개발 조직 수준에서, 융합 지수는 분야 수준에서 정의되었으나, 본 연구는 특허 수준의 증거를 통해 경계를 넘는 발명의 특징을 기술적 다양성에서 찾았으며, 이는 분야 수준의 지표로는 설명하기 어려웠던 ‘어떠한 발명이 융합을 포함하는가’라는 질문(제2.1절)에 대한 하나의 답이 된다. 더 많은 세부 기술에 걸치는 출원일수록 제조공정과 접합 기호를 함께 보유할 가능성이 높고, 범위가 좁은 출원은 한 영역에 머무는 경향이 있다. 이러한 연관은 형성기, 확산기, 재편기 모두에서 나타나, 융합의 중심이 이동하는 동안에도 유지되었다. 이는 특허 범위가 경제적 가치를 지닌다는 Lerner(1994)의 발견, 세분화된 기술 시장에서 넓은 포트폴리오가 유리하다는 Ziedonis(2004)의 설명과 맥을 같이한다. 성능과 수율이 인접한 공정 단계의 역량에 좌우되는 기술에서 넓은 기술적 다양성은 권리 보호 전략과도 관련될 수 있으며</w:t>
      </w:r>
      <w:r>
        <w:rPr>
          <w:highlight w:val="yellow"/>
        </w:rPr>
        <w:t xml:space="preserve">(Zhao et al., 2023)</w:t>
      </w:r>
      <w:r>
        <w:t xml:space="preserve">, 공정 단계 간 융합이 특허 분류에 드러나는 방식이기도 하다.</w:t>
      </w:r>
    </w:p>
    <w:p>
      <w:pPr>
        <w:pStyle w:val="BodyText"/>
      </w:pPr>
      <w:r>
        <w:rPr>
          <w:b/>
          <w:bCs/>
        </w:rPr>
        <w:t xml:space="preserve">둘째, 공정 단계 간 융합은 단선적으로 확대되지 않고 형성, 확산, 재편의 세 국면을 거쳐 전개되었으며, 그 과정에서 출원의 무게중심은 제조공정에서 접합 쪽으로 이동하였다(RQ2).</w:t>
      </w:r>
      <w:r>
        <w:t xml:space="preserve"> </w:t>
      </w:r>
      <w:r>
        <w:t xml:space="preserve">표 15는 본 연구의 결과를 시간 순서에 따라 정리한 것이다. 융합을 단순한 확대 과정으로 이해하면 경계를 넘는 특허의 비중은 시간이 지날수록 지속적으로 증가할 것으로 기대된다. 그러나 결과는 그렇지 않았다. 형성기(2014년 이전)에는 평탄화, 표면 활성화, 웨이퍼 접합과 같은 제조공정 발명이 단독으로 출원되는 경우가 가장 많았으며(공정 단독형 43.6%), 접합의 핵심을 다루는 발명은 대부분 제조공정 지식을 함께 포함하였다(핵심 기술의 승산비 11.071). 확산기(2015–2019년)에는 공정 발명이 단독으로 분류되기보다 접합 기술과 함께 분류되면서 통합형이 62.2%로 정점에 이르렀다. 재편기(2020–2024년)에는 통합형이 44.3%로 낮아지고 접합 단독형이 45.4%로 증가하였다. 이 시기에는 핵심 기술을 포함한 출원이 그렇지 않은 출원보다 경계를 더 자주 넘지 않았으며(승산비 0.658, 비유의), 핵심 기술과 함께 부여된 제조공정은 임시 기판을 이용한 다이 지지·봉지 공정이 가장 많았다. 한편 핵심 기술이 없는 접합 출원의 통합형 비중은 오히려 27.7%에서 56.9%로 높아졌다. 출원당 기호 수도 같은 흐름을 보인다. 접합 계열(H01L24) 기호는 2014년 이전 3.03개에서 2015–2019년 4.73개로 증가하였다가 2020–2024년 3.91개로 감소하였고, 제조공정 계열(H01L21) 기호는 2.12개와 2.23개에서 1.46개로 감소하였다.</w:t>
      </w:r>
    </w:p>
    <w:p>
      <w:pPr>
        <w:pStyle w:val="BodyText"/>
        <w:keepNext/>
      </w:pPr>
      <w:r>
        <w:rPr>
          <w:b/>
          <w:bCs/>
          <w:sz w:val="20"/>
          <w:szCs w:val="20"/>
        </w:rPr>
        <w:t xml:space="preserve">표 15.</w:t>
      </w:r>
      <w:r>
        <w:rPr>
          <w:sz w:val="20"/>
          <w:szCs w:val="20"/>
        </w:rPr>
        <w:t xml:space="preserve"> </w:t>
      </w:r>
      <w:r>
        <w:rPr>
          <w:sz w:val="20"/>
          <w:szCs w:val="20"/>
        </w:rPr>
        <w:t xml:space="preserve">하이브리드 본딩에서 공정 단계 간 융합의 세 국면(유형 비중은 표 9, 승산비는 표 10, 핵심 기술 비중과 주요 제조공정은 제5.3절).</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30"/>
        <w:gridCol w:w="824"/>
        <w:gridCol w:w="824"/>
        <w:gridCol w:w="824"/>
        <w:gridCol w:w="1540"/>
        <w:gridCol w:w="1069"/>
        <w:gridCol w:w="2261"/>
      </w:tblGrid>
      <w:tr>
        <w:trPr>
          <w:tblHeader w:val="on"/>
          <w:cantSplit/>
        </w:trPr>
        <w:tc>
          <w:tcPr>
            <w:tcW w:type="dxa" w:w="1730"/>
            <w:tcBorders>
              <w:bottom w:val="single" w:sz="4" w:space="0" w:color="000000"/>
            </w:tcBorders>
          </w:tcPr>
          <w:p>
            <w:pPr>
              <w:pStyle w:val="Compact"/>
              <w:spacing w:before="20" w:after="20" w:line="240" w:lineRule="auto"/>
              <w:keepNext/>
            </w:pPr>
            <w:r>
              <w:rPr>
                <w:sz w:val="13"/>
                <w:szCs w:val="13"/>
              </w:rPr>
              <w:t xml:space="preserve">국면(시기)</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통합형(%)</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공정 단독형(%)</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접합 단독형(%)</w:t>
            </w:r>
          </w:p>
        </w:tc>
        <w:tc>
          <w:tcPr>
            <w:tcW w:type="dxa" w:w="1540"/>
            <w:tcBorders>
              <w:bottom w:val="single" w:sz="4" w:space="0" w:color="000000"/>
            </w:tcBorders>
          </w:tcPr>
          <w:p>
            <w:pPr>
              <w:pStyle w:val="Compact"/>
              <w:spacing w:before="20" w:after="20" w:line="240" w:lineRule="auto"/>
              <w:jc w:val="right"/>
              <w:keepNext/>
            </w:pPr>
            <w:r>
              <w:rPr>
                <w:sz w:val="13"/>
                <w:szCs w:val="13"/>
              </w:rPr>
              <w:t xml:space="preserve">핵심 기술 비중(접합 출원, %)</w:t>
            </w:r>
          </w:p>
        </w:tc>
        <w:tc>
          <w:tcPr>
            <w:tcW w:type="dxa" w:w="1069"/>
            <w:tcBorders>
              <w:bottom w:val="single" w:sz="4" w:space="0" w:color="000000"/>
            </w:tcBorders>
          </w:tcPr>
          <w:p>
            <w:pPr>
              <w:pStyle w:val="Compact"/>
              <w:spacing w:before="20" w:after="20" w:line="240" w:lineRule="auto"/>
              <w:jc w:val="center"/>
              <w:keepNext/>
            </w:pPr>
            <w:r>
              <w:rPr>
                <w:sz w:val="13"/>
                <w:szCs w:val="13"/>
              </w:rPr>
              <w:t xml:space="preserve">핵심 기술의 승산비</w:t>
            </w:r>
          </w:p>
        </w:tc>
        <w:tc>
          <w:tcPr>
            <w:tcW w:type="dxa" w:w="2261"/>
            <w:tcBorders>
              <w:bottom w:val="single" w:sz="4" w:space="0" w:color="000000"/>
            </w:tcBorders>
          </w:tcPr>
          <w:p>
            <w:pPr>
              <w:pStyle w:val="Compact"/>
              <w:spacing w:before="20" w:after="20" w:line="240" w:lineRule="auto"/>
              <w:keepNext/>
            </w:pPr>
            <w:r>
              <w:rPr>
                <w:sz w:val="13"/>
                <w:szCs w:val="13"/>
              </w:rPr>
              <w:t xml:space="preserve">핵심 기술과 결합한 주요 제조공정</w:t>
            </w:r>
          </w:p>
        </w:tc>
      </w:tr>
      <w:tr>
        <w:trPr>
          <w:cantSplit/>
        </w:trPr>
        <w:tc>
          <w:tcPr>
            <w:tcW w:type="dxa" w:w="1730"/>
          </w:tcPr>
          <w:p>
            <w:pPr>
              <w:pStyle w:val="Compact"/>
              <w:spacing w:before="20" w:after="20" w:line="240" w:lineRule="auto"/>
              <w:keepNext/>
            </w:pPr>
            <w:r>
              <w:rPr>
                <w:sz w:val="13"/>
                <w:szCs w:val="13"/>
              </w:rPr>
              <w:t xml:space="preserve">형성기(–2014)</w:t>
            </w:r>
          </w:p>
        </w:tc>
        <w:tc>
          <w:tcPr>
            <w:tcW w:type="dxa" w:w="824"/>
          </w:tcPr>
          <w:p>
            <w:pPr>
              <w:pStyle w:val="Compact"/>
              <w:spacing w:before="20" w:after="20" w:line="240" w:lineRule="auto"/>
              <w:jc w:val="right"/>
              <w:keepNext/>
            </w:pPr>
            <w:r>
              <w:rPr>
                <w:sz w:val="13"/>
                <w:szCs w:val="13"/>
              </w:rPr>
              <w:t xml:space="preserve">31.3</w:t>
            </w:r>
          </w:p>
        </w:tc>
        <w:tc>
          <w:tcPr>
            <w:tcW w:type="dxa" w:w="824"/>
          </w:tcPr>
          <w:p>
            <w:pPr>
              <w:pStyle w:val="Compact"/>
              <w:spacing w:before="20" w:after="20" w:line="240" w:lineRule="auto"/>
              <w:jc w:val="right"/>
              <w:keepNext/>
            </w:pPr>
            <w:r>
              <w:rPr>
                <w:sz w:val="13"/>
                <w:szCs w:val="13"/>
              </w:rPr>
              <w:t xml:space="preserve">43.6</w:t>
            </w:r>
          </w:p>
        </w:tc>
        <w:tc>
          <w:tcPr>
            <w:tcW w:type="dxa" w:w="824"/>
          </w:tcPr>
          <w:p>
            <w:pPr>
              <w:pStyle w:val="Compact"/>
              <w:spacing w:before="20" w:after="20" w:line="240" w:lineRule="auto"/>
              <w:jc w:val="right"/>
              <w:keepNext/>
            </w:pPr>
            <w:r>
              <w:rPr>
                <w:sz w:val="13"/>
                <w:szCs w:val="13"/>
              </w:rPr>
              <w:t xml:space="preserve">25.1</w:t>
            </w:r>
          </w:p>
        </w:tc>
        <w:tc>
          <w:tcPr>
            <w:tcW w:type="dxa" w:w="1540"/>
          </w:tcPr>
          <w:p>
            <w:pPr>
              <w:pStyle w:val="Compact"/>
              <w:spacing w:before="20" w:after="20" w:line="240" w:lineRule="auto"/>
              <w:jc w:val="right"/>
              <w:keepNext/>
            </w:pPr>
            <w:r>
              <w:rPr>
                <w:sz w:val="13"/>
                <w:szCs w:val="13"/>
              </w:rPr>
              <w:t xml:space="preserve">53.5</w:t>
            </w:r>
          </w:p>
        </w:tc>
        <w:tc>
          <w:tcPr>
            <w:tcW w:type="dxa" w:w="1069"/>
          </w:tcPr>
          <w:p>
            <w:pPr>
              <w:pStyle w:val="Compact"/>
              <w:spacing w:before="20" w:after="20" w:line="240" w:lineRule="auto"/>
              <w:jc w:val="center"/>
              <w:keepNext/>
            </w:pPr>
            <w:r>
              <w:rPr>
                <w:sz w:val="13"/>
                <w:szCs w:val="13"/>
              </w:rPr>
              <w:t xml:space="preserve">11.071***</w:t>
            </w:r>
          </w:p>
        </w:tc>
        <w:tc>
          <w:tcPr>
            <w:tcW w:type="dxa" w:w="2261"/>
          </w:tcPr>
          <w:p>
            <w:pPr>
              <w:pStyle w:val="Compact"/>
              <w:spacing w:before="20" w:after="20" w:line="240" w:lineRule="auto"/>
              <w:keepNext/>
            </w:pPr>
            <w:r>
              <w:rPr>
                <w:sz w:val="13"/>
                <w:szCs w:val="13"/>
              </w:rPr>
              <w:t xml:space="preserve">—</w:t>
            </w:r>
          </w:p>
        </w:tc>
      </w:tr>
      <w:tr>
        <w:trPr>
          <w:cantSplit/>
        </w:trPr>
        <w:tc>
          <w:tcPr>
            <w:tcW w:type="dxa" w:w="1730"/>
          </w:tcPr>
          <w:p>
            <w:pPr>
              <w:pStyle w:val="Compact"/>
              <w:spacing w:before="20" w:after="20" w:line="240" w:lineRule="auto"/>
              <w:keepNext/>
            </w:pPr>
            <w:r>
              <w:rPr>
                <w:sz w:val="13"/>
                <w:szCs w:val="13"/>
              </w:rPr>
              <w:t xml:space="preserve">확산기(2015–2019)</w:t>
            </w:r>
          </w:p>
        </w:tc>
        <w:tc>
          <w:tcPr>
            <w:tcW w:type="dxa" w:w="824"/>
          </w:tcPr>
          <w:p>
            <w:pPr>
              <w:pStyle w:val="Compact"/>
              <w:spacing w:before="20" w:after="20" w:line="240" w:lineRule="auto"/>
              <w:jc w:val="right"/>
              <w:keepNext/>
            </w:pPr>
            <w:r>
              <w:rPr>
                <w:sz w:val="13"/>
                <w:szCs w:val="13"/>
              </w:rPr>
              <w:t xml:space="preserve">62.2</w:t>
            </w:r>
          </w:p>
        </w:tc>
        <w:tc>
          <w:tcPr>
            <w:tcW w:type="dxa" w:w="824"/>
          </w:tcPr>
          <w:p>
            <w:pPr>
              <w:pStyle w:val="Compact"/>
              <w:spacing w:before="20" w:after="20" w:line="240" w:lineRule="auto"/>
              <w:jc w:val="right"/>
              <w:keepNext/>
            </w:pPr>
            <w:r>
              <w:rPr>
                <w:sz w:val="13"/>
                <w:szCs w:val="13"/>
              </w:rPr>
              <w:t xml:space="preserve">14.8</w:t>
            </w:r>
          </w:p>
        </w:tc>
        <w:tc>
          <w:tcPr>
            <w:tcW w:type="dxa" w:w="824"/>
          </w:tcPr>
          <w:p>
            <w:pPr>
              <w:pStyle w:val="Compact"/>
              <w:spacing w:before="20" w:after="20" w:line="240" w:lineRule="auto"/>
              <w:jc w:val="right"/>
              <w:keepNext/>
            </w:pPr>
            <w:r>
              <w:rPr>
                <w:sz w:val="13"/>
                <w:szCs w:val="13"/>
              </w:rPr>
              <w:t xml:space="preserve">23.0</w:t>
            </w:r>
          </w:p>
        </w:tc>
        <w:tc>
          <w:tcPr>
            <w:tcW w:type="dxa" w:w="1540"/>
          </w:tcPr>
          <w:p>
            <w:pPr>
              <w:pStyle w:val="Compact"/>
              <w:spacing w:before="20" w:after="20" w:line="240" w:lineRule="auto"/>
              <w:jc w:val="right"/>
              <w:keepNext/>
            </w:pPr>
            <w:r>
              <w:rPr>
                <w:sz w:val="13"/>
                <w:szCs w:val="13"/>
              </w:rPr>
              <w:t xml:space="preserve">78.7</w:t>
            </w:r>
          </w:p>
        </w:tc>
        <w:tc>
          <w:tcPr>
            <w:tcW w:type="dxa" w:w="1069"/>
          </w:tcPr>
          <w:p>
            <w:pPr>
              <w:pStyle w:val="Compact"/>
              <w:spacing w:before="20" w:after="20" w:line="240" w:lineRule="auto"/>
              <w:jc w:val="center"/>
              <w:keepNext/>
            </w:pPr>
            <w:r>
              <w:rPr>
                <w:sz w:val="13"/>
                <w:szCs w:val="13"/>
              </w:rPr>
              <w:t xml:space="preserve">2.452**</w:t>
            </w:r>
          </w:p>
        </w:tc>
        <w:tc>
          <w:tcPr>
            <w:tcW w:type="dxa" w:w="2261"/>
          </w:tcPr>
          <w:p>
            <w:pPr>
              <w:pStyle w:val="Compact"/>
              <w:spacing w:before="20" w:after="20" w:line="240" w:lineRule="auto"/>
              <w:keepNext/>
            </w:pPr>
            <w:r>
              <w:rPr>
                <w:sz w:val="13"/>
                <w:szCs w:val="13"/>
              </w:rPr>
              <w:t xml:space="preserve">반도체 몸체끼리의 접합(21/187), 기판 관통 배선(21/76898)</w:t>
            </w:r>
          </w:p>
        </w:tc>
      </w:tr>
      <w:tr>
        <w:trPr>
          <w:cantSplit/>
        </w:trPr>
        <w:tc>
          <w:tcPr>
            <w:tcW w:type="dxa" w:w="1730"/>
          </w:tcPr>
          <w:p>
            <w:pPr>
              <w:pStyle w:val="Compact"/>
              <w:spacing w:before="20" w:after="20" w:line="240" w:lineRule="auto"/>
              <w:keepNext/>
            </w:pPr>
            <w:r>
              <w:rPr>
                <w:sz w:val="13"/>
                <w:szCs w:val="13"/>
              </w:rPr>
              <w:t xml:space="preserve">재편기(2020–2024)</w:t>
            </w:r>
          </w:p>
        </w:tc>
        <w:tc>
          <w:tcPr>
            <w:tcW w:type="dxa" w:w="824"/>
          </w:tcPr>
          <w:p>
            <w:pPr>
              <w:pStyle w:val="Compact"/>
              <w:spacing w:before="20" w:after="20" w:line="240" w:lineRule="auto"/>
              <w:jc w:val="right"/>
              <w:keepNext/>
            </w:pPr>
            <w:r>
              <w:rPr>
                <w:sz w:val="13"/>
                <w:szCs w:val="13"/>
              </w:rPr>
              <w:t xml:space="preserve">44.3</w:t>
            </w:r>
          </w:p>
        </w:tc>
        <w:tc>
          <w:tcPr>
            <w:tcW w:type="dxa" w:w="824"/>
          </w:tcPr>
          <w:p>
            <w:pPr>
              <w:pStyle w:val="Compact"/>
              <w:spacing w:before="20" w:after="20" w:line="240" w:lineRule="auto"/>
              <w:jc w:val="right"/>
              <w:keepNext/>
            </w:pPr>
            <w:r>
              <w:rPr>
                <w:sz w:val="13"/>
                <w:szCs w:val="13"/>
              </w:rPr>
              <w:t xml:space="preserve">10.4</w:t>
            </w:r>
          </w:p>
        </w:tc>
        <w:tc>
          <w:tcPr>
            <w:tcW w:type="dxa" w:w="824"/>
          </w:tcPr>
          <w:p>
            <w:pPr>
              <w:pStyle w:val="Compact"/>
              <w:spacing w:before="20" w:after="20" w:line="240" w:lineRule="auto"/>
              <w:jc w:val="right"/>
              <w:keepNext/>
            </w:pPr>
            <w:r>
              <w:rPr>
                <w:sz w:val="13"/>
                <w:szCs w:val="13"/>
              </w:rPr>
              <w:t xml:space="preserve">45.4</w:t>
            </w:r>
          </w:p>
        </w:tc>
        <w:tc>
          <w:tcPr>
            <w:tcW w:type="dxa" w:w="1540"/>
          </w:tcPr>
          <w:p>
            <w:pPr>
              <w:pStyle w:val="Compact"/>
              <w:spacing w:before="20" w:after="20" w:line="240" w:lineRule="auto"/>
              <w:jc w:val="right"/>
              <w:keepNext/>
            </w:pPr>
            <w:r>
              <w:rPr>
                <w:sz w:val="13"/>
                <w:szCs w:val="13"/>
              </w:rPr>
              <w:t xml:space="preserve">88.0</w:t>
            </w:r>
          </w:p>
        </w:tc>
        <w:tc>
          <w:tcPr>
            <w:tcW w:type="dxa" w:w="1069"/>
          </w:tcPr>
          <w:p>
            <w:pPr>
              <w:pStyle w:val="Compact"/>
              <w:spacing w:before="20" w:after="20" w:line="240" w:lineRule="auto"/>
              <w:jc w:val="center"/>
              <w:keepNext/>
            </w:pPr>
            <w:r>
              <w:rPr>
                <w:sz w:val="13"/>
                <w:szCs w:val="13"/>
              </w:rPr>
              <w:t xml:space="preserve">0.658</w:t>
            </w:r>
          </w:p>
        </w:tc>
        <w:tc>
          <w:tcPr>
            <w:tcW w:type="dxa" w:w="2261"/>
          </w:tcPr>
          <w:p>
            <w:pPr>
              <w:pStyle w:val="Compact"/>
              <w:spacing w:before="20" w:after="20" w:line="240" w:lineRule="auto"/>
              <w:keepNext/>
            </w:pPr>
            <w:r>
              <w:rPr>
                <w:sz w:val="13"/>
                <w:szCs w:val="13"/>
              </w:rPr>
              <w:t xml:space="preserve">임시 기판을 이용한 지지(21/6835), 봉지 공정용 임시 기판(21/568)</w:t>
            </w:r>
          </w:p>
        </w:tc>
      </w:tr>
    </w:tbl>
    <w:p>
      <w:pPr>
        <w:pStyle w:val="BodyText"/>
      </w:pPr>
      <w:r>
        <w:rPr>
          <w:i/>
          <w:iCs/>
          <w:sz w:val="20"/>
          <w:szCs w:val="20"/>
        </w:rPr>
        <w:t xml:space="preserve">주:</w:t>
      </w:r>
      <w:r>
        <w:rPr>
          <w:sz w:val="20"/>
          <w:szCs w:val="20"/>
        </w:rPr>
        <w:t xml:space="preserve"> </w:t>
      </w:r>
      <w:r>
        <w:rPr>
          <w:sz w:val="20"/>
          <w:szCs w:val="20"/>
        </w:rPr>
        <w:t xml:space="preserve">핵심 기술의 승산비는 핵심 기술을 포함한 접합 출원이 통합형일 승산을 포함하지 않은 접합 출원과 비교한 값이다(** p &lt; 0.05, *** p &lt; 0.01). 주요 제조공정은 핵심 기술을 포함한 통합형 출원에서 가장 빈번한 H01L21 기호이다. 형성기의 해당 출원 43건은 소수의 동일 제목 출원에 집중되어 있어(가장 빈번한 기호도 5개 제목에서만 나타남) 대표 기호를 제시하지 않았다.</w:t>
      </w:r>
    </w:p>
    <w:p>
      <w:pPr>
        <w:pStyle w:val="BodyText"/>
      </w:pPr>
      <w:r>
        <w:t xml:space="preserve">이러한 결과는 융합을 지식에서 기술과 응용을 거쳐 산업으로 나아가는 단계적 과정으로 보는 이론(Hacklin et al., 2010)에 비해 실증적으로 충분히 다루어지지 않았던 융합 내용의 시간적 변화를 보여 준다. 즉, 기술융합은 한 번 형성되면 지속적으로 확대되는 정태적 결합이 아니라, 기술의 발전 단계에 따라 융합의 수준과 유형별 구성이 달라지는 동태적 과정이다. 이러한 국면 전환의 배경은</w:t>
      </w:r>
      <w:r>
        <w:t xml:space="preserve"> </w:t>
      </w:r>
      <w:r>
        <w:rPr>
          <w:highlight w:val="yellow"/>
        </w:rPr>
        <w:t xml:space="preserve">융합의 구조적 중심 변화에 관한</w:t>
      </w:r>
      <w:r>
        <w:t xml:space="preserve"> </w:t>
      </w:r>
      <w:r>
        <w:t xml:space="preserve">다음의 결과를 통해 보다 구체적으로 이해할 수 있다.</w:t>
      </w:r>
    </w:p>
    <w:p>
      <w:pPr>
        <w:pStyle w:val="BodyText"/>
      </w:pPr>
      <w:r>
        <w:rPr>
          <w:b/>
          <w:bCs/>
        </w:rPr>
        <w:t xml:space="preserve">셋째, 융합의 중심은 핵심 기술에서 주변 공정으로 이동하였다(RQ3).</w:t>
      </w:r>
      <w:r>
        <w:t xml:space="preserve"> </w:t>
      </w:r>
      <w:r>
        <w:t xml:space="preserve">핵심 기술을 포함한 출원의 통합형 우위가 형성기에는 뚜렷하였으나 재편기에는 확인되지 않았다는 결과는, 지배적 설계가 자리 잡으면 인터페이스가 고착화되고 이후의 혁신이 정해진 설계 안에서의 점진적 개선으로 전환된다는 기술 순환 모형(Anderson and Tushman, 1990)과 부합한다. 접합 출원 가운데 핵심 기술을 포함한 비중이 53.5%에서 88.0%로 높아진 것은 발명이 하나의 핵심 설계로 수렴한 것으로 해석할 수 있으며, 그 핵심을 다루는 발명이 다른 접합 발명보다 제조공정 지식을 더 자주 포함하지는 않게 된 것은 핵심 요소의 설계가 고착화되면 그와 연관된 요소를 함께 변경할 필요가 줄어든다는 Murmann과 Frenken(2006)의 논리와 일치한다. 적용 범위가 웨이퍼 단위에서 다이 단위 접합으로 확대되고 HBM과 칩렛이 양산 단계에 근접하면서(Lau, 2021, 2022), 두 공정이 만나는 지점도 접합 원리에서 다이를 다루고 적층하는 공정으로 이동한 것으로 해석된다. 제조공정 영역별 결합 강도와 기술 네트워크의 매개 중심성도 같은 변화를 보여 준다. 핵심 기호가 세 시기 내내 허브로 남아 있는 가운데, 접합과 결합하는 제조공정의 중심과 둘을 잇는 연결은 웨이퍼 제조공정에서 공정 장치와 패키징 단계 공정으로 이동하였다(제5.3절, 표 11). 여기서 주변이란 핵심 접합 기호 밖에 있다는 구조적 의미이며, 이 공정들이 양산에서 덜 중요하다는 의미는 아니다. 따라서 공정 단계 간 융합은 더 많은 특허가 경계를 넘는 방식으로 축적된 것이 아니라, 경계를 넘는 내용과 중심이 국면마다 변화하는 방식으로 전개되었다. 이는 Hacklin et al.(2009)의 공진화 논리를 하나의 기술 안에서 관찰한 것이며, 기술융합의 동태적 전개를 기술 아키텍처의 핵심–주변 관계와 기술 순환 관점에서 설명할 수 있는 실증적 근거를 제공한다.</w:t>
      </w:r>
    </w:p>
    <w:bookmarkEnd w:id="48"/>
    <w:bookmarkStart w:id="49" w:name="실무적정책적-함의"/>
    <w:p>
      <w:pPr>
        <w:pStyle w:val="Heading3"/>
      </w:pPr>
      <w:r>
        <w:t xml:space="preserve">6.2 실무적·정책적 함의</w:t>
      </w:r>
    </w:p>
    <w:p>
      <w:pPr>
        <w:pStyle w:val="FirstParagraph"/>
      </w:pPr>
      <w:r>
        <w:t xml:space="preserve">이러한 결과는 기업과 정책 측면에서도 시사점을 가진다. 상당수 출원이 제조공정과 접합 기술을 함께 포함한다는</w:t>
      </w:r>
      <w:r>
        <w:t xml:space="preserve"> </w:t>
      </w:r>
      <w:r>
        <w:rPr>
          <w:highlight w:val="yellow"/>
        </w:rPr>
        <w:t xml:space="preserve">결과는,</w:t>
      </w:r>
      <w:r>
        <w:t xml:space="preserve"> </w:t>
      </w:r>
      <w:r>
        <w:t xml:space="preserve">하이브리드 본딩에서 접합 기술 역량만으로는 충분하지 않으며 표면 평탄화, 오염 제어, 표면 화학, 정렬까지 아우르는 인접 공정 지식이 중요해질 수 있음을 시사한다. 이는 기업이 직접 생산하는 범위보다 넓은 지식을 보유할수록 유리하다는 Kapoor와 Adner(2012)의 지식 경계 논리와도 맥을 같이한다. KnowMade(2024)의 독립적 산업 분석이 파운드리, 종합반도체기업, 라이선싱 기업을 특허 활동을 주도하는 출원인으로 제시하는 것도 같은 맥락에서 이해할 수 있다.</w:t>
      </w:r>
    </w:p>
    <w:p>
      <w:pPr>
        <w:pStyle w:val="BodyText"/>
      </w:pPr>
      <w:r>
        <w:t xml:space="preserve">한편</w:t>
      </w:r>
      <w:r>
        <w:t xml:space="preserve"> </w:t>
      </w:r>
      <w:r>
        <w:rPr>
          <w:highlight w:val="yellow"/>
        </w:rPr>
        <w:t xml:space="preserve">시기별 분석</w:t>
      </w:r>
      <w:r>
        <w:t xml:space="preserve"> </w:t>
      </w:r>
      <w:r>
        <w:t xml:space="preserve">결과에 따르면, 재편기에는 하이브리드 본딩의 핵심 원리를 포함한 발명이 다른 접합 발명보다 제조공정 기호를 더 자주 보유하지 않았으며, 핵심 기술과 결합하는 제조공정은 임시 지지 기판, 봉지와 같이 다이를 다루고 패키지로 완성하는 공정이 많았다. 이는 경쟁의 초점이 핵심 원리의 발명에서 그 원리를 다이 단위 공정과 결합하는 응용의 발명으로 이동하고 있을 가능성을 시사한다. 차세대 HBM 적층에 하이브리드 본딩을 도입하려는 한국 메모리 산업에 대해 이 결과가 주는 시사점은 패키징 경쟁력이 접합 원리 하나에 좌우되지 않을 수 있다는 점이다. 평탄화, 표면 화학, 정렬 계측과 같은 제조공정 역량에 더하여, 얇은 다이를 다루고 적층하는 공정까지 아우르는 역량이 필요할 수 있다.</w:t>
      </w:r>
    </w:p>
    <w:bookmarkEnd w:id="49"/>
    <w:bookmarkStart w:id="50" w:name="한계와-향후-연구"/>
    <w:p>
      <w:pPr>
        <w:pStyle w:val="Heading3"/>
      </w:pPr>
      <w:r>
        <w:t xml:space="preserve">6.3 한계와 향후 연구</w:t>
      </w:r>
    </w:p>
    <w:p>
      <w:pPr>
        <w:pStyle w:val="FirstParagraph"/>
      </w:pPr>
      <w:r>
        <w:t xml:space="preserve">본 연구의 한계는 다음 여섯 가지로 정리할 수 있다. 첫째, 구성타당성의 문제이다. H01L21–H01L24 공동분류는 공정 단계 간 기술융합의 대리측정치이며, H01L21에는 패키징 단계의 제조공정도 포함되어 있고, 기술범위는 유형과 동일한 CPC 정보로부터 산출된다. 좁은 정의에서도 회귀 결과는 유지되었으나 통합형의 비중과 같은 기술통계는 정의에 따라 달라진다. 또한 CPC는 주기적으로 개정되고 과거 출원도 소급하여 재분류될 수 있으므로, 관찰된 시간적 변화의 일부는 기술 자체의 변화가 아니라 분류 체계와 심사 관행의 변화를 반영할 수 있다. 둘째, 표본 선택의 문제이다. 제목 키워드 검색은 기준이 명확하지만 제목에 관련어가 없는 출원을 포착하지 못하며, 검색어의 무관한 용법 68건은 별도로 판정하여 민감도 분석으로 확인해야 하였다. 셋째, 관측 단위와 중복의 문제이다. 분석 단위는 출원이며 공식 패밀리 식별자가 없어 동일 제목으로 근사 조정하였으므로, 관측치의 독립성이 완전히 보장되지는 않는다. 넷째, 누락변수의 문제이다. 출원인과 기업 유형, 국적, 응용처, 웨이퍼 단위와 다이 단위 접합의 구분이 자료에 포함되어 있지 않으며, 두 클래스 이외의 CPC 기호는 회귀 자료에 없다. 기술 클러스터와 기술 네트워크 표의 인덱싱 코드는 동일 출원의 전체 CPC 기호를 별도로 집계한 것이므로, 핵심 기술 변수는 회귀 자료에 포함된 접합 기호 네 개로만 정의하였다. 핵심 기술의 경계 역시 출원 200건 이상이라는 기준에 의존한다. 다만 가장 강한 쌍(24/08, 24/80)으로 한정하여도 결과는 동일하였다. 다섯째, 인과성의 문제이다. 다양성과 유형은 동시에 결정될 가능성이 높고 적절한 도구변수가 없으므로 인과관계는 주장하지 않으며, 출원청은 통제변수로만 포함하였다. 핵심 기술 분석의 시기 구분 역시 지배적 설계의 형성 시점을 직접 측정한 것이 아니라 출원 시기로 근사한 것이다. 여섯째, 측정 시점의 문제이다. 융합의 신호로 사용한 CPC 공동분류는 재현 가능하지만 발명보다 늦게 부여된다. 텍스트 기반 방법(Preschitschek et al., 2013;</w:t>
      </w:r>
      <w:r>
        <w:t xml:space="preserve"> </w:t>
      </w:r>
      <w:r>
        <w:rPr>
          <w:highlight w:val="yellow"/>
        </w:rPr>
        <w:t xml:space="preserve">Lei et al., 2019;</w:t>
      </w:r>
      <w:r>
        <w:t xml:space="preserve"> </w:t>
      </w:r>
      <w:r>
        <w:t xml:space="preserve">Zhu and Motohashi, 2022)은 보다 이른 탐지가 가능하지만 학습된 모형에 의존한다. H01L21과 H01L24의 경계가 제도적으로 명확한 본 연구에서는 재현성을 우선하였다.</w:t>
      </w:r>
    </w:p>
    <w:p>
      <w:pPr>
        <w:pStyle w:val="BodyText"/>
      </w:pPr>
      <w:r>
        <w:t xml:space="preserve">이러한 한계에도 불구하고 본 연구의 설계는 다른 맥락에도 적용할 수 있다. 디스플레이의 첨단 리소그래피, 배터리의 셀-투-팩 통합, 항공우주 조립의 적층제조와 같이 하류 단계가 상류 역량에 의존하기 시작한 공정기술은 모두 동일한 두 클래스 규칙과 이산선택 모형으로 분석할 수 있다. 여러 사례를 비교하면 본 연구에서 관찰한 형성–확산–재편의 전개가 일반적인지 확인할 수 있을 것이다. 또한 각 특허가 여러 기호의 집합이라는 점을 활용하여 고차 공출현을 보존하는 표현이나 일반성 지수(Petralia, 2020)를 사용하면, 하이브리드 본딩이 로직, 메모리, 이미지센서로 확산되는 범용기술적 성격을 직접 검정할 수 있을 것이다.</w:t>
      </w:r>
    </w:p>
    <w:bookmarkEnd w:id="50"/>
    <w:bookmarkEnd w:id="51"/>
    <w:bookmarkStart w:id="52" w:name="결론"/>
    <w:p>
      <w:pPr>
        <w:pStyle w:val="Heading2"/>
      </w:pPr>
      <w:r>
        <w:t xml:space="preserve">7. 결론</w:t>
      </w:r>
    </w:p>
    <w:p>
      <w:pPr>
        <w:pStyle w:val="FirstParagraph"/>
      </w:pPr>
      <w:r>
        <w:t xml:space="preserve">기술융합은 그동안 주로 산업 간의 결합으로, 그리고 융합의 정도가 증가하였는가의 문제로 연구되어 왔다. 본 연구는 한 산업의 공정 단계 사이에서 기술융합이 어느 정도로, 어떠한 형태로</w:t>
      </w:r>
      <w:r>
        <w:t xml:space="preserve"> </w:t>
      </w:r>
      <w:r>
        <w:rPr>
          <w:highlight w:val="yellow"/>
        </w:rPr>
        <w:t xml:space="preserve">나타나는지,</w:t>
      </w:r>
      <w:r>
        <w:t xml:space="preserve"> </w:t>
      </w:r>
      <w:r>
        <w:t xml:space="preserve">그 수준과 형태가 시간에 따라 어떻게</w:t>
      </w:r>
      <w:r>
        <w:t xml:space="preserve"> </w:t>
      </w:r>
      <w:r>
        <w:rPr>
          <w:highlight w:val="yellow"/>
        </w:rPr>
        <w:t xml:space="preserve">변화하는지,</w:t>
      </w:r>
      <w:r>
        <w:t xml:space="preserve"> </w:t>
      </w:r>
      <w:r>
        <w:t xml:space="preserve">그리고 그 중심이 핵심 기술과 주변 기술 사이에서 어떻게</w:t>
      </w:r>
      <w:r>
        <w:t xml:space="preserve"> </w:t>
      </w:r>
      <w:r>
        <w:rPr>
          <w:highlight w:val="yellow"/>
        </w:rPr>
        <w:t xml:space="preserve">이동하는지를</w:t>
      </w:r>
      <w:r>
        <w:t xml:space="preserve"> </w:t>
      </w:r>
      <w:r>
        <w:t xml:space="preserve">개별 출원 수준에서 분석하였다. 이를 위해 하이브리드 본딩 관련 출원 928건에 부여된 CPC 기호를 기준으로 각 출원을 접합 단독형, 공정 단독형, 통합형으로 구분하고, 어떠한 특허가 두 공정의 경계를 넘는지와 그 양상이 시기에 따라 어떻게 변화하였는지를 추정하였다.</w:t>
      </w:r>
    </w:p>
    <w:p>
      <w:pPr>
        <w:pStyle w:val="BodyText"/>
      </w:pPr>
      <w:r>
        <w:t xml:space="preserve">연구 질문별 주요 결과는 다음과 같다. 첫째, RQ1과 관련하여 공정 단계 간 융합은 예외적인 현상이 아닌 것으로 나타났다. 통합형은 45.8%로 가장 큰 비중을 차지하였고 좁은 정의에서도 37.2%였으며, 세부 기술을 더 다양하게 포함한 특허일수록 경계를 넘을 가능성이 높았다. 둘째, RQ2와 관련하여 융합의 수준과 형태는 세 국면을 거쳐 변화하였다. 형성기에는 제조공정 발명이 단독으로 출원되는 경우가 가장 많았고, 확산기에는 두 공정을 함께 포함한 통합형이 62.2%로 정점에 이르렀으며, 재편기에는 통합형이 감소하고 접합 단독형이 증가하였다. 최근 출원일수록 공정 단독형이 줄어들어 출원의 무게중심이 접합 쪽으로 이동하였으며, 이 결과는 2014년 이전 출원이 적은</w:t>
      </w:r>
      <w:r>
        <w:t xml:space="preserve"> </w:t>
      </w:r>
      <w:r>
        <w:rPr>
          <w:i/>
          <w:iCs/>
        </w:rPr>
        <w:t xml:space="preserve">hybrid bonding</w:t>
      </w:r>
      <w:r>
        <w:t xml:space="preserve"> </w:t>
      </w:r>
      <w:r>
        <w:t xml:space="preserve">표본을 제외한 모든 재추정에서 유지되었다. 기술적 다양성과 통합형의 연관은 세 국면 모두에서 유지되었다. 셋째, RQ3과 관련하여 융합의 중심은 핵심 기술에서 주변 공정으로 이동하였다. 기술 클러스터와 기술 네트워크로 식별한 핵심 기술을 포함한 출원은 형성기에 제조공정 분류를 함께 가질 승산이 그렇지 않은 출원의 11.1배였으나 그 차이는 재편기에 유의하지 않았으며, 이러한 차이의 감소는 모든 재추정에서 유지되었다. 또한 핵심 기술과 함께 부여되는 제조공정은 임시 기판을 이용한 다이 지지·봉지 공정으로 바뀌었고, 접합과 결합하는 제조공정의 중심도 웨이퍼 제조공정에서 공정 장치와 패키징 단계 공정으로 이동하였다.</w:t>
      </w:r>
    </w:p>
    <w:p>
      <w:pPr>
        <w:pStyle w:val="BodyText"/>
      </w:pPr>
      <w:r>
        <w:t xml:space="preserve">이러한 결과는 공정 단계 간 융합이 한 방향으로 축적되는 과정이 아니라, 핵심 기술의 설계가 고착화되면서 융합의 중심이 핵심에서 주변으로 이동하는 동태적 과정이었음을 시사한다.</w:t>
      </w:r>
    </w:p>
    <w:p>
      <w:pPr>
        <w:pStyle w:val="BodyText"/>
      </w:pPr>
      <w:r>
        <w:t xml:space="preserve">본 연구의 학술적 기여는 세 연구 질문에 대응하여 다음과 같이 정리할 수 있다. 본 연구는 기술융합 연구의 분석 범위를 산업 간 융합에서 동일 산업 내 공정 단계 간 융합으로</w:t>
      </w:r>
      <w:r>
        <w:t xml:space="preserve"> </w:t>
      </w:r>
      <w:r>
        <w:rPr>
          <w:highlight w:val="yellow"/>
        </w:rPr>
        <w:t xml:space="preserve">확장하였고,</w:t>
      </w:r>
      <w:r>
        <w:t xml:space="preserve"> </w:t>
      </w:r>
      <w:r>
        <w:t xml:space="preserve">기술융합을 시간에 따라 유형별 구성이 변화하는 동태적 과정으로</w:t>
      </w:r>
      <w:r>
        <w:t xml:space="preserve"> </w:t>
      </w:r>
      <w:r>
        <w:rPr>
          <w:highlight w:val="yellow"/>
        </w:rPr>
        <w:t xml:space="preserve">분석하였으며,</w:t>
      </w:r>
      <w:r>
        <w:t xml:space="preserve"> </w:t>
      </w:r>
      <w:r>
        <w:t xml:space="preserve">융합의 구조적 중심 변화를 기술 아키텍처의 핵심–주변 관계와 기술 순환 관점에서</w:t>
      </w:r>
      <w:r>
        <w:t xml:space="preserve"> </w:t>
      </w:r>
      <w:r>
        <w:rPr>
          <w:highlight w:val="yellow"/>
        </w:rPr>
        <w:t xml:space="preserve">실증하였다.</w:t>
      </w:r>
      <w:r>
        <w:t xml:space="preserve"> </w:t>
      </w:r>
      <w:r>
        <w:t xml:space="preserve">방법론적으로는 새로운 융합지수를 제안하기보다, 공동분류를 개별 특허의 유형으로 재구성하여 특허 수준의 이질성과 그 시간적 변화를 추정할 수 있게 하고, 이를 기술 클러스터와 기술 네트워크로 식별한 핵심 기술과 연결하였다는 데 의의가 있다.</w:t>
      </w:r>
    </w:p>
    <w:p>
      <w:r>
        <w:pict>
          <v:rect style="width:0;height:1.5pt" o:hralign="center" o:hrstd="t" o:hr="t"/>
        </w:pict>
      </w:r>
    </w:p>
    <w:bookmarkEnd w:id="52"/>
    <w:bookmarkStart w:id="53" w:name="참고문헌-references"/>
    <w:p>
      <w:pPr>
        <w:pStyle w:val="Heading2"/>
      </w:pPr>
      <w:r>
        <w:t xml:space="preserve">참고문헌 (References)</w:t>
      </w:r>
    </w:p>
    <w:p>
      <w:pPr>
        <w:pStyle w:val="FirstParagraph"/>
      </w:pPr>
      <w:r>
        <w:t xml:space="preserve">Anderson, P., Tushman, M.L., 1990. Technological discontinuities and dominant designs: A cyclical model of technological change. Administrative Science Quarterly 35 (4), 604–633. https://doi.org/10.2307/2393511</w:t>
      </w:r>
    </w:p>
    <w:p>
      <w:pPr>
        <w:pStyle w:val="BodyText"/>
      </w:pPr>
      <w:r>
        <w:t xml:space="preserve">Applied Materials, 2025. Kinex(키넥스) 다이 투 웨이퍼 하이브리드 본딩 통합 시스템(김지혜 작성) [Web page]. 어플라이드머티리얼즈(Applied Materials) 홈페이지.</w:t>
      </w:r>
    </w:p>
    <w:p>
      <w:pPr>
        <w:pStyle w:val="BodyText"/>
      </w:pPr>
      <w:r>
        <w:t xml:space="preserve">Arden, W., Brillouët, M., Cogez, P., Graef, M., Huizing, B., Mahnkopf, R., 2010.</w:t>
      </w:r>
      <w:r>
        <w:t xml:space="preserve"> </w:t>
      </w:r>
      <w:r>
        <w:t xml:space="preserve">“More-than-Moore”</w:t>
      </w:r>
      <w:r>
        <w:t xml:space="preserve"> </w:t>
      </w:r>
      <w:r>
        <w:t xml:space="preserve">white paper. International Technology Roadmap for Semiconductors (ITRS).</w:t>
      </w:r>
    </w:p>
    <w:p>
      <w:pPr>
        <w:pStyle w:val="BodyText"/>
      </w:pPr>
      <w:r>
        <w:t xml:space="preserve">Breschi, S., Lissoni, F., Malerba, F., 2003. Knowledge-relatedness in firm technological diversification. Research Policy 32 (1), 69–87. https://doi.org/10.1016/S0048-7333(02)00004-5</w:t>
      </w:r>
    </w:p>
    <w:p>
      <w:pPr>
        <w:pStyle w:val="BodyText"/>
      </w:pPr>
      <w:r>
        <w:t xml:space="preserve">Bröring, S., Cloutier, L.M., Leker, J., 2006. The front end of innovation in an era of industry convergence: Evidence from nutraceuticals and functional foods. R&amp;D Management 36 (5), 487–498. https://doi.org/10.1111/j.1467-9310.2006.00449.x</w:t>
      </w:r>
    </w:p>
    <w:p>
      <w:pPr>
        <w:pStyle w:val="BodyText"/>
      </w:pPr>
      <w:r>
        <w:t xml:space="preserve">Brown, C., Linden, G., 2009. Chips and Change: How Crisis Reshapes the Semiconductor Industry. MIT Press, Cambridge, MA.</w:t>
      </w:r>
    </w:p>
    <w:p>
      <w:pPr>
        <w:pStyle w:val="BodyText"/>
      </w:pPr>
      <w:r>
        <w:t xml:space="preserve">Brusoni, S., Prencipe, A., Pavitt, K., 2001. Knowledge specialization, organizational coupling, and the boundaries of the firm: Why do firms know more than they make? Administrative Science Quarterly 46 (4), 597–621. https://doi.org/10.2307/3094825</w:t>
      </w:r>
    </w:p>
    <w:p>
      <w:pPr>
        <w:pStyle w:val="BodyText"/>
      </w:pPr>
      <w:r>
        <w:t xml:space="preserve">Caviggioli, F., 2016. Technology fusion: Identification and analysis of the drivers of technology convergence using patent data. Technovation 55–56, 22–32. https://doi.org/10.1016/j.technovation.2016.04.003</w:t>
      </w:r>
    </w:p>
    <w:p>
      <w:pPr>
        <w:pStyle w:val="BodyText"/>
      </w:pPr>
      <w:r>
        <w:t xml:space="preserve">Cho, Y., Kim, M., 2014. Entropy and gravity concepts as new methodological indexes to investigate technological convergence: Patent network-based approach. PLOS ONE 9 (6), e98009. https://doi.org/10.1371/journal.pone.0098009</w:t>
      </w:r>
    </w:p>
    <w:p>
      <w:pPr>
        <w:pStyle w:val="BodyText"/>
      </w:pPr>
      <w:r>
        <w:rPr>
          <w:highlight w:val="yellow"/>
        </w:rPr>
        <w:t xml:space="preserve">Choi, S., Afifuddin, M., Seo, W., 2022. A supervised learning-based approach to anticipating potential technology convergence. IEEE Access 10, 19284–19300. https://doi.org/10.1109/ACCESS.2022.3151870</w:t>
      </w:r>
    </w:p>
    <w:p>
      <w:pPr>
        <w:pStyle w:val="BodyText"/>
      </w:pPr>
      <w:r>
        <w:t xml:space="preserve">Curran, C.-S., Bröring, S., Leker, J., 2010. Anticipating converging industries using publicly available data. Technological Forecasting and Social Change 77 (3), 385–395. https://doi.org/10.1016/j.techfore.2009.10.002</w:t>
      </w:r>
    </w:p>
    <w:p>
      <w:pPr>
        <w:pStyle w:val="BodyText"/>
      </w:pPr>
      <w:r>
        <w:t xml:space="preserve">Curran, C.-S., Leker, J., 2011. Patent indicators for monitoring convergence – Examples from NFF and ICT. Technological Forecasting and Social Change 78 (2), 256–273. https://doi.org/10.1016/j.techfore.2010.06.021</w:t>
      </w:r>
    </w:p>
    <w:p>
      <w:pPr>
        <w:pStyle w:val="BodyText"/>
      </w:pPr>
      <w:r>
        <w:t xml:space="preserve">European Patent Office, 2025. PATSTAT Global (2025 edition) [Database]. EPO, Vienna.</w:t>
      </w:r>
    </w:p>
    <w:p>
      <w:pPr>
        <w:pStyle w:val="BodyText"/>
      </w:pPr>
      <w:r>
        <w:t xml:space="preserve">Freeman, L.C., 1977. A set of measures of centrality based on betweenness. Sociometry 40 (1), 35–41. https://doi.org/10.2307/3033543</w:t>
      </w:r>
    </w:p>
    <w:p>
      <w:pPr>
        <w:pStyle w:val="BodyText"/>
      </w:pPr>
      <w:r>
        <w:t xml:space="preserve">Gambardella, A., Torrisi, S., 1998. Does technological convergence imply convergence in markets? Evidence from the electronics industry. Research Policy 27 (5), 445–463. https://doi.org/10.1016/S0048-7333(98)00062-6</w:t>
      </w:r>
    </w:p>
    <w:p>
      <w:pPr>
        <w:pStyle w:val="BodyText"/>
      </w:pPr>
      <w:r>
        <w:t xml:space="preserve">Geum, Y., Kim, M.-S., Lee, S., 2016. How industrial convergence happens: A taxonomical approach based on empirical evidences. Technological Forecasting and Social Change 107, 112–120. https://doi.org/10.1016/j.techfore.2016.03.020</w:t>
      </w:r>
    </w:p>
    <w:p>
      <w:pPr>
        <w:pStyle w:val="BodyText"/>
      </w:pPr>
      <w:r>
        <w:t xml:space="preserve">Hacklin, F., Marxt, C., Fahrni, F., 2009. Coevolutionary cycles of convergence: An extrapolation from the ICT industry. Technological Forecasting and Social Change 76 (6), 723–736. https://doi.org/10.1016/j.techfore.2009.03.003</w:t>
      </w:r>
    </w:p>
    <w:p>
      <w:pPr>
        <w:pStyle w:val="BodyText"/>
      </w:pPr>
      <w:r>
        <w:t xml:space="preserve">Hacklin, F., Marxt, C., Fahrni, F., 2010. An evolutionary perspective on convergence: Inducing a stage model of inter-industry innovation. International Journal of Technology Management 49 (1–3), 220–249. https://doi.org/10.1504/IJTM.2010.029419</w:t>
      </w:r>
    </w:p>
    <w:p>
      <w:pPr>
        <w:pStyle w:val="BodyText"/>
      </w:pPr>
      <w:r>
        <w:t xml:space="preserve">Hall, B.H., Ziedonis, R.H., 2001. The patent paradox revisited: An empirical study of patenting in the U.S. semiconductor industry, 1979–1995. RAND Journal of Economics 32 (1), 101–128. https://doi.org/10.2307/2696400</w:t>
      </w:r>
    </w:p>
    <w:p>
      <w:pPr>
        <w:pStyle w:val="BodyText"/>
      </w:pPr>
      <w:r>
        <w:t xml:space="preserve">Hosmer, D.W., Lemeshow, S., Sturdivant, R.X., 2013. Applied Logistic Regression, 3rd ed. Wiley, Hoboken, NJ.</w:t>
      </w:r>
    </w:p>
    <w:p>
      <w:pPr>
        <w:pStyle w:val="BodyText"/>
      </w:pPr>
      <w:r>
        <w:t xml:space="preserve">Hwang, I., 2020. The effect of collaborative innovation on ICT-based technological convergence: A patent-based analysis. PLOS ONE 15 (2), e0228616. https://doi.org/10.1371/journal.pone.0228616</w:t>
      </w:r>
    </w:p>
    <w:p>
      <w:pPr>
        <w:pStyle w:val="BodyText"/>
      </w:pPr>
      <w:r>
        <w:t xml:space="preserve">Iyer, S.S., 2016. Heterogeneous integration for performance and scaling. IEEE Transactions on Components, Packaging and Manufacturing Technology 6 (7), 973–982. https://doi.org/10.1109/TCPMT.2015.2511626</w:t>
      </w:r>
    </w:p>
    <w:p>
      <w:pPr>
        <w:pStyle w:val="BodyText"/>
      </w:pPr>
      <w:r>
        <w:t xml:space="preserve">Jaccard, P., 1912. The distribution of the flora in the alpine zone. New Phytologist 11 (2), 37–50. https://doi.org/10.1111/j.1469-8137.1912.tb05611.x</w:t>
      </w:r>
    </w:p>
    <w:p>
      <w:pPr>
        <w:pStyle w:val="BodyText"/>
      </w:pPr>
      <w:r>
        <w:t xml:space="preserve">Jacobides, M.G., Knudsen, T., Augier, M., 2006. Benefiting from innovation: Value creation, value appropriation and the role of industry architectures. Research Policy 35 (8), 1200–1221. https://doi.org/10.1016/j.respol.2006.09.005</w:t>
      </w:r>
    </w:p>
    <w:p>
      <w:pPr>
        <w:pStyle w:val="BodyText"/>
      </w:pPr>
      <w:r>
        <w:t xml:space="preserve">Jeong, S., Kim, J.-C., Choi, J.Y., 2015. Technology convergence: What developmental stage are we in? Scientometrics 104 (3), 841–871. https://doi.org/10.1007/s11192-015-1606-6</w:t>
      </w:r>
    </w:p>
    <w:p>
      <w:pPr>
        <w:pStyle w:val="BodyText"/>
      </w:pPr>
      <w:r>
        <w:t xml:space="preserve">Kapoor, R., 2013. Persistence of integration in the face of specialization: How firms navigated the winds of disintegration and shaped the architecture of the semiconductor industry. Organization Science 24 (4), 1195–1213. https://doi.org/10.1287/orsc.1120.0802</w:t>
      </w:r>
    </w:p>
    <w:p>
      <w:pPr>
        <w:pStyle w:val="BodyText"/>
      </w:pPr>
      <w:r>
        <w:t xml:space="preserve">Kapoor, R., Adner, R., 2012. What firms make vs. what they know: How firms’ production and knowledge boundaries affect competitive advantage in the face of technological change. Organization Science 23 (5), 1227–1248. https://doi.org/10.1287/orsc.1110.0686</w:t>
      </w:r>
    </w:p>
    <w:p>
      <w:pPr>
        <w:pStyle w:val="BodyText"/>
      </w:pPr>
      <w:r>
        <w:t xml:space="preserve">Karvonen, M., Kässi, T., 2012. Industry convergence analysis with patent citations in changing value systems. International Journal of Business and Systems Research 6 (2), 150–175. https://doi.org/10.1504/IJBSR.2012.046353</w:t>
      </w:r>
    </w:p>
    <w:p>
      <w:pPr>
        <w:pStyle w:val="BodyText"/>
      </w:pPr>
      <w:r>
        <w:t xml:space="preserve">Khan, H.N., Hounshell, D.A., Fuchs, E.R.H., 2018. Science and research policy at the end of Moore’s law. Nature Electronics 1 (1), 14–21. https://doi.org/10.1038/s41928-017-0005-9</w:t>
      </w:r>
    </w:p>
    <w:p>
      <w:pPr>
        <w:pStyle w:val="BodyText"/>
      </w:pPr>
      <w:r>
        <w:t xml:space="preserve">KnowMade, 2024. Hybrid Bonding Patent Landscape Analysis 2024 [Industry report]. KnowMade (Yole Group), Sophia Antipolis. https://www.knowmade.com/patent-analytics-services/patent-report/semiconductor-patent-landscape/semiconductor-advanced-packaging-patent-landscape/hybrid-bonding-patent-landscape-analysis-2024/</w:t>
      </w:r>
    </w:p>
    <w:p>
      <w:pPr>
        <w:pStyle w:val="BodyText"/>
      </w:pPr>
      <w:r>
        <w:t xml:space="preserve">Kodama, F., 1992. Technology fusion and the new R&amp;D. Harvard Business Review 70 (4), 70–78.</w:t>
      </w:r>
    </w:p>
    <w:p>
      <w:pPr>
        <w:pStyle w:val="BodyText"/>
      </w:pPr>
      <w:r>
        <w:t xml:space="preserve">Kwon, O., An, Y., Kim, M., Lee, C., 2020. Anticipating technology-driven industry convergence: Evidence from large-scale patent analysis. Technology Analysis &amp; Strategic Management 32 (4), 363–378. https://doi.org/10.1080/09537325.2019.1661374</w:t>
      </w:r>
    </w:p>
    <w:p>
      <w:pPr>
        <w:pStyle w:val="BodyText"/>
      </w:pPr>
      <w:r>
        <w:t xml:space="preserve">Langlois, R.N., Steinmueller, W.E., 1999. The evolution of competitive advantage in the worldwide semiconductor industry, 1947–1996. In: Mowery, D.C., Nelson, R.R. (Eds.), Sources of Industrial Leadership: Studies of Seven Industries. Cambridge University Press, Cambridge, pp. 19–78.</w:t>
      </w:r>
    </w:p>
    <w:p>
      <w:pPr>
        <w:pStyle w:val="BodyText"/>
      </w:pPr>
      <w:r>
        <w:t xml:space="preserve">Lau, J.H., 2021. State-of-the-art and outlooks of chiplets heterogeneous integration and hybrid bonding. Journal of Microelectronics and Electronic Packaging 18 (4), 145–160. https://doi.org/10.4071/imaps.1542066</w:t>
      </w:r>
    </w:p>
    <w:p>
      <w:pPr>
        <w:pStyle w:val="BodyText"/>
      </w:pPr>
      <w:r>
        <w:t xml:space="preserve">Lau, J.H., 2022. Recent advances and trends in advanced packaging. IEEE Transactions on Components, Packaging and Manufacturing Technology 12 (2), 228–252. https://doi.org/10.1109/TCPMT.2022.3144461</w:t>
      </w:r>
    </w:p>
    <w:p>
      <w:pPr>
        <w:pStyle w:val="BodyText"/>
      </w:pPr>
      <w:r>
        <w:rPr>
          <w:highlight w:val="yellow"/>
        </w:rPr>
        <w:t xml:space="preserve">Lee, C., Kim, J., Noh, M., Woo, H., Gang, K., 2017. Patterns of technology life cycles: Stochastic analysis based on patent citations. Technology Analysis &amp; Strategic Management 29 (1), 53–67. https://doi.org/10.1080/09537325.2016.1194974</w:t>
      </w:r>
    </w:p>
    <w:p>
      <w:pPr>
        <w:pStyle w:val="BodyText"/>
      </w:pPr>
      <w:r>
        <w:t xml:space="preserve">Lee, W.S., Han, E.J., Sohn, S.Y., 2015. Predicting the pattern of technology convergence using big-data technology on large-scale triadic patents. Technological Forecasting and Social Change 100, 317–329. https://doi.org/10.1016/j.techfore.2015.07.022</w:t>
      </w:r>
    </w:p>
    <w:p>
      <w:pPr>
        <w:pStyle w:val="BodyText"/>
      </w:pPr>
      <w:r>
        <w:rPr>
          <w:highlight w:val="yellow"/>
        </w:rPr>
        <w:t xml:space="preserve">Lei, L., Qi, J., Zheng, K., 2019. Patent analytics based on feature vector space model: A case of IoT. IEEE Access 7, 45705–45715. https://doi.org/10.1109/ACCESS.2019.2909123</w:t>
      </w:r>
    </w:p>
    <w:p>
      <w:pPr>
        <w:pStyle w:val="BodyText"/>
      </w:pPr>
      <w:r>
        <w:t xml:space="preserve">Lerner, J., 1994. The importance of patent scope: An empirical analysis. RAND Journal of Economics 25 (2), 319–333. https://doi.org/10.2307/2555833</w:t>
      </w:r>
    </w:p>
    <w:p>
      <w:pPr>
        <w:pStyle w:val="BodyText"/>
      </w:pPr>
      <w:r>
        <w:t xml:space="preserve">Macher, J.T., Mowery, D.C., 2004. Vertical specialization and industry structure in high technology industries. In: Baum, J.A.C., McGahan, A.M. (Eds.), Business Strategy over the Industry Lifecycle. Advances in Strategic Management, vol. 21. Emerald, Bingley, pp. 317–355. https://doi.org/10.1016/S0742-3322(04)21011-7</w:t>
      </w:r>
    </w:p>
    <w:p>
      <w:pPr>
        <w:pStyle w:val="BodyText"/>
      </w:pPr>
      <w:r>
        <w:t xml:space="preserve">McFadden, D., 1974. Conditional logit analysis of qualitative choice behavior. In: Zarembka, P. (Ed.), Frontiers in Econometrics. Academic Press, New York, pp. 105–142.</w:t>
      </w:r>
    </w:p>
    <w:p>
      <w:pPr>
        <w:pStyle w:val="BodyText"/>
      </w:pPr>
      <w:r>
        <w:t xml:space="preserve">Murmann, J.P., Frenken, K., 2006. Toward a systematic framework for research on dominant designs, technological innovations, and industrial change. Research Policy 35 (7), 925–952. https://doi.org/10.1016/j.respol.2006.04.011</w:t>
      </w:r>
    </w:p>
    <w:p>
      <w:pPr>
        <w:pStyle w:val="BodyText"/>
      </w:pPr>
      <w:r>
        <w:t xml:space="preserve">No, H.J., Park, Y., 2010. Trajectory patterns of technology fusion: Trend analysis and taxonomical grouping in nanobiotechnology. Technological Forecasting and Social Change 77 (1), 63–75. https://doi.org/10.1016/j.techfore.2009.06.006</w:t>
      </w:r>
    </w:p>
    <w:p>
      <w:pPr>
        <w:pStyle w:val="BodyText"/>
      </w:pPr>
      <w:r>
        <w:t xml:space="preserve">Petralia, S., 2020. Mapping general purpose technologies with patent data. Research Policy 49 (7), 104013. https://doi.org/10.1016/j.respol.2020.104013</w:t>
      </w:r>
    </w:p>
    <w:p>
      <w:pPr>
        <w:pStyle w:val="BodyText"/>
      </w:pPr>
      <w:r>
        <w:t xml:space="preserve">Preschitschek, N., Niemann, H., Leker, J., Moehrle, M.G., 2013. Anticipating industry convergence: Semantic analyses vs IPC co-classification analyses of patents. Foresight 15 (6), 446–464. https://doi.org/10.1108/FS-10-2012-0075</w:t>
      </w:r>
    </w:p>
    <w:p>
      <w:pPr>
        <w:pStyle w:val="BodyText"/>
      </w:pPr>
      <w:r>
        <w:t xml:space="preserve">Rosenberg, N., 1963. Technological change in the machine tool industry, 1840–1910. Journal of Economic History 23 (4), 414–443. https://doi.org/10.1017/S0022050700109155</w:t>
      </w:r>
    </w:p>
    <w:p>
      <w:pPr>
        <w:pStyle w:val="BodyText"/>
      </w:pPr>
      <w:r>
        <w:t xml:space="preserve">Sick, N., Bröring, S., 2022. Exploring the research landscape of convergence from a TIM perspective: A review and research agenda. Technological Forecasting and Social Change 175, 121321. https://doi.org/10.1016/j.techfore.2021.121321</w:t>
      </w:r>
    </w:p>
    <w:p>
      <w:pPr>
        <w:pStyle w:val="BodyText"/>
      </w:pPr>
      <w:r>
        <w:t xml:space="preserve">Song, C.H., Elvers, D., Leker, J., 2017. Anticipation of converging technology areas – A refined approach for the identification of attractive fields of innovation. Technological Forecasting and Social Change 116, 98–115. https://doi.org/10.1016/j.techfore.2016.11.001</w:t>
      </w:r>
    </w:p>
    <w:p>
      <w:pPr>
        <w:pStyle w:val="BodyText"/>
      </w:pPr>
      <w:r>
        <w:t xml:space="preserve">Sternitzke, C., Bartkowski, A., Schramm, R., 2008. Visualizing patent statistics by means of social network analysis tools. World Patent Information 30 (2), 115–131. https://doi.org/10.1016/j.wpi.2007.08.003</w:t>
      </w:r>
    </w:p>
    <w:p>
      <w:pPr>
        <w:pStyle w:val="BodyText"/>
      </w:pPr>
      <w:r>
        <w:rPr>
          <w:highlight w:val="yellow"/>
        </w:rPr>
        <w:t xml:space="preserve">Whang, Y.-K., 2018. Convergence processes in the mobile communication processor. Technology Analysis &amp; Strategic Management 30 (11), 1338–1350. https://doi.org/10.1080/09537325.2018.1461206</w:t>
      </w:r>
    </w:p>
    <w:p>
      <w:pPr>
        <w:pStyle w:val="BodyText"/>
      </w:pPr>
      <w:r>
        <w:rPr>
          <w:highlight w:val="yellow"/>
        </w:rPr>
        <w:t xml:space="preserve">Yun, J., Geum, Y., 2019. Analysing the dynamics of technological convergence using a co-classification approach: A case of healthcare services. Technology Analysis &amp; Strategic Management 31 (12), 1412–1429. https://doi.org/10.1080/09537325.2019.1616082</w:t>
      </w:r>
    </w:p>
    <w:p>
      <w:pPr>
        <w:pStyle w:val="BodyText"/>
      </w:pPr>
      <w:r>
        <w:rPr>
          <w:highlight w:val="yellow"/>
        </w:rPr>
        <w:t xml:space="preserve">Zhang, Z., Zhang, Q., 2025. Bridging the digital and green divide: Technology convergence and productivity in innovative manufacturing. Journal of Innovation &amp; Knowledge 10 (6), 100848. https://doi.org/10.1016/j.jik.2025.100848</w:t>
      </w:r>
    </w:p>
    <w:p>
      <w:pPr>
        <w:pStyle w:val="BodyText"/>
      </w:pPr>
      <w:r>
        <w:rPr>
          <w:highlight w:val="yellow"/>
        </w:rPr>
        <w:t xml:space="preserve">Zhao, X., Guo, Y., Mi, J., 2023. Value creation and value capture from patents: Theory and implications for patent strategies. Journal of Innovation &amp; Knowledge 8 (3), 100397. https://doi.org/10.1016/j.jik.2023.100397</w:t>
      </w:r>
    </w:p>
    <w:p>
      <w:pPr>
        <w:pStyle w:val="BodyText"/>
      </w:pPr>
      <w:r>
        <w:t xml:space="preserve">Zhu, C., Motohashi, K., 2022. Identifying the technology convergence using patent text information: A graph convolutional networks (GCN)-based approach. Technological Forecasting and Social Change 176, 121477. https://doi.org/10.1016/j.techfore.2022.121477</w:t>
      </w:r>
    </w:p>
    <w:p>
      <w:pPr>
        <w:pStyle w:val="BodyText"/>
      </w:pPr>
      <w:r>
        <w:t xml:space="preserve">Ziedonis, R.H., 2004. Don’t fence me in: Fragmented markets for technology and the patent acquisition strategies of firms. Management Science 50 (6), 804–820. https://doi.org/10.1287/mnsc.1040.0208</w:t>
      </w:r>
    </w:p>
    <w:bookmarkEnd w:id="53"/>
    <w:bookmarkStart w:id="56" w:name="부록"/>
    <w:p>
      <w:pPr>
        <w:pStyle w:val="Heading2"/>
      </w:pPr>
      <w:r>
        <w:t xml:space="preserve">부록</w:t>
      </w:r>
    </w:p>
    <w:bookmarkStart w:id="54" w:name="부록-a.-재추정-결과-전체"/>
    <w:p>
      <w:pPr>
        <w:pStyle w:val="Heading3"/>
      </w:pPr>
      <w:r>
        <w:t xml:space="preserve">부록 A. 재추정 결과 전체</w:t>
      </w:r>
    </w:p>
    <w:p>
      <w:pPr>
        <w:pStyle w:val="FirstParagraph"/>
      </w:pPr>
      <w:r>
        <w:t xml:space="preserve">표 A1과 A2는 본문 표 12에 제시한 재추정에 조정 범위와 2010년 이후 표본을 추가하여 전체 계수를 제시한 것이다. 각 열은 표본 또는 변수 정의를 하나씩 변경한 다항 로짓이며, 기준 열은 본문의 다항 로짓 표와 동일하다. 모든 열에 출원청 더미를 통제변수로 포함하였으나 계수는 생략하였다. 조정 범위는 출원이 보유한 클래스마다 최소 1개 기호를 차감한 유형 최소치 조정 CPC 범위(breadth_adj)를, 동일 제목 중복 제거는 같은 제목의 출원 가운데 가장 이른 1건만을 남긴 표본을, 좁은 제조공정 정의는 H01L21의 패키징 단계 공정 기호를 제조공정에서 제외한 변수를, 무관 용법 제외는 부록 B의 68건을 제외한 표본을,</w:t>
      </w:r>
      <w:r>
        <w:t xml:space="preserve"> </w:t>
      </w:r>
      <w:r>
        <w:rPr>
          <w:i/>
          <w:iCs/>
        </w:rPr>
        <w:t xml:space="preserve">hybrid bonding</w:t>
      </w:r>
      <w:r>
        <w:t xml:space="preserve"> </w:t>
      </w:r>
      <w:r>
        <w:t xml:space="preserve">표본은 제목에</w:t>
      </w:r>
      <w:r>
        <w:t xml:space="preserve"> </w:t>
      </w:r>
      <w:r>
        <w:rPr>
          <w:i/>
          <w:iCs/>
        </w:rPr>
        <w:t xml:space="preserve">hybrid bonding</w:t>
      </w:r>
      <w:r>
        <w:t xml:space="preserve">이 포함된 출원만을 남긴 표본을 의미한다. 2010년 이후 표본은 본문 제5.2절에서 언급한 표본이다.</w:t>
      </w:r>
    </w:p>
    <w:p>
      <w:pPr>
        <w:pStyle w:val="BodyText"/>
      </w:pPr>
      <w:r>
        <w:rPr>
          <w:b/>
          <w:bCs/>
          <w:sz w:val="20"/>
          <w:szCs w:val="20"/>
        </w:rPr>
        <w:t xml:space="preserve">표 A1.</w:t>
      </w:r>
      <w:r>
        <w:rPr>
          <w:sz w:val="20"/>
          <w:szCs w:val="20"/>
        </w:rPr>
        <w:t xml:space="preserve"> </w:t>
      </w:r>
      <w:r>
        <w:rPr>
          <w:sz w:val="20"/>
          <w:szCs w:val="20"/>
        </w:rPr>
        <w:t xml:space="preserve">다항 로짓의 통합형 방정식: 표본·변수별 상대위험비(기준 범주 = 접합 단독형; 출원청 더미 포함; 괄호 안은 로그 계수의 표준오차; * p &lt; 0.10, ** p &lt; 0.05, *** p &lt; 0.01).</w:t>
      </w:r>
    </w:p>
    <w:tbl>
      <w:tblPr>
        <w:tblStyle w:val="Table"/>
        <w:tblW w:type="dxa" w:w="9071"/>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1137"/>
        <w:gridCol w:w="1137"/>
        <w:gridCol w:w="1137"/>
        <w:gridCol w:w="1142"/>
        <w:gridCol w:w="1137"/>
        <w:gridCol w:w="1138"/>
        <w:gridCol w:w="1137"/>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1137"/>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1142"/>
            <w:tcBorders>
              <w:bottom w:val="single" w:sz="4" w:space="0" w:color="000000"/>
            </w:tcBorders>
          </w:tcPr>
          <w:p>
            <w:pPr>
              <w:pStyle w:val="Compact"/>
              <w:spacing w:before="20" w:after="20" w:line="240" w:lineRule="auto"/>
              <w:jc w:val="center"/>
              <w:keepNext/>
            </w:pPr>
            <w:r>
              <w:rPr>
                <w:sz w:val="13"/>
                <w:szCs w:val="13"/>
              </w:rPr>
              <w:t xml:space="preserve">좁은 제조공정 정의</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138"/>
            <w:tcBorders>
              <w:bottom w:val="single" w:sz="4" w:space="0" w:color="000000"/>
            </w:tcBorders>
          </w:tcPr>
          <w:p>
            <w:pPr>
              <w:pStyle w:val="Compact"/>
              <w:spacing w:before="20" w:after="20" w:line="240" w:lineRule="auto"/>
              <w:jc w:val="center"/>
              <w:keepNext/>
            </w:pPr>
            <w:r>
              <w:rPr>
                <w:i/>
                <w:iCs/>
                <w:sz w:val="13"/>
                <w:szCs w:val="13"/>
              </w:rPr>
              <w:t xml:space="preserve">hybrid bonding</w:t>
            </w:r>
            <w:r>
              <w:rPr>
                <w:sz w:val="13"/>
                <w:szCs w:val="13"/>
              </w:rPr>
              <w:t xml:space="preserve"> </w:t>
            </w:r>
            <w:r>
              <w:rPr>
                <w:sz w:val="13"/>
                <w:szCs w:val="13"/>
              </w:rPr>
              <w:t xml:space="preserve">표본</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1137"/>
          </w:tcPr>
          <w:p>
            <w:pPr>
              <w:pStyle w:val="Compact"/>
              <w:spacing w:before="20" w:after="20" w:line="240" w:lineRule="auto"/>
              <w:jc w:val="center"/>
              <w:keepNext/>
            </w:pPr>
            <w:r>
              <w:rPr>
                <w:sz w:val="13"/>
                <w:szCs w:val="13"/>
              </w:rPr>
              <w:t xml:space="preserve">1.403*** (0.031)</w:t>
            </w:r>
          </w:p>
        </w:tc>
        <w:tc>
          <w:tcPr>
            <w:tcW w:type="dxa" w:w="1137"/>
          </w:tcPr>
          <w:p>
            <w:pPr>
              <w:pStyle w:val="Compact"/>
              <w:spacing w:before="20" w:after="20" w:line="240" w:lineRule="auto"/>
              <w:jc w:val="center"/>
              <w:keepNext/>
            </w:pPr>
            <w:r>
              <w:rPr>
                <w:sz w:val="13"/>
                <w:szCs w:val="13"/>
              </w:rPr>
              <w:t xml:space="preserve">1.262*** (0.027)</w:t>
            </w:r>
          </w:p>
        </w:tc>
        <w:tc>
          <w:tcPr>
            <w:tcW w:type="dxa" w:w="1137"/>
          </w:tcPr>
          <w:p>
            <w:pPr>
              <w:pStyle w:val="Compact"/>
              <w:spacing w:before="20" w:after="20" w:line="240" w:lineRule="auto"/>
              <w:jc w:val="center"/>
              <w:keepNext/>
            </w:pPr>
            <w:r>
              <w:rPr>
                <w:sz w:val="13"/>
                <w:szCs w:val="13"/>
              </w:rPr>
              <w:t xml:space="preserve">1.295*** (0.039)</w:t>
            </w:r>
          </w:p>
        </w:tc>
        <w:tc>
          <w:tcPr>
            <w:tcW w:type="dxa" w:w="1142"/>
          </w:tcPr>
          <w:p>
            <w:pPr>
              <w:pStyle w:val="Compact"/>
              <w:spacing w:before="20" w:after="20" w:line="240" w:lineRule="auto"/>
              <w:jc w:val="center"/>
              <w:keepNext/>
            </w:pPr>
            <w:r>
              <w:rPr>
                <w:sz w:val="13"/>
                <w:szCs w:val="13"/>
              </w:rPr>
              <w:t xml:space="preserve">1.352*** (0.028)</w:t>
            </w:r>
          </w:p>
        </w:tc>
        <w:tc>
          <w:tcPr>
            <w:tcW w:type="dxa" w:w="1137"/>
          </w:tcPr>
          <w:p>
            <w:pPr>
              <w:pStyle w:val="Compact"/>
              <w:spacing w:before="20" w:after="20" w:line="240" w:lineRule="auto"/>
              <w:jc w:val="center"/>
              <w:keepNext/>
            </w:pPr>
            <w:r>
              <w:rPr>
                <w:sz w:val="13"/>
                <w:szCs w:val="13"/>
              </w:rPr>
              <w:t xml:space="preserve">1.384*** (0.031)</w:t>
            </w:r>
          </w:p>
        </w:tc>
        <w:tc>
          <w:tcPr>
            <w:tcW w:type="dxa" w:w="1138"/>
          </w:tcPr>
          <w:p>
            <w:pPr>
              <w:pStyle w:val="Compact"/>
              <w:spacing w:before="20" w:after="20" w:line="240" w:lineRule="auto"/>
              <w:jc w:val="center"/>
              <w:keepNext/>
            </w:pPr>
            <w:r>
              <w:rPr>
                <w:sz w:val="13"/>
                <w:szCs w:val="13"/>
              </w:rPr>
              <w:t xml:space="preserve">1.485*** (0.044)</w:t>
            </w:r>
          </w:p>
        </w:tc>
        <w:tc>
          <w:tcPr>
            <w:tcW w:type="dxa" w:w="1137"/>
          </w:tcPr>
          <w:p>
            <w:pPr>
              <w:pStyle w:val="Compact"/>
              <w:spacing w:before="20" w:after="20" w:line="240" w:lineRule="auto"/>
              <w:jc w:val="center"/>
              <w:keepNext/>
            </w:pPr>
            <w:r>
              <w:rPr>
                <w:sz w:val="13"/>
                <w:szCs w:val="13"/>
              </w:rPr>
              <w:t xml:space="preserve">1.385*** (0.032)</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1137"/>
          </w:tcPr>
          <w:p>
            <w:pPr>
              <w:pStyle w:val="Compact"/>
              <w:spacing w:before="20" w:after="20" w:line="240" w:lineRule="auto"/>
              <w:jc w:val="center"/>
              <w:keepNext/>
            </w:pPr>
            <w:r>
              <w:rPr>
                <w:sz w:val="13"/>
                <w:szCs w:val="13"/>
              </w:rPr>
              <w:t xml:space="preserve">0.993 (0.015)</w:t>
            </w:r>
          </w:p>
        </w:tc>
        <w:tc>
          <w:tcPr>
            <w:tcW w:type="dxa" w:w="1137"/>
          </w:tcPr>
          <w:p>
            <w:pPr>
              <w:pStyle w:val="Compact"/>
              <w:spacing w:before="20" w:after="20" w:line="240" w:lineRule="auto"/>
              <w:jc w:val="center"/>
              <w:keepNext/>
            </w:pPr>
            <w:r>
              <w:rPr>
                <w:sz w:val="13"/>
                <w:szCs w:val="13"/>
              </w:rPr>
              <w:t xml:space="preserve">1.002 (0.014)</w:t>
            </w:r>
          </w:p>
        </w:tc>
        <w:tc>
          <w:tcPr>
            <w:tcW w:type="dxa" w:w="1137"/>
          </w:tcPr>
          <w:p>
            <w:pPr>
              <w:pStyle w:val="Compact"/>
              <w:spacing w:before="20" w:after="20" w:line="240" w:lineRule="auto"/>
              <w:jc w:val="center"/>
              <w:keepNext/>
            </w:pPr>
            <w:r>
              <w:rPr>
                <w:sz w:val="13"/>
                <w:szCs w:val="13"/>
              </w:rPr>
              <w:t xml:space="preserve">0.997 (0.018)</w:t>
            </w:r>
          </w:p>
        </w:tc>
        <w:tc>
          <w:tcPr>
            <w:tcW w:type="dxa" w:w="1142"/>
          </w:tcPr>
          <w:p>
            <w:pPr>
              <w:pStyle w:val="Compact"/>
              <w:spacing w:before="20" w:after="20" w:line="240" w:lineRule="auto"/>
              <w:jc w:val="center"/>
              <w:keepNext/>
            </w:pPr>
            <w:r>
              <w:rPr>
                <w:sz w:val="13"/>
                <w:szCs w:val="13"/>
              </w:rPr>
              <w:t xml:space="preserve">0.967** (0.015)</w:t>
            </w:r>
          </w:p>
        </w:tc>
        <w:tc>
          <w:tcPr>
            <w:tcW w:type="dxa" w:w="1137"/>
          </w:tcPr>
          <w:p>
            <w:pPr>
              <w:pStyle w:val="Compact"/>
              <w:spacing w:before="20" w:after="20" w:line="240" w:lineRule="auto"/>
              <w:jc w:val="center"/>
              <w:keepNext/>
            </w:pPr>
            <w:r>
              <w:rPr>
                <w:sz w:val="13"/>
                <w:szCs w:val="13"/>
              </w:rPr>
              <w:t xml:space="preserve">0.949** (0.022)</w:t>
            </w:r>
          </w:p>
        </w:tc>
        <w:tc>
          <w:tcPr>
            <w:tcW w:type="dxa" w:w="1138"/>
          </w:tcPr>
          <w:p>
            <w:pPr>
              <w:pStyle w:val="Compact"/>
              <w:spacing w:before="20" w:after="20" w:line="240" w:lineRule="auto"/>
              <w:jc w:val="center"/>
              <w:keepNext/>
            </w:pPr>
            <w:r>
              <w:rPr>
                <w:sz w:val="13"/>
                <w:szCs w:val="13"/>
              </w:rPr>
              <w:t xml:space="preserve">0.965 (0.033)</w:t>
            </w:r>
          </w:p>
        </w:tc>
        <w:tc>
          <w:tcPr>
            <w:tcW w:type="dxa" w:w="1137"/>
          </w:tcPr>
          <w:p>
            <w:pPr>
              <w:pStyle w:val="Compact"/>
              <w:spacing w:before="20" w:after="20" w:line="240" w:lineRule="auto"/>
              <w:jc w:val="center"/>
              <w:keepNext/>
            </w:pPr>
            <w:r>
              <w:rPr>
                <w:sz w:val="13"/>
                <w:szCs w:val="13"/>
              </w:rPr>
              <w:t xml:space="preserve">0.934** (0.027)</w:t>
            </w:r>
          </w:p>
        </w:tc>
      </w:tr>
      <w:tr>
        <w:trPr>
          <w:cantSplit/>
        </w:trPr>
        <w:tc>
          <w:tcPr>
            <w:tcW w:type="dxa" w:w="1106"/>
          </w:tcPr>
          <w:p>
            <w:pPr>
              <w:pStyle w:val="Compact"/>
              <w:spacing w:before="20" w:after="20" w:line="240" w:lineRule="auto"/>
              <w:keepNext/>
            </w:pPr>
            <w:r>
              <w:rPr>
                <w:sz w:val="13"/>
                <w:szCs w:val="13"/>
              </w:rPr>
              <w:t xml:space="preserve">N</w:t>
            </w:r>
          </w:p>
        </w:tc>
        <w:tc>
          <w:tcPr>
            <w:tcW w:type="dxa" w:w="1137"/>
          </w:tcPr>
          <w:p>
            <w:pPr>
              <w:pStyle w:val="Compact"/>
              <w:spacing w:before="20" w:after="20" w:line="240" w:lineRule="auto"/>
              <w:jc w:val="center"/>
              <w:keepNext/>
            </w:pPr>
            <w:r>
              <w:rPr>
                <w:sz w:val="13"/>
                <w:szCs w:val="13"/>
              </w:rPr>
              <w:t xml:space="preserve">928</w:t>
            </w:r>
          </w:p>
        </w:tc>
        <w:tc>
          <w:tcPr>
            <w:tcW w:type="dxa" w:w="1137"/>
          </w:tcPr>
          <w:p>
            <w:pPr>
              <w:pStyle w:val="Compact"/>
              <w:spacing w:before="20" w:after="20" w:line="240" w:lineRule="auto"/>
              <w:jc w:val="center"/>
              <w:keepNext/>
            </w:pPr>
            <w:r>
              <w:rPr>
                <w:sz w:val="13"/>
                <w:szCs w:val="13"/>
              </w:rPr>
              <w:t xml:space="preserve">928</w:t>
            </w:r>
          </w:p>
        </w:tc>
        <w:tc>
          <w:tcPr>
            <w:tcW w:type="dxa" w:w="1137"/>
          </w:tcPr>
          <w:p>
            <w:pPr>
              <w:pStyle w:val="Compact"/>
              <w:spacing w:before="20" w:after="20" w:line="240" w:lineRule="auto"/>
              <w:jc w:val="center"/>
              <w:keepNext/>
            </w:pPr>
            <w:r>
              <w:rPr>
                <w:sz w:val="13"/>
                <w:szCs w:val="13"/>
              </w:rPr>
              <w:t xml:space="preserve">473</w:t>
            </w:r>
          </w:p>
        </w:tc>
        <w:tc>
          <w:tcPr>
            <w:tcW w:type="dxa" w:w="1142"/>
          </w:tcPr>
          <w:p>
            <w:pPr>
              <w:pStyle w:val="Compact"/>
              <w:spacing w:before="20" w:after="20" w:line="240" w:lineRule="auto"/>
              <w:jc w:val="center"/>
              <w:keepNext/>
            </w:pPr>
            <w:r>
              <w:rPr>
                <w:sz w:val="13"/>
                <w:szCs w:val="13"/>
              </w:rPr>
              <w:t xml:space="preserve">908</w:t>
            </w:r>
          </w:p>
        </w:tc>
        <w:tc>
          <w:tcPr>
            <w:tcW w:type="dxa" w:w="1137"/>
          </w:tcPr>
          <w:p>
            <w:pPr>
              <w:pStyle w:val="Compact"/>
              <w:spacing w:before="20" w:after="20" w:line="240" w:lineRule="auto"/>
              <w:jc w:val="center"/>
              <w:keepNext/>
            </w:pPr>
            <w:r>
              <w:rPr>
                <w:sz w:val="13"/>
                <w:szCs w:val="13"/>
              </w:rPr>
              <w:t xml:space="preserve">860</w:t>
            </w:r>
          </w:p>
        </w:tc>
        <w:tc>
          <w:tcPr>
            <w:tcW w:type="dxa" w:w="1138"/>
          </w:tcPr>
          <w:p>
            <w:pPr>
              <w:pStyle w:val="Compact"/>
              <w:spacing w:before="20" w:after="20" w:line="240" w:lineRule="auto"/>
              <w:jc w:val="center"/>
              <w:keepNext/>
            </w:pPr>
            <w:r>
              <w:rPr>
                <w:sz w:val="13"/>
                <w:szCs w:val="13"/>
              </w:rPr>
              <w:t xml:space="preserve">467</w:t>
            </w:r>
          </w:p>
        </w:tc>
        <w:tc>
          <w:tcPr>
            <w:tcW w:type="dxa" w:w="1137"/>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1137"/>
          </w:tcPr>
          <w:p>
            <w:pPr>
              <w:pStyle w:val="Compact"/>
              <w:spacing w:before="20" w:after="20" w:line="240" w:lineRule="auto"/>
              <w:jc w:val="center"/>
              <w:keepNext/>
            </w:pPr>
            <w:r>
              <w:rPr>
                <w:sz w:val="13"/>
                <w:szCs w:val="13"/>
              </w:rPr>
              <w:t xml:space="preserve">−774.5</w:t>
            </w:r>
          </w:p>
        </w:tc>
        <w:tc>
          <w:tcPr>
            <w:tcW w:type="dxa" w:w="1137"/>
          </w:tcPr>
          <w:p>
            <w:pPr>
              <w:pStyle w:val="Compact"/>
              <w:spacing w:before="20" w:after="20" w:line="240" w:lineRule="auto"/>
              <w:jc w:val="center"/>
              <w:keepNext/>
            </w:pPr>
            <w:r>
              <w:rPr>
                <w:sz w:val="13"/>
                <w:szCs w:val="13"/>
              </w:rPr>
              <w:t xml:space="preserve">−829.4</w:t>
            </w:r>
          </w:p>
        </w:tc>
        <w:tc>
          <w:tcPr>
            <w:tcW w:type="dxa" w:w="1137"/>
          </w:tcPr>
          <w:p>
            <w:pPr>
              <w:pStyle w:val="Compact"/>
              <w:spacing w:before="20" w:after="20" w:line="240" w:lineRule="auto"/>
              <w:jc w:val="center"/>
              <w:keepNext/>
            </w:pPr>
            <w:r>
              <w:rPr>
                <w:sz w:val="13"/>
                <w:szCs w:val="13"/>
              </w:rPr>
              <w:t xml:space="preserve">−425.3</w:t>
            </w:r>
          </w:p>
        </w:tc>
        <w:tc>
          <w:tcPr>
            <w:tcW w:type="dxa" w:w="1142"/>
          </w:tcPr>
          <w:p>
            <w:pPr>
              <w:pStyle w:val="Compact"/>
              <w:spacing w:before="20" w:after="20" w:line="240" w:lineRule="auto"/>
              <w:jc w:val="center"/>
              <w:keepNext/>
            </w:pPr>
            <w:r>
              <w:rPr>
                <w:sz w:val="13"/>
                <w:szCs w:val="13"/>
              </w:rPr>
              <w:t xml:space="preserve">−755.9</w:t>
            </w:r>
          </w:p>
        </w:tc>
        <w:tc>
          <w:tcPr>
            <w:tcW w:type="dxa" w:w="1137"/>
          </w:tcPr>
          <w:p>
            <w:pPr>
              <w:pStyle w:val="Compact"/>
              <w:spacing w:before="20" w:after="20" w:line="240" w:lineRule="auto"/>
              <w:jc w:val="center"/>
              <w:keepNext/>
            </w:pPr>
            <w:r>
              <w:rPr>
                <w:sz w:val="13"/>
                <w:szCs w:val="13"/>
              </w:rPr>
              <w:t xml:space="preserve">−682.7</w:t>
            </w:r>
          </w:p>
        </w:tc>
        <w:tc>
          <w:tcPr>
            <w:tcW w:type="dxa" w:w="1138"/>
          </w:tcPr>
          <w:p>
            <w:pPr>
              <w:pStyle w:val="Compact"/>
              <w:spacing w:before="20" w:after="20" w:line="240" w:lineRule="auto"/>
              <w:jc w:val="center"/>
              <w:keepNext/>
            </w:pPr>
            <w:r>
              <w:rPr>
                <w:sz w:val="13"/>
                <w:szCs w:val="13"/>
              </w:rPr>
              <w:t xml:space="preserve">−364.0</w:t>
            </w:r>
          </w:p>
        </w:tc>
        <w:tc>
          <w:tcPr>
            <w:tcW w:type="dxa" w:w="1137"/>
          </w:tcPr>
          <w:p>
            <w:pPr>
              <w:pStyle w:val="Compact"/>
              <w:spacing w:before="20" w:after="20" w:line="240" w:lineRule="auto"/>
              <w:jc w:val="center"/>
              <w:keepNext/>
            </w:pPr>
            <w:r>
              <w:rPr>
                <w:sz w:val="13"/>
                <w:szCs w:val="13"/>
              </w:rPr>
              <w:t xml:space="preserve">−683.0</w:t>
            </w:r>
          </w:p>
        </w:tc>
      </w:tr>
    </w:tbl>
    <w:p>
      <w:pPr>
        <w:pStyle w:val="BodyText"/>
      </w:pPr>
      <w:r>
        <w:rPr>
          <w:b/>
          <w:bCs/>
          <w:sz w:val="20"/>
          <w:szCs w:val="20"/>
        </w:rPr>
        <w:t xml:space="preserve">표 A2.</w:t>
      </w:r>
      <w:r>
        <w:rPr>
          <w:sz w:val="20"/>
          <w:szCs w:val="20"/>
        </w:rPr>
        <w:t xml:space="preserve"> </w:t>
      </w:r>
      <w:r>
        <w:rPr>
          <w:sz w:val="20"/>
          <w:szCs w:val="20"/>
        </w:rPr>
        <w:t xml:space="preserve">다항 로짓의 공정 단독형 방정식: 표본·변수별 상대위험비(기준 범주 = 접합 단독형; 출원청 더미 포함; 괄호 안은 로그 계수의 표준오차; * p &lt; 0.10, ** p &lt; 0.05, *** p &lt; 0.01).</w:t>
      </w:r>
    </w:p>
    <w:tbl>
      <w:tblPr>
        <w:tblStyle w:val="Table"/>
        <w:tblW w:type="dxa" w:w="9071"/>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1156"/>
        <w:gridCol w:w="1156"/>
        <w:gridCol w:w="1156"/>
        <w:gridCol w:w="1161"/>
        <w:gridCol w:w="1156"/>
        <w:gridCol w:w="1024"/>
        <w:gridCol w:w="1156"/>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1156"/>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1161"/>
            <w:tcBorders>
              <w:bottom w:val="single" w:sz="4" w:space="0" w:color="000000"/>
            </w:tcBorders>
          </w:tcPr>
          <w:p>
            <w:pPr>
              <w:pStyle w:val="Compact"/>
              <w:spacing w:before="20" w:after="20" w:line="240" w:lineRule="auto"/>
              <w:jc w:val="center"/>
              <w:keepNext/>
            </w:pPr>
            <w:r>
              <w:rPr>
                <w:sz w:val="13"/>
                <w:szCs w:val="13"/>
              </w:rPr>
              <w:t xml:space="preserve">좁은 제조공정 정의</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024"/>
            <w:tcBorders>
              <w:bottom w:val="single" w:sz="4" w:space="0" w:color="000000"/>
            </w:tcBorders>
          </w:tcPr>
          <w:p>
            <w:pPr>
              <w:pStyle w:val="Compact"/>
              <w:spacing w:before="20" w:after="20" w:line="240" w:lineRule="auto"/>
              <w:jc w:val="center"/>
              <w:keepNext/>
            </w:pPr>
            <w:r>
              <w:rPr>
                <w:i/>
                <w:iCs/>
                <w:sz w:val="13"/>
                <w:szCs w:val="13"/>
              </w:rPr>
              <w:t xml:space="preserve">hybrid bonding</w:t>
            </w:r>
            <w:r>
              <w:rPr>
                <w:sz w:val="13"/>
                <w:szCs w:val="13"/>
              </w:rPr>
              <w:t xml:space="preserve"> </w:t>
            </w:r>
            <w:r>
              <w:rPr>
                <w:sz w:val="13"/>
                <w:szCs w:val="13"/>
              </w:rPr>
              <w:t xml:space="preserve">표본</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1156"/>
          </w:tcPr>
          <w:p>
            <w:pPr>
              <w:pStyle w:val="Compact"/>
              <w:spacing w:before="20" w:after="20" w:line="240" w:lineRule="auto"/>
              <w:jc w:val="center"/>
              <w:keepNext/>
            </w:pPr>
            <w:r>
              <w:rPr>
                <w:sz w:val="13"/>
                <w:szCs w:val="13"/>
              </w:rPr>
              <w:t xml:space="preserve">0.905** (0.048)</w:t>
            </w:r>
          </w:p>
        </w:tc>
        <w:tc>
          <w:tcPr>
            <w:tcW w:type="dxa" w:w="1156"/>
          </w:tcPr>
          <w:p>
            <w:pPr>
              <w:pStyle w:val="Compact"/>
              <w:spacing w:before="20" w:after="20" w:line="240" w:lineRule="auto"/>
              <w:jc w:val="center"/>
              <w:keepNext/>
            </w:pPr>
            <w:r>
              <w:rPr>
                <w:sz w:val="13"/>
                <w:szCs w:val="13"/>
              </w:rPr>
              <w:t xml:space="preserve">0.915** (0.044)</w:t>
            </w:r>
          </w:p>
        </w:tc>
        <w:tc>
          <w:tcPr>
            <w:tcW w:type="dxa" w:w="1156"/>
          </w:tcPr>
          <w:p>
            <w:pPr>
              <w:pStyle w:val="Compact"/>
              <w:spacing w:before="20" w:after="20" w:line="240" w:lineRule="auto"/>
              <w:jc w:val="center"/>
              <w:keepNext/>
            </w:pPr>
            <w:r>
              <w:rPr>
                <w:sz w:val="13"/>
                <w:szCs w:val="13"/>
              </w:rPr>
              <w:t xml:space="preserve">0.826*** (0.061)</w:t>
            </w:r>
          </w:p>
        </w:tc>
        <w:tc>
          <w:tcPr>
            <w:tcW w:type="dxa" w:w="1161"/>
          </w:tcPr>
          <w:p>
            <w:pPr>
              <w:pStyle w:val="Compact"/>
              <w:spacing w:before="20" w:after="20" w:line="240" w:lineRule="auto"/>
              <w:jc w:val="center"/>
              <w:keepNext/>
            </w:pPr>
            <w:r>
              <w:rPr>
                <w:sz w:val="13"/>
                <w:szCs w:val="13"/>
              </w:rPr>
              <w:t xml:space="preserve">0.923* (0.045)</w:t>
            </w:r>
          </w:p>
        </w:tc>
        <w:tc>
          <w:tcPr>
            <w:tcW w:type="dxa" w:w="1156"/>
          </w:tcPr>
          <w:p>
            <w:pPr>
              <w:pStyle w:val="Compact"/>
              <w:spacing w:before="20" w:after="20" w:line="240" w:lineRule="auto"/>
              <w:jc w:val="center"/>
              <w:keepNext/>
            </w:pPr>
            <w:r>
              <w:rPr>
                <w:sz w:val="13"/>
                <w:szCs w:val="13"/>
              </w:rPr>
              <w:t xml:space="preserve">0.916* (0.050)</w:t>
            </w:r>
          </w:p>
        </w:tc>
        <w:tc>
          <w:tcPr>
            <w:tcW w:type="dxa" w:w="1024"/>
          </w:tcPr>
          <w:p>
            <w:pPr>
              <w:pStyle w:val="Compact"/>
              <w:spacing w:before="20" w:after="20" w:line="240" w:lineRule="auto"/>
              <w:jc w:val="center"/>
              <w:keepNext/>
            </w:pPr>
            <w:r>
              <w:rPr>
                <w:sz w:val="13"/>
                <w:szCs w:val="13"/>
              </w:rPr>
              <w:t xml:space="preserve">1.129* (0.062)</w:t>
            </w:r>
          </w:p>
        </w:tc>
        <w:tc>
          <w:tcPr>
            <w:tcW w:type="dxa" w:w="1156"/>
          </w:tcPr>
          <w:p>
            <w:pPr>
              <w:pStyle w:val="Compact"/>
              <w:spacing w:before="20" w:after="20" w:line="240" w:lineRule="auto"/>
              <w:jc w:val="center"/>
              <w:keepNext/>
            </w:pPr>
            <w:r>
              <w:rPr>
                <w:sz w:val="13"/>
                <w:szCs w:val="13"/>
              </w:rPr>
              <w:t xml:space="preserve">0.910* (0.051)</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1156"/>
          </w:tcPr>
          <w:p>
            <w:pPr>
              <w:pStyle w:val="Compact"/>
              <w:spacing w:before="20" w:after="20" w:line="240" w:lineRule="auto"/>
              <w:jc w:val="center"/>
              <w:keepNext/>
            </w:pPr>
            <w:r>
              <w:rPr>
                <w:sz w:val="13"/>
                <w:szCs w:val="13"/>
              </w:rPr>
              <w:t xml:space="preserve">0.913*** (0.015)</w:t>
            </w:r>
          </w:p>
        </w:tc>
        <w:tc>
          <w:tcPr>
            <w:tcW w:type="dxa" w:w="1156"/>
          </w:tcPr>
          <w:p>
            <w:pPr>
              <w:pStyle w:val="Compact"/>
              <w:spacing w:before="20" w:after="20" w:line="240" w:lineRule="auto"/>
              <w:jc w:val="center"/>
              <w:keepNext/>
            </w:pPr>
            <w:r>
              <w:rPr>
                <w:sz w:val="13"/>
                <w:szCs w:val="13"/>
              </w:rPr>
              <w:t xml:space="preserve">0.911*** (0.015)</w:t>
            </w:r>
          </w:p>
        </w:tc>
        <w:tc>
          <w:tcPr>
            <w:tcW w:type="dxa" w:w="1156"/>
          </w:tcPr>
          <w:p>
            <w:pPr>
              <w:pStyle w:val="Compact"/>
              <w:spacing w:before="20" w:after="20" w:line="240" w:lineRule="auto"/>
              <w:jc w:val="center"/>
              <w:keepNext/>
            </w:pPr>
            <w:r>
              <w:rPr>
                <w:sz w:val="13"/>
                <w:szCs w:val="13"/>
              </w:rPr>
              <w:t xml:space="preserve">0.935*** (0.016)</w:t>
            </w:r>
          </w:p>
        </w:tc>
        <w:tc>
          <w:tcPr>
            <w:tcW w:type="dxa" w:w="1161"/>
          </w:tcPr>
          <w:p>
            <w:pPr>
              <w:pStyle w:val="Compact"/>
              <w:spacing w:before="20" w:after="20" w:line="240" w:lineRule="auto"/>
              <w:jc w:val="center"/>
              <w:keepNext/>
            </w:pPr>
            <w:r>
              <w:rPr>
                <w:sz w:val="13"/>
                <w:szCs w:val="13"/>
              </w:rPr>
              <w:t xml:space="preserve">0.898*** (0.015)</w:t>
            </w:r>
          </w:p>
        </w:tc>
        <w:tc>
          <w:tcPr>
            <w:tcW w:type="dxa" w:w="1156"/>
          </w:tcPr>
          <w:p>
            <w:pPr>
              <w:pStyle w:val="Compact"/>
              <w:spacing w:before="20" w:after="20" w:line="240" w:lineRule="auto"/>
              <w:jc w:val="center"/>
              <w:keepNext/>
            </w:pPr>
            <w:r>
              <w:rPr>
                <w:sz w:val="13"/>
                <w:szCs w:val="13"/>
              </w:rPr>
              <w:t xml:space="preserve">0.820*** (0.023)</w:t>
            </w:r>
          </w:p>
        </w:tc>
        <w:tc>
          <w:tcPr>
            <w:tcW w:type="dxa" w:w="1024"/>
          </w:tcPr>
          <w:p>
            <w:pPr>
              <w:pStyle w:val="Compact"/>
              <w:spacing w:before="20" w:after="20" w:line="240" w:lineRule="auto"/>
              <w:jc w:val="center"/>
              <w:keepNext/>
            </w:pPr>
            <w:r>
              <w:rPr>
                <w:sz w:val="13"/>
                <w:szCs w:val="13"/>
              </w:rPr>
              <w:t xml:space="preserve">1.029 (0.057)</w:t>
            </w:r>
          </w:p>
        </w:tc>
        <w:tc>
          <w:tcPr>
            <w:tcW w:type="dxa" w:w="1156"/>
          </w:tcPr>
          <w:p>
            <w:pPr>
              <w:pStyle w:val="Compact"/>
              <w:spacing w:before="20" w:after="20" w:line="240" w:lineRule="auto"/>
              <w:jc w:val="center"/>
              <w:keepNext/>
            </w:pPr>
            <w:r>
              <w:rPr>
                <w:sz w:val="13"/>
                <w:szCs w:val="13"/>
              </w:rPr>
              <w:t xml:space="preserve">0.862*** (0.033)</w:t>
            </w:r>
          </w:p>
        </w:tc>
      </w:tr>
      <w:tr>
        <w:trPr>
          <w:cantSplit/>
        </w:trPr>
        <w:tc>
          <w:tcPr>
            <w:tcW w:type="dxa" w:w="1106"/>
          </w:tcPr>
          <w:p>
            <w:pPr>
              <w:pStyle w:val="Compact"/>
              <w:spacing w:before="20" w:after="20" w:line="240" w:lineRule="auto"/>
              <w:keepNext/>
            </w:pPr>
            <w:r>
              <w:rPr>
                <w:sz w:val="13"/>
                <w:szCs w:val="13"/>
              </w:rPr>
              <w:t xml:space="preserve">N</w:t>
            </w:r>
          </w:p>
        </w:tc>
        <w:tc>
          <w:tcPr>
            <w:tcW w:type="dxa" w:w="1156"/>
          </w:tcPr>
          <w:p>
            <w:pPr>
              <w:pStyle w:val="Compact"/>
              <w:spacing w:before="20" w:after="20" w:line="240" w:lineRule="auto"/>
              <w:jc w:val="center"/>
              <w:keepNext/>
            </w:pPr>
            <w:r>
              <w:rPr>
                <w:sz w:val="13"/>
                <w:szCs w:val="13"/>
              </w:rPr>
              <w:t xml:space="preserve">928</w:t>
            </w:r>
          </w:p>
        </w:tc>
        <w:tc>
          <w:tcPr>
            <w:tcW w:type="dxa" w:w="1156"/>
          </w:tcPr>
          <w:p>
            <w:pPr>
              <w:pStyle w:val="Compact"/>
              <w:spacing w:before="20" w:after="20" w:line="240" w:lineRule="auto"/>
              <w:jc w:val="center"/>
              <w:keepNext/>
            </w:pPr>
            <w:r>
              <w:rPr>
                <w:sz w:val="13"/>
                <w:szCs w:val="13"/>
              </w:rPr>
              <w:t xml:space="preserve">928</w:t>
            </w:r>
          </w:p>
        </w:tc>
        <w:tc>
          <w:tcPr>
            <w:tcW w:type="dxa" w:w="1156"/>
          </w:tcPr>
          <w:p>
            <w:pPr>
              <w:pStyle w:val="Compact"/>
              <w:spacing w:before="20" w:after="20" w:line="240" w:lineRule="auto"/>
              <w:jc w:val="center"/>
              <w:keepNext/>
            </w:pPr>
            <w:r>
              <w:rPr>
                <w:sz w:val="13"/>
                <w:szCs w:val="13"/>
              </w:rPr>
              <w:t xml:space="preserve">473</w:t>
            </w:r>
          </w:p>
        </w:tc>
        <w:tc>
          <w:tcPr>
            <w:tcW w:type="dxa" w:w="1161"/>
          </w:tcPr>
          <w:p>
            <w:pPr>
              <w:pStyle w:val="Compact"/>
              <w:spacing w:before="20" w:after="20" w:line="240" w:lineRule="auto"/>
              <w:jc w:val="center"/>
              <w:keepNext/>
            </w:pPr>
            <w:r>
              <w:rPr>
                <w:sz w:val="13"/>
                <w:szCs w:val="13"/>
              </w:rPr>
              <w:t xml:space="preserve">908</w:t>
            </w:r>
          </w:p>
        </w:tc>
        <w:tc>
          <w:tcPr>
            <w:tcW w:type="dxa" w:w="1156"/>
          </w:tcPr>
          <w:p>
            <w:pPr>
              <w:pStyle w:val="Compact"/>
              <w:spacing w:before="20" w:after="20" w:line="240" w:lineRule="auto"/>
              <w:jc w:val="center"/>
              <w:keepNext/>
            </w:pPr>
            <w:r>
              <w:rPr>
                <w:sz w:val="13"/>
                <w:szCs w:val="13"/>
              </w:rPr>
              <w:t xml:space="preserve">860</w:t>
            </w:r>
          </w:p>
        </w:tc>
        <w:tc>
          <w:tcPr>
            <w:tcW w:type="dxa" w:w="1024"/>
          </w:tcPr>
          <w:p>
            <w:pPr>
              <w:pStyle w:val="Compact"/>
              <w:spacing w:before="20" w:after="20" w:line="240" w:lineRule="auto"/>
              <w:jc w:val="center"/>
              <w:keepNext/>
            </w:pPr>
            <w:r>
              <w:rPr>
                <w:sz w:val="13"/>
                <w:szCs w:val="13"/>
              </w:rPr>
              <w:t xml:space="preserve">467</w:t>
            </w:r>
          </w:p>
        </w:tc>
        <w:tc>
          <w:tcPr>
            <w:tcW w:type="dxa" w:w="1156"/>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1156"/>
          </w:tcPr>
          <w:p>
            <w:pPr>
              <w:pStyle w:val="Compact"/>
              <w:spacing w:before="20" w:after="20" w:line="240" w:lineRule="auto"/>
              <w:jc w:val="center"/>
              <w:keepNext/>
            </w:pPr>
            <w:r>
              <w:rPr>
                <w:sz w:val="13"/>
                <w:szCs w:val="13"/>
              </w:rPr>
              <w:t xml:space="preserve">−774.5</w:t>
            </w:r>
          </w:p>
        </w:tc>
        <w:tc>
          <w:tcPr>
            <w:tcW w:type="dxa" w:w="1156"/>
          </w:tcPr>
          <w:p>
            <w:pPr>
              <w:pStyle w:val="Compact"/>
              <w:spacing w:before="20" w:after="20" w:line="240" w:lineRule="auto"/>
              <w:jc w:val="center"/>
              <w:keepNext/>
            </w:pPr>
            <w:r>
              <w:rPr>
                <w:sz w:val="13"/>
                <w:szCs w:val="13"/>
              </w:rPr>
              <w:t xml:space="preserve">−829.4</w:t>
            </w:r>
          </w:p>
        </w:tc>
        <w:tc>
          <w:tcPr>
            <w:tcW w:type="dxa" w:w="1156"/>
          </w:tcPr>
          <w:p>
            <w:pPr>
              <w:pStyle w:val="Compact"/>
              <w:spacing w:before="20" w:after="20" w:line="240" w:lineRule="auto"/>
              <w:jc w:val="center"/>
              <w:keepNext/>
            </w:pPr>
            <w:r>
              <w:rPr>
                <w:sz w:val="13"/>
                <w:szCs w:val="13"/>
              </w:rPr>
              <w:t xml:space="preserve">−425.3</w:t>
            </w:r>
          </w:p>
        </w:tc>
        <w:tc>
          <w:tcPr>
            <w:tcW w:type="dxa" w:w="1161"/>
          </w:tcPr>
          <w:p>
            <w:pPr>
              <w:pStyle w:val="Compact"/>
              <w:spacing w:before="20" w:after="20" w:line="240" w:lineRule="auto"/>
              <w:jc w:val="center"/>
              <w:keepNext/>
            </w:pPr>
            <w:r>
              <w:rPr>
                <w:sz w:val="13"/>
                <w:szCs w:val="13"/>
              </w:rPr>
              <w:t xml:space="preserve">−755.9</w:t>
            </w:r>
          </w:p>
        </w:tc>
        <w:tc>
          <w:tcPr>
            <w:tcW w:type="dxa" w:w="1156"/>
          </w:tcPr>
          <w:p>
            <w:pPr>
              <w:pStyle w:val="Compact"/>
              <w:spacing w:before="20" w:after="20" w:line="240" w:lineRule="auto"/>
              <w:jc w:val="center"/>
              <w:keepNext/>
            </w:pPr>
            <w:r>
              <w:rPr>
                <w:sz w:val="13"/>
                <w:szCs w:val="13"/>
              </w:rPr>
              <w:t xml:space="preserve">−682.7</w:t>
            </w:r>
          </w:p>
        </w:tc>
        <w:tc>
          <w:tcPr>
            <w:tcW w:type="dxa" w:w="1024"/>
          </w:tcPr>
          <w:p>
            <w:pPr>
              <w:pStyle w:val="Compact"/>
              <w:spacing w:before="20" w:after="20" w:line="240" w:lineRule="auto"/>
              <w:jc w:val="center"/>
              <w:keepNext/>
            </w:pPr>
            <w:r>
              <w:rPr>
                <w:sz w:val="13"/>
                <w:szCs w:val="13"/>
              </w:rPr>
              <w:t xml:space="preserve">−364.0</w:t>
            </w:r>
          </w:p>
        </w:tc>
        <w:tc>
          <w:tcPr>
            <w:tcW w:type="dxa" w:w="1156"/>
          </w:tcPr>
          <w:p>
            <w:pPr>
              <w:pStyle w:val="Compact"/>
              <w:spacing w:before="20" w:after="20" w:line="240" w:lineRule="auto"/>
              <w:jc w:val="center"/>
              <w:keepNext/>
            </w:pPr>
            <w:r>
              <w:rPr>
                <w:sz w:val="13"/>
                <w:szCs w:val="13"/>
              </w:rPr>
              <w:t xml:space="preserve">−683.0</w:t>
            </w:r>
          </w:p>
        </w:tc>
      </w:tr>
    </w:tbl>
    <w:p>
      <w:pPr>
        <w:pStyle w:val="BodyText"/>
      </w:pPr>
      <w:r>
        <w:rPr>
          <w:b/>
          <w:bCs/>
        </w:rPr>
        <w:t xml:space="preserve">대안 제외 민감도 분석.</w:t>
      </w:r>
      <w:r>
        <w:t xml:space="preserve"> </w:t>
      </w:r>
      <w:r>
        <w:t xml:space="preserve">IIA 가정과 관련된 민감성을 간접적으로 검토하기 위해 공정 단독형을 제외한 표본(N = 763)에서 통합형 대 접합 단독형의 이항 로짓을 추정하였다. 기술범위의 승산비는 1.463, 출원연도는 0.987로, 주요 계수의 방향과 상대적 크기는 다항 로짓 통합형 방정식의 값(1.403, 0.993)과 유사하였다. 이는 공정 단독형을 제외하여도 통합형 관련 결과의 실질적 해석이 크게 달라지지 않음을 보여 주는 민감도 분석이며, 정식 IIA 검정(Hausman–McFadden, Small–Hsiao)을 대체하지는 않는다. 본문의</w:t>
      </w:r>
      <w:r>
        <w:t xml:space="preserve"> </w:t>
      </w:r>
      <w:r>
        <w:rPr>
          <w:highlight w:val="yellow"/>
        </w:rPr>
        <w:t xml:space="preserve">핵심 기술 모형도</w:t>
      </w:r>
      <w:r>
        <w:t xml:space="preserve"> </w:t>
      </w:r>
      <w:r>
        <w:t xml:space="preserve">동일한 표본을 사용한다.</w:t>
      </w:r>
    </w:p>
    <w:bookmarkEnd w:id="54"/>
    <w:bookmarkStart w:id="55" w:name="부록-b.-검색어의-무관한-용법"/>
    <w:p>
      <w:pPr>
        <w:pStyle w:val="Heading3"/>
      </w:pPr>
      <w:r>
        <w:t xml:space="preserve">부록 B. 검색어의 무관한 용법</w:t>
      </w:r>
    </w:p>
    <w:p>
      <w:pPr>
        <w:pStyle w:val="FirstParagraph"/>
      </w:pPr>
      <w:r>
        <w:t xml:space="preserve">키워드 필터의 검색어는 하이브리드 본딩과 무관한 의미로도 사용된다. 대부분은</w:t>
      </w:r>
      <w:r>
        <w:t xml:space="preserve"> </w:t>
      </w:r>
      <w:r>
        <w:rPr>
          <w:i/>
          <w:iCs/>
        </w:rPr>
        <w:t xml:space="preserve">direct bonding</w:t>
      </w:r>
      <w:r>
        <w:t xml:space="preserve">이 다른 의미로 사용된 경우이며, 일부는 화학 결합이나 전력 모듈용 접합 시트를 의미하는</w:t>
      </w:r>
      <w:r>
        <w:t xml:space="preserve"> </w:t>
      </w:r>
      <w:r>
        <w:rPr>
          <w:i/>
          <w:iCs/>
        </w:rPr>
        <w:t xml:space="preserve">hybrid bonding</w:t>
      </w:r>
      <w:r>
        <w:t xml:space="preserve">이다. 제목에 다음 용어가 포함된 출원을 무관한 용법으로 판정하였다: 세라믹·DBC(direct bonded copper)·알루미나·지르코니아·질화알루미늄 기판, 구리 합금, 다이아몬드–몰리브덴 접합, 레이저 전구체, 정전 척, 전력 모듈·전력소자 기판, 히트 스프레더, 직접 접합 금속 기판, 직접 접합 회로 조립체, sp3–sp2 하이브리드 결합(화학 결합의 의미). 해당 출원은 68건(</w:t>
      </w:r>
      <w:r>
        <w:rPr>
          <w:i/>
          <w:iCs/>
        </w:rPr>
        <w:t xml:space="preserve">direct bonding</w:t>
      </w:r>
      <w:r>
        <w:t xml:space="preserve"> </w:t>
      </w:r>
      <w:r>
        <w:t xml:space="preserve">63건,</w:t>
      </w:r>
      <w:r>
        <w:t xml:space="preserve"> </w:t>
      </w:r>
      <w:r>
        <w:rPr>
          <w:i/>
          <w:iCs/>
        </w:rPr>
        <w:t xml:space="preserve">hybrid bonding</w:t>
      </w:r>
      <w:r>
        <w:t xml:space="preserve"> </w:t>
      </w:r>
      <w:r>
        <w:t xml:space="preserve">5건)이며, 그 분포는 표 B1과 같다. 2010년 이전 출원 가운데 무관 용법을 제외한 후 남는 출원의 상당수는 실리콘 웨이퍼 직접 접합(SOI 웨이퍼 제조 등) 출원으로, 하이브리드 본딩의 유전체 접합을 이루는 전구 기술이므로 표본에 포함하였다. 68건의 제목 목록은 요청 시 저자가 제공한다.</w:t>
      </w:r>
    </w:p>
    <w:p>
      <w:pPr>
        <w:pStyle w:val="BodyText"/>
      </w:pPr>
      <w:r>
        <w:rPr>
          <w:b/>
          <w:bCs/>
          <w:sz w:val="20"/>
          <w:szCs w:val="20"/>
        </w:rPr>
        <w:t xml:space="preserve">표 B1.</w:t>
      </w:r>
      <w:r>
        <w:rPr>
          <w:sz w:val="20"/>
          <w:szCs w:val="20"/>
        </w:rPr>
        <w:t xml:space="preserve"> </w:t>
      </w:r>
      <w:r>
        <w:rPr>
          <w:sz w:val="20"/>
          <w:szCs w:val="20"/>
        </w:rPr>
        <w:t xml:space="preserve">무관 용법으로 판정한 출원 68건의 분포.</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7342"/>
        <w:gridCol w:w="1727"/>
      </w:tblGrid>
      <w:tr>
        <w:trPr>
          <w:tblHeader w:val="on"/>
          <w:cantSplit/>
        </w:trPr>
        <w:tc>
          <w:tcPr>
            <w:tcW w:type="dxa" w:w="7342"/>
            <w:tcBorders>
              <w:bottom w:val="single" w:sz="4" w:space="0" w:color="000000"/>
            </w:tcBorders>
          </w:tcPr>
          <w:p>
            <w:pPr>
              <w:pStyle w:val="Compact"/>
              <w:spacing w:before="20" w:after="20" w:line="240" w:lineRule="auto"/>
              <w:keepNext/>
            </w:pPr>
            <w:r>
              <w:rPr>
                <w:sz w:val="18"/>
                <w:szCs w:val="18"/>
              </w:rPr>
              <w:t xml:space="preserve">구분</w:t>
            </w:r>
          </w:p>
        </w:tc>
        <w:tc>
          <w:tcPr>
            <w:tcW w:type="dxa" w:w="1727"/>
            <w:tcBorders>
              <w:bottom w:val="single" w:sz="4" w:space="0" w:color="000000"/>
            </w:tcBorders>
          </w:tcPr>
          <w:p>
            <w:pPr>
              <w:pStyle w:val="Compact"/>
              <w:spacing w:before="20" w:after="20" w:line="240" w:lineRule="auto"/>
              <w:jc w:val="right"/>
              <w:keepNext/>
            </w:pPr>
            <w:r>
              <w:rPr>
                <w:sz w:val="18"/>
                <w:szCs w:val="18"/>
              </w:rPr>
              <w:t xml:space="preserve">건수</w:t>
            </w:r>
          </w:p>
        </w:tc>
      </w:tr>
      <w:tr>
        <w:trPr>
          <w:cantSplit/>
        </w:trPr>
        <w:tc>
          <w:tcPr>
            <w:tcW w:type="dxa" w:w="7342"/>
          </w:tcPr>
          <w:p>
            <w:pPr>
              <w:pStyle w:val="Compact"/>
              <w:spacing w:before="20" w:after="20" w:line="240" w:lineRule="auto"/>
              <w:keepNext/>
            </w:pPr>
            <w:r>
              <w:rPr>
                <w:sz w:val="18"/>
                <w:szCs w:val="18"/>
              </w:rPr>
              <w:t xml:space="preserve">유형: 접합 단독형</w:t>
            </w:r>
          </w:p>
        </w:tc>
        <w:tc>
          <w:tcPr>
            <w:tcW w:type="dxa" w:w="1727"/>
          </w:tcPr>
          <w:p>
            <w:pPr>
              <w:pStyle w:val="Compact"/>
              <w:spacing w:before="20" w:after="20" w:line="240" w:lineRule="auto"/>
              <w:jc w:val="right"/>
              <w:keepNext/>
            </w:pPr>
            <w:r>
              <w:rPr>
                <w:sz w:val="18"/>
                <w:szCs w:val="18"/>
              </w:rPr>
              <w:t xml:space="preserve">34</w:t>
            </w:r>
          </w:p>
        </w:tc>
      </w:tr>
      <w:tr>
        <w:trPr>
          <w:cantSplit/>
        </w:trPr>
        <w:tc>
          <w:tcPr>
            <w:tcW w:type="dxa" w:w="7342"/>
          </w:tcPr>
          <w:p>
            <w:pPr>
              <w:pStyle w:val="Compact"/>
              <w:spacing w:before="20" w:after="20" w:line="240" w:lineRule="auto"/>
              <w:keepNext/>
            </w:pPr>
            <w:r>
              <w:rPr>
                <w:sz w:val="18"/>
                <w:szCs w:val="18"/>
              </w:rPr>
              <w:t xml:space="preserve">유형: 통합형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유형: 공정 단독형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출원 시기: 2014년 이전</w:t>
            </w:r>
          </w:p>
        </w:tc>
        <w:tc>
          <w:tcPr>
            <w:tcW w:type="dxa" w:w="1727"/>
          </w:tcPr>
          <w:p>
            <w:pPr>
              <w:pStyle w:val="Compact"/>
              <w:spacing w:before="20" w:after="20" w:line="240" w:lineRule="auto"/>
              <w:jc w:val="right"/>
              <w:keepNext/>
            </w:pPr>
            <w:r>
              <w:rPr>
                <w:sz w:val="18"/>
                <w:szCs w:val="18"/>
              </w:rPr>
              <w:t xml:space="preserve">36</w:t>
            </w:r>
          </w:p>
        </w:tc>
      </w:tr>
      <w:tr>
        <w:trPr>
          <w:cantSplit/>
        </w:trPr>
        <w:tc>
          <w:tcPr>
            <w:tcW w:type="dxa" w:w="7342"/>
          </w:tcPr>
          <w:p>
            <w:pPr>
              <w:pStyle w:val="Compact"/>
              <w:spacing w:before="20" w:after="20" w:line="240" w:lineRule="auto"/>
              <w:keepNext/>
            </w:pPr>
            <w:r>
              <w:rPr>
                <w:sz w:val="18"/>
                <w:szCs w:val="18"/>
              </w:rPr>
              <w:t xml:space="preserve">출원 시기: 2015년 이후</w:t>
            </w:r>
          </w:p>
        </w:tc>
        <w:tc>
          <w:tcPr>
            <w:tcW w:type="dxa" w:w="1727"/>
          </w:tcPr>
          <w:p>
            <w:pPr>
              <w:pStyle w:val="Compact"/>
              <w:spacing w:before="20" w:after="20" w:line="240" w:lineRule="auto"/>
              <w:jc w:val="right"/>
              <w:keepNext/>
            </w:pPr>
            <w:r>
              <w:rPr>
                <w:sz w:val="18"/>
                <w:szCs w:val="18"/>
              </w:rPr>
              <w:t xml:space="preserve">32</w:t>
            </w:r>
          </w:p>
        </w:tc>
      </w:tr>
    </w:tbl>
    <w:bookmarkEnd w:id="55"/>
    <w:bookmarkEnd w:id="56"/>
    <w:sectPr>
      <w:footnotePr>
        <w:numRestart w:val="eachSect"/>
      </w:footnotePr>
      <w:pgSz w:w="11906" w:h="16838"/>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7" Type="http://schemas.openxmlformats.org/officeDocument/2006/relationships/image" Target="media/rId27.png"/><Relationship Id="rId41" Type="http://schemas.openxmlformats.org/officeDocument/2006/relationships/image" Target="media/rId41.png"/><Relationship Id="rId31" Type="http://schemas.openxmlformats.org/officeDocument/2006/relationships/image" Target="media/rId31.png"/><Relationship Id="rId20" Type="http://schemas.openxmlformats.org/officeDocument/2006/relationships/image" Target="media/rId20.png"/><Relationship Id="rId16" Type="http://schemas.openxmlformats.org/officeDocument/2006/relationships/image" Target="media/rId16.png"/><Relationship Id="rId37" Type="http://schemas.openxmlformats.org/officeDocument/2006/relationships/image" Target="media/rId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2026-10-12T11:39:09Z</dcterms:created>
  <dcterms:modified xsi:type="dcterms:W3CDTF">2026-10-12T11:39:09Z</dcterms:modified>
</cp:coreProperties>
</file>

<file path=docProps/custom.xml><?xml version="1.0" encoding="utf-8"?>
<Properties xmlns="http://schemas.openxmlformats.org/officeDocument/2006/custom-properties" xmlns:vt="http://schemas.openxmlformats.org/officeDocument/2006/docPropsVTypes"/>
</file>