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650ffcae1d6ea1d6060868132c2e3fabd7846f5"/>
    <w:p>
      <w:pPr>
        <w:pStyle w:val="Heading1"/>
      </w:pPr>
      <w:r>
        <w:t xml:space="preserve">반도체 하이브리드 본딩 특허에 나타난 공정단계 간 기술융합: 경계를 넘는 특허의 특성과 출원청별 차이</w:t>
      </w:r>
    </w:p>
    <w:p>
      <w:pPr>
        <w:pStyle w:val="FirstParagraph"/>
      </w:pPr>
      <w:r>
        <w:rPr>
          <w:b/>
          <w:bCs/>
        </w:rPr>
        <w:t xml:space="preserve">Cross-stage technological convergence in semiconductor hybrid bonding patents: Characteristics of boundary-spanning patents and differences across filing offices</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반도체 제조는 오랫동안 웨이퍼 위에 소자를 만드는 전공정과 완성된 웨이퍼를 잘라 조립하는 후공정으로 나뉘어 있었다. 하이브리드 본딩은 후공정에 속하는 접합 기술이지만, 그 성능은 표면 평탄화와 표면 처리처럼 전공정에 속해 온 제조공정 기술에 달려 있다. 본 연구는 두 영역의 기술이 하나의 특허 안에 함께 담기고 있는지, 그리고 어떤 특허가 그러한지를 묻는다. 유럽특허청 PATSTAT에서 하이브리드 본딩 관련 특허출원 928건을 추출하고, 각 출원에 부여된 CPC 기호를 기준으로, 접합 기술 분류(H01L24)만 가진 조립 단독형, 제조공정 기술 분류(H01L21)만 가진 공정 단독형, 두 분류가 함께 부여된 통합형으로 구분하였다. 분석단위는 개별 특허출원이다. 두 클래스의 공동분류는 제조공정과 접합 영역 사이의 경계 넘기를 포착하는 특허 기반 대리측정치다. 통합형은 45.8%로 가장 많았고, 조립 단계 공정을 제외한 좁은 정의에서도 37.2%였다. 회귀분석 결과는 세 가지로 요약된다. 첫째, 두 클래스 안에서 더 다양한 세부 기술을 포함하는 출원일수록 통합형일 가능성이 높다(조립 단독형 대비 상대위험비 1.40). 두 변수가 같은 CPC 정보에서 만들어지므로 이는 통합형 특허의 구성적 특징으로 해석한다. 둘째, 최근 출원일수록 공정 단독형의 상대적 가능성은 낮다(2014년 이전 43.6%에서 2020–2024년 10.4%). 셋째, 중국 출원청 출원은 미국 출원청 출원보다 기술범위가 좁았으며, 이 결과는 표본을 바꾸어도 유지된다. 반면 공정 단독형 편중은 최근 출원에 민감한 제한적 결과다. 이 결과는 기술융합이 서로 다른 산업 사이에서만이 아니라 한 산업의 공정 단계 사이에서도 일어난다는 견해와 정합적인 특허 수준의 증거를 제공하며, 그러한 융합을 개별 출원 단위에서 측정할 수 있음을 보여준다.</w:t>
      </w:r>
    </w:p>
    <w:p>
      <w:pPr>
        <w:pStyle w:val="BodyText"/>
      </w:pPr>
      <w:r>
        <w:rPr>
          <w:b/>
          <w:bCs/>
        </w:rPr>
        <w:t xml:space="preserve">주제어:</w:t>
      </w:r>
      <w:r>
        <w:t xml:space="preserve"> </w:t>
      </w:r>
      <w:r>
        <w:t xml:space="preserve">기술융합; 산업 아키텍처; 하이브리드 본딩; 첨단 패키징; 특허 범위; 다항 로짓</w:t>
      </w:r>
    </w:p>
    <w:bookmarkEnd w:id="9"/>
    <w:bookmarkStart w:id="10" w:name="abstract"/>
    <w:p>
      <w:pPr>
        <w:pStyle w:val="Heading2"/>
      </w:pPr>
      <w:r>
        <w:t xml:space="preserve">Abstract</w:t>
      </w:r>
    </w:p>
    <w:p>
      <w:pPr>
        <w:pStyle w:val="FirstParagraph"/>
      </w:pPr>
      <w:r>
        <w:t xml:space="preserve">Semiconductor manufacturing has long been divided into front-end wafer fabrication and back-end assembly. Hybrid bonding is a back-end joining technology, but its performance depends on fabrication-process capabilities that have belonged to the front end, such as surface planarisation and surface treatment. This paper asks whether the technologies of the two domains are being combined within single patents, and which patents do so. We extract 928 hybrid-bonding-related patent applications from EPO PATSTAT and, using the CPC symbols assigned to each application, classify applications as assembly-only, process-only or integrated, according to whether they carry H01L24 symbols (bonding technology), H01L21 symbols (fabrication-process technology) or symbols from both classes. The unit of analysis is the individual application. Co-classification in the two classes serves as a patent-based proxy for boundary spanning between the fabrication-process and bonding domains. Integrated applications are the largest group (45.8%; 37.2% under a narrower definition that excludes assembly-stage processes). Regression results show three things. First, applications covering more diverse technical elements within the two classes are more likely to be integrated (relative-risk ratio 1.40 against assembly-only); because both variables are built from the same CPC information, we read this as a compositional feature of integrated patents. Second, the relative likelihood of process-only classification is lower for more recent filings (from 43.6% before 2015 to 10.4% in 2020–2024). Third, applications filed at the Chinese office are narrower in scope than those filed at the US office, a result that survives every change of sample, whereas their tilt towards process-only classification is sensitive to the most recent filings and remains limited evidence. The findings provide patent-level evidence consistent with technological convergence across process stages within a single industry, and show that such convergence can be measured at the level of the individual application.</w:t>
      </w:r>
    </w:p>
    <w:p>
      <w:pPr>
        <w:pStyle w:val="BodyText"/>
      </w:pPr>
      <w:r>
        <w:rPr>
          <w:b/>
          <w:bCs/>
        </w:rPr>
        <w:t xml:space="preserve">Keywords:</w:t>
      </w:r>
      <w:r>
        <w:t xml:space="preserve"> </w:t>
      </w:r>
      <w:r>
        <w:t xml:space="preserve">technological convergence; industry architecture; hybrid bonding; advanced packaging; patent scope; multinomial logit</w:t>
      </w:r>
    </w:p>
    <w:p>
      <w:r>
        <w:pict>
          <v:rect style="width:0;height:1.5pt" o:hralign="center" o:hrstd="t" o:hr="t"/>
        </w:pict>
      </w:r>
    </w:p>
    <w:bookmarkEnd w:id="10"/>
    <w:bookmarkStart w:id="11" w:name="서론"/>
    <w:p>
      <w:pPr>
        <w:pStyle w:val="Heading2"/>
      </w:pPr>
      <w:r>
        <w:t xml:space="preserve">1. 서론</w:t>
      </w:r>
    </w:p>
    <w:p>
      <w:pPr>
        <w:pStyle w:val="FirstParagraph"/>
      </w:pPr>
      <w:r>
        <w:t xml:space="preserve">반도체 산업은 반세기 동안 뚜렷한 분업 구조 위에서 움직여 왔다. 트랜지스터는 전공정(front end)에서 웨이퍼 위에 만들어지고, 완성된 웨이퍼는 후공정(back end)에서 잘리고 조립되고 포장되었다. 전공정은 종합반도체기업(IDM)과 파운드리가 운영하는 대규모 팹에 집중되었고(Kapoor, 2013), 패키징과 테스트는 조립·테스트 전문업체(OSAT)로 외주화되었다(Macher and Mowery, 2004; Brown and Linden, 2009). 두 단계 사이의 인터페이스가 비교적 안정적으로 관리되면서 기업 간 전문화가 가능했지만, 첨단 패키징에서는 한 단계의 성능이 다른 단계의 공정 역량에 더 직접적으로 의존하기 시작했다.</w:t>
      </w:r>
    </w:p>
    <w:p>
      <w:pPr>
        <w:pStyle w:val="BodyText"/>
      </w:pPr>
      <w:r>
        <w:t xml:space="preserve">이 구조가 최근 흔들리고 있다. 회로를 더 작게 만드는 미세화가 한계에 가까워지자, 산업은 다이를 어떻게 나누고 쌓고 연결하는가에서 성능 향상의 여지를 찾기 시작했다(Arden et al., 2010; Khan et al., 2018). 그 가운데 가장 어려운 기술이 하이브리드 본딩이다. 하이브리드 본딩은 솔더 범프 없이 구리 패드와 주변 산화막을 직접 붙여, 기존 방식으로는 어려운 10 µm 이하의 연결 간격을 가능하게 한다(Lau, 2021, 2022). 이 기술이 중요한 이유는 그 성패가 나노미터 수준의 표면 평탄화, 표면 활성화, 정밀 정렬처럼 전통적으로 전공정에 속해 온 제조공정 역량에 달려 있기 때문이다. 기술적 상호의존이 커지면서 선도 파운드리가 첨단 패키징 역량을 내부에 갖추는 움직임도 나타났다(Lau, 2022; KnowMade, 2024).</w:t>
      </w:r>
    </w:p>
    <w:p>
      <w:pPr>
        <w:pStyle w:val="BodyText"/>
      </w:pPr>
      <w:r>
        <w:t xml:space="preserve">본 연구는 이러한 경계의 흐려짐을 개별 특허 수준에서 관찰할 수 있는지를 묻는다. 출발점은 서로 다른 기술 영역이 겹치고 결합하는 과정을 다룬 기술융합 문헌이다(Rosenberg, 1963; Kodama, 1992; Curran and Leker, 2011; Sick and Bröring, 2022). 이 문헌의 실증 연구는 주로 정보통신과 가전(Hacklin et al., 2009), 식품과 제약(Bröring et al., 2006), 나노기술과 바이오기술(No and Park, 2010)처럼 서로 다른 산업이나 기술 분야가 겹치는 경우에 초점을 두어 왔다. 한 산업 안에서 가치사슬의 단계를 가로지르는 융합은 드물게만 다루어졌다. 가치사슬 상·하류 기업 간의 특허 인용을 분석한 Karvonen과 Kässi(2012)가 가장 가까운 선례이지만, 이 연구도 하나의 기술이 공정 단계의 경계를 넘는지를 특허 단위에서 검정하지는 않았다. 그러나 누가 무엇을 만들고 누가 가치를 가져가는가를 정하는 산업 아키텍처(Jacobides et al., 2006)에 압력을 가하는 것은 바로 이런 융합이다.</w:t>
      </w:r>
    </w:p>
    <w:p>
      <w:pPr>
        <w:pStyle w:val="BodyText"/>
      </w:pPr>
      <w:r>
        <w:t xml:space="preserve">이를 위해 유럽특허청(EPO)의 PATSTAT에서 하이브리드 본딩 관련 특허출원 928건을 추출하고, 각 출원에 부여된 협력적 특허분류(CPC) 기호를 이용한다. 접합·인터커넥트 기술(H01L24)과 반도체 제조공정 기술(H01L21)의 기호가 한 출원에 함께 부여된 특허를 통합형, 곧 경계를 넘는 특허로 정의하고, 접합 기호만 있는 조립 단독형, 제조공정 기호만 있는 공정 단독형과 구분한다. 공동분류는 융합을 포착하는 표준적인 특허 지표이며(Curran and Leker, 2011; Kwon et al., 2020), 본 연구의 새로움은 이를 두 산업 사이가 아니라 한 산업을 가로지르는 경계에 적용하고, 분야 수준의 지수가 아니라 개별 특허의 유형으로 재구성한다는 데 있다. 연구 질문은 세 가지다. 첫째, 하이브리드 본딩 특허에서 제조공정과 접합 기술의 공동분류는 얼마나 일반적이며 시간에 따라 어떻게 변했는가. 둘째, 어떤 특허 특성이 공동분류 유형과 관련되는가. 셋째, 이러한 유형과 기술범위는 출원청별로 어떻게 다른가.</w:t>
      </w:r>
    </w:p>
    <w:p>
      <w:pPr>
        <w:pStyle w:val="BodyText"/>
      </w:pPr>
      <w:r>
        <w:t xml:space="preserve">분석 결과, 통합형은 출원의 45.8%로 가장 많고 좁은 정의에서도 37.2%에 이르며, 더 다양한 세부 기술을 포함하는 출원일수록 통합형이고, 최근 출원일수록 공정 단독형이 드물며, 중국 출원청 출원은 기술범위가 좁다. 본 연구의 기여는 세 가지다. 개념적으로는 융합 이론을 산업 간 사례에서 산업 내 공정 단계 간 사례로 넓히고, 이를 반도체 산업 아키텍처 문헌(Langlois and Steinmueller, 1999; Kapoor and Adner, 2012; Kapoor, 2013)과 연결한다. 방법론적으로는 새로운 융합지수를 제안하는 대신 공동분류를 개별 특허의 유형으로 재구성하여, 분야 수준 지수가 평균해 버리는 특허 간 이질성과 그 관련 요인을 추정할 수 있게 한다. 이 설계는 두 개의 CPC 클래스와 하나의 분류 규칙, 표준 추정량만으로 이루어져 있어, 하류 단계가 상류 역량에 의존하기 시작한 다른 공정기술에도 그대로 적용할 수 있다.</w:t>
      </w:r>
    </w:p>
    <w:p>
      <w:pPr>
        <w:pStyle w:val="BodyText"/>
      </w:pPr>
      <w:r>
        <w:t xml:space="preserve">논문의 구성은 다음과 같다. 제2절은 이론적 배경을 검토하고 가설을 세운다. 제3절은 하이브리드 본딩 기술과 산업 지형을 소개한다. 제4절은 자료와 측정, 방법을, 제5절은 결과를 제시한다. 제6절은 함의와 한계를 논의하고, 제7절은 결론을 맺는다.</w:t>
      </w:r>
    </w:p>
    <w:bookmarkEnd w:id="11"/>
    <w:bookmarkStart w:id="16" w:name="이론적-배경과-가설"/>
    <w:p>
      <w:pPr>
        <w:pStyle w:val="Heading2"/>
      </w:pPr>
      <w:r>
        <w:t xml:space="preserve">2. 이론적 배경과 가설</w:t>
      </w:r>
    </w:p>
    <w:bookmarkStart w:id="12" w:name="기술융합"/>
    <w:p>
      <w:pPr>
        <w:pStyle w:val="Heading3"/>
      </w:pPr>
      <w:r>
        <w:t xml:space="preserve">2.1 기술융합</w:t>
      </w:r>
    </w:p>
    <w:p>
      <w:pPr>
        <w:pStyle w:val="FirstParagraph"/>
      </w:pPr>
      <w:r>
        <w:t xml:space="preserve">한 영역에서 개발된 기술이 다른 영역으로 옮겨 간다는 생각은 오래되었다.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al.(2010)은 융합이 지식의 융합에서 기술과 응용의 융합을 거쳐 산업의 융합으로 단계적으로 진행된다는 단계 모형을 제시했고, 이 단계들이 서로 되먹임하며 공진화적 순환을 이룬다고 보았다(Hacklin et al., 2009).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두 가지 특징이 본 연구의 출발점이다. 첫째, 초점이 서로 다른 산업이나 기술 분야의 중첩에 있다. 통신과 컴퓨팅, 식품과 제약, 나노기술과 바이오기술 등 대표적 사례는 모두 다른 산업의 기업들이 지식 기반의 중첩을 발견하는 상황이다(Gambardella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어떤 특성의 발명이 그러한지는 알려 주지 못한다. 개별 특허의 차이가 평균 속에 묻히기 때문이다.</w:t>
      </w:r>
    </w:p>
    <w:bookmarkEnd w:id="12"/>
    <w:bookmarkStart w:id="13" w:name="가치사슬-단계-사이의-융합-반도체의-경우"/>
    <w:p>
      <w:pPr>
        <w:pStyle w:val="Heading3"/>
      </w:pPr>
      <w:r>
        <w:t xml:space="preserve">2.2 가치사슬 단계 사이의 융합: 반도체의 경우</w:t>
      </w:r>
    </w:p>
    <w:p>
      <w:pPr>
        <w:pStyle w:val="FirstParagraph"/>
      </w:pPr>
      <w:r>
        <w:t xml:space="preserve">산업과 산업 사이의 경계와는 다른 종류의 경계가 있다. 한 산업 안에서 가치사슬의 단계를 가르는 경계다. 반도체 산업은 이 경계가 수직 전문화 연구의 오랜 대상이었다는 점에서 좋은 사례다. Langlois와 Steinmueller(1999)는 산업 구조가 바뀌면서 경쟁우위가 기업과 국가 사이에서 어떻게 이동했는지를 추적했다. Macher와 Mowery(2004)는 설계와 제조, 제조와 조립이 분리되어 팹리스, 파운드리, 조립·테스트 전문업체가 생겨난 과정을 기록했고, Brown과 Linden(2009)은 이 구조가 여러 차례의 위기 속에서 재협상되는 과정을 기술했다. Kapoor(2013)는 전문화가 진행되는 가운데서도 여러 단계에 걸친 역량을 유지한 기업이 기술 전환에 다르게 대응했고, 그 선택이 산업 아키텍처를 만들어 왔음을 보였다. Kapoor와 Adner(2012)는 부품과 시스템이 서로 얽혀 있을 때 기업이 직접 만드는 범위보다 넓은 지식을 가질수록 유리하다는 점을 DRAM 산업에서 보였다.</w:t>
      </w:r>
    </w:p>
    <w:p>
      <w:pPr>
        <w:pStyle w:val="BodyText"/>
      </w:pPr>
      <w:r>
        <w:t xml:space="preserve">두 문헌을 잇는 논리는 다음과 같다. 산업 아키텍처는 누가 무엇을 하고 가치가 어떻게 나뉘는지를 정하는 틀이며(Jacobides et al., 2006), 공정 단계 사이의 인터페이스가 안정적일 때 전문화를 허용한다. 새로운 기술이 한 단계의 성능을 다른 단계의 지식에 의존하게 만들면 인터페이스가 불안정해지고, 기업은 경계 반대편의 지식을 획득하거나 통합해야 한다. 이때 지식의 결합은 먼저 발명 수준에서 나타난다. 한 발명이 두 단계의 기술을 함께 담기 시작하는 것이다. 특허의 공동분류는 이러한 지식 경계 확장의 흔적이다. 하이브리드 본딩은 이런 기술에 해당한다. 수율이 평탄화, 표면 화학, 정렬처럼 전공정에 자리한 제조공정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예견하고(Arden et al., 2010; Iyer, 2016; Khan et al., 2018) 패키징 공학 문헌이 기술적으로 기록해 왔지만(Lau, 2021, 2022), 이를 발명의 기록에서 관찰하는 방법은 거의 제시되지 않았다.</w:t>
      </w:r>
    </w:p>
    <w:p>
      <w:pPr>
        <w:pStyle w:val="BodyText"/>
      </w:pPr>
      <w:r>
        <w:t xml:space="preserve">본 연구가 말하는 융합은 수직통합과 다르다. 수직통합 문헌(Macher and Mowery, 2004; Kapoor, 2013)은 어느 기업이 어느 단계를 직접 수행하는가, 곧 조직의 경계를 묻는다. 융합 문헌은 서로 다른 영역의 기술이 하나의 발명 안에서 결합되는가, 곧 지식의 경계를 묻는다(Kodama, 1992; Curran and Leker, 2011). Hacklin et al.(2010)의 단계 모형에서 기술의 융합은 산업의 융합에 앞선다. 본 연구가 특허에서 관찰하는 것은 이 앞선 단계, 즉 기업의 조직적 결정 이전 또는 이면에서 진행되는 기술의 결합이다. 따라서 산업 아키텍처는 본 연구에서 직접 검정하는 결과변수가 아니라 결과를 해석하는 상위의 이론적 맥락이며, 수직통합은 직접 측정하지 않는 후속 현상이다.</w:t>
      </w:r>
    </w:p>
    <w:bookmarkEnd w:id="13"/>
    <w:bookmarkStart w:id="14" w:name="특허로-융합을-측정하기"/>
    <w:p>
      <w:pPr>
        <w:pStyle w:val="Heading3"/>
      </w:pPr>
      <w:r>
        <w:t xml:space="preserve">2.3 특허로 융합을 측정하기</w:t>
      </w:r>
    </w:p>
    <w:p>
      <w:pPr>
        <w:pStyle w:val="FirstParagraph"/>
      </w:pPr>
      <w:r>
        <w:t xml:space="preserve">특허는 분류 기호가 각 발명을 하나 이상의 기술 분야에 배치하기 때문에 융합 측정에 가장 널리 쓰이는 자료다(Curran and Leker, 2011). 기존 연구는 대체로 두 분야의 기호가 함께 부여된 특허의 수를 분야 수준의 지수로 집계했다(Cho and Kim, 2014; Lee et al., 2015; Jeong et al., 2015; Kwon et al., 2020). 분류가 발명을 뒤늦게 따라가는 문제를 피하려고 특허 텍스트를 이용하는 연구도 있다(Preschitschek et al., 2013; Zhu and Motohashi, 2022).</w:t>
      </w:r>
    </w:p>
    <w:p>
      <w:pPr>
        <w:pStyle w:val="BodyText"/>
      </w:pPr>
      <w:r>
        <w:t xml:space="preserve">본 연구는 공동분류를 신호로 쓴다는 점에서 첫째 흐름에 속하지만, 분석 단위가 다르다. 공동분류를 분야 수준으로 집계하는 대신 개별 특허를 세 가지 공동분류 유형으로 나눈다. 접합·인터커넥트 기호(H01L24)만 부여된 조립 단독형, 제조공정 기호(H01L21)만 부여된 공정 단독형, 두 기호가 함께 부여된 통합형이다. 통합형이 경계를 넘는 특허다. 이 구분은 특허 하나하나에 대해 정의되므로 표준 이산선택 모형으로 분석할 수 있고, 집계 지수가 평균해 버리는 특허 간 차이를 보존한다. 다만 CPC 기호는 심사관이 발명의 기술 내용에 부여하는 것이므로, 공동분류는 두 영역의 기술이 한 발명에 함께 담겼다는 사실의 대리측정치이지 법적 청구범위의 측정치가 아니다. 이 점은 제4.2절에서 다시 정리한다.</w:t>
      </w:r>
    </w:p>
    <w:p>
      <w:pPr>
        <w:pStyle w:val="BodyText"/>
      </w:pPr>
      <w:r>
        <w:t xml:space="preserve">설명변수는 두 갈래의 특허 연구에서 가져온다. 첫째는 특허 범위 연구다. Lerner(1994)는 특허가 걸치는 분류의 수로 범위를 재고 범위가 경제적 가치를 가짐을 보였다. 반도체에서는 특허 시장이 잘게 나뉘어 있을수록 기업이 넓은 포트폴리오를 쌓는다(Hall and Ziedonis, 2001; Ziedonis, 2004). 본 연구의 기술범위는 이 전통을 따르되 두 클래스 안의 세부 분류 수로 한정한 측정치다. 둘째는 관할권에 따른 특허 행태의 차이다. 어느 특허청에 출원하는가는 출원인 집단, 심사 관행, 출원 목적을 반영한다. 중국의 특허 급증은 제도 변화와 외국인직접투자(Hu and Jefferson, 2009), 건수를 보상하는 보조금 정책(Dang and Motohashi, 2015)에 힘입었고, 반도체 가치사슬에서 중국의 위치는 지정학적 압력 속에서 빠르게 바뀌어 왔다(Grimes and Du, 2022). 추격 문헌은 후발자가 선발자의 경로를 단계별로 따라가거나 일부 단계를 건너뛴다고 본다(Lee and Lim, 2001). 이를 특허에 적용하면, 추격 단계의 출원은 시스템 전체보다 특정 공정 단계에 집중될 것으로 예상할 수 있다.</w:t>
      </w:r>
    </w:p>
    <w:bookmarkEnd w:id="14"/>
    <w:bookmarkStart w:id="15" w:name="가설"/>
    <w:p>
      <w:pPr>
        <w:pStyle w:val="Heading3"/>
      </w:pPr>
      <w:r>
        <w:t xml:space="preserve">2.4 가설</w:t>
      </w:r>
    </w:p>
    <w:p>
      <w:pPr>
        <w:pStyle w:val="FirstParagraph"/>
      </w:pPr>
      <w:r>
        <w:t xml:space="preserve">이상의 논의에서 네 가지 가설을 세운다.</w:t>
      </w:r>
    </w:p>
    <w:p>
      <w:pPr>
        <w:pStyle w:val="BodyText"/>
      </w:pPr>
      <w:r>
        <w:rPr>
          <w:b/>
          <w:bCs/>
        </w:rPr>
        <w:t xml:space="preserve">기술적 다양성.</w:t>
      </w:r>
      <w:r>
        <w:t xml:space="preserve"> </w:t>
      </w:r>
      <w:r>
        <w:t xml:space="preserve">Kodama(1992)의 융합도 Rosenberg(1963)의 수렴도 둘 이상의 기술 영역에 걸치는 발명을 뜻한다. 경계 넘기가 융합의 한 형태라면, 두 클래스 안에서 더 다양한 세부 기술 요소를 포함하는 출원일수록 두 영역의 기호가 함께 부여될 가능성이 높아야 한다. 웨이퍼 준비에서 접합된 적층까지 공정 흐름 전반의 기술 요소를 포괄하는 출원은 제조공정 분류를 받을 수밖에 없지만, 접합 구조만 다루는 출원은 그렇지 않다. 다만 이 관계에는 기계적인 부분이 있다. 기술범위와 공동분류 유형이 같은 CPC 집합에서 만들어지고, 통합형은 정의상 두 클래스의 기호를 하나씩은 가지므로 범위가 2 이상이기 때문이다. 따라서 H1은 인과적 결정요인이 아니라 통합형 특허의 구성적 특징, 곧 기술적 다양성과 공동분류 사이의 연관에 관한 가설이다. 정의에서 오는 최소 기호 수의 차이는 제5.4절에서 탐색적으로 살핀다.</w:t>
      </w:r>
    </w:p>
    <w:p>
      <w:pPr>
        <w:pStyle w:val="BlockText"/>
      </w:pPr>
      <w:r>
        <w:rPr>
          <w:b/>
          <w:bCs/>
        </w:rPr>
        <w:t xml:space="preserve">H1.</w:t>
      </w:r>
      <w:r>
        <w:t xml:space="preserve"> </w:t>
      </w:r>
      <w:r>
        <w:t xml:space="preserve">제조공정 및 접합 영역에서 더 다양한 세부 기술 요소를 포함하는 출원일수록 두 영역의 CPC 기호가 함께 부여될(통합형일) 가능성이 높다.</w:t>
      </w:r>
    </w:p>
    <w:p>
      <w:pPr>
        <w:pStyle w:val="FirstParagraph"/>
      </w:pPr>
      <w:r>
        <w:rPr>
          <w:b/>
          <w:bCs/>
        </w:rPr>
        <w:t xml:space="preserve">시간 변화.</w:t>
      </w:r>
      <w:r>
        <w:t xml:space="preserve"> </w:t>
      </w:r>
      <w:r>
        <w:t xml:space="preserve">융합의 단계 모형(Hacklin et al., 2010; Jeong et al., 2015)은 기술이 발전하면서 융합의 형태가 바뀐다고 본다. 하이브리드 본딩의 초기 발명은 표면 준비, 저온 어닐링, 평탄화처럼 직접 접합을 가능하게 한 공정 단계에 관한 것이어서 공정 발명으로 분류되었다. 적용 범위가 이미지센서와 3D NAND의 웨이퍼 단위 접합에서 고대역폭 메모리와 로직을 위한 다이 단위 접합으로 넓어지면서, 발명의 중심은 접합된 구조와 적층으로 이동했다(Lau, 2021). 출원연도에는 기술의 발전만이 아니라 분류 체계와 심사 관행, 출원인 구성, 최근 출원의 공개 시차도 함께 반영되므로, 본 연구는 연도 효과를 기술 성숙의 효과가 아니라 시간에 따른 변화로 해석한다.</w:t>
      </w:r>
    </w:p>
    <w:p>
      <w:pPr>
        <w:pStyle w:val="BlockText"/>
      </w:pPr>
      <w:r>
        <w:rPr>
          <w:b/>
          <w:bCs/>
        </w:rPr>
        <w:t xml:space="preserve">H2.</w:t>
      </w:r>
      <w:r>
        <w:t xml:space="preserve"> </w:t>
      </w:r>
      <w:r>
        <w:t xml:space="preserve">출원연도가 최근일수록 특허가 조립 단독형보다 공정 단독형으로 분류될 상대적 가능성은 낮다.</w:t>
      </w:r>
    </w:p>
    <w:p>
      <w:pPr>
        <w:pStyle w:val="FirstParagraph"/>
      </w:pPr>
      <w:r>
        <w:rPr>
          <w:b/>
          <w:bCs/>
        </w:rPr>
        <w:t xml:space="preserve">출원청.</w:t>
      </w:r>
      <w:r>
        <w:t xml:space="preserve"> </w:t>
      </w:r>
      <w:r>
        <w:t xml:space="preserve">어디에 출원하는가는 누가 무엇을 위해 발명하는가를 반영한다. 단계별 추격의 논리(Lee and Lim, 2001), 중국 특허에 관한 증거(Hu and Jefferson, 2009; Dang and Motohashi, 2015), 반도체 가치사슬에서 중국의 위치(Grimes and Du, 2022)를 함께 보면, 중국 출원청 출원은 특정 제조 단계의 확보에 집중되어 범위가 좁고 공정 단독형이 많을 것으로 예상된다. 이 예상에는 중간 논리가 필요하다. 중국 특허의 증가, 보조금, 추격이라는 사실 자체가 곧바로 좁은 CPC 범위와 공정 단독형을 예측하지는 않기 때문이다. 후발국의 특허 활동이 생산 역량의 국산화, 공정별 병목의 해소, 특정 제조 단계의 권리 확보에 집중될 경우, 하나의 출원이 포괄하는 기술 요소는 시스템 전체의 통합보다 개별 공정 문제의 해결에 가까울 수 있다. 이 경우 두 클래스 안의 CPC 범위는 좁고 공정 단독형의 비중은 높을 것으로 예상된다. 이 예상은 중국 특허 선행연구의 직접적인 결론이 아니라, 단계별 추격의 논리를 본 연구의 특허 구성에 적용해 도출한 것이다. 두 예상은 서로 다른 모형으로 검정되므로 나누어 세운다.</w:t>
      </w:r>
    </w:p>
    <w:p>
      <w:pPr>
        <w:pStyle w:val="BlockText"/>
      </w:pPr>
      <w:r>
        <w:rPr>
          <w:b/>
          <w:bCs/>
        </w:rPr>
        <w:t xml:space="preserve">H3a.</w:t>
      </w:r>
      <w:r>
        <w:t xml:space="preserve"> </w:t>
      </w:r>
      <w:r>
        <w:t xml:space="preserve">중국 출원청에 출원된 특허는 미국 출원청에 출원된 특허보다 기술범위가 좁다.</w:t>
      </w:r>
    </w:p>
    <w:p>
      <w:pPr>
        <w:pStyle w:val="BlockText"/>
      </w:pPr>
      <w:r>
        <w:rPr>
          <w:b/>
          <w:bCs/>
        </w:rPr>
        <w:t xml:space="preserve">H3b.</w:t>
      </w:r>
      <w:r>
        <w:t xml:space="preserve"> </w:t>
      </w:r>
      <w:r>
        <w:t xml:space="preserve">중국 출원청에 출원된 특허는 미국 출원청에 출원된 특허보다 조립 단독형 대비 공정 단독형으로 분류될 가능성이 높다.</w:t>
      </w:r>
    </w:p>
    <w:p>
      <w:pPr>
        <w:pStyle w:val="FirstParagraph"/>
      </w:pPr>
      <w:r>
        <w:t xml:space="preserve">일본 출원청에 대해서는 장비·소재 기업의 강점(Langlois and Steinmueller, 1999)에 비추어 반대 방향의 예상이 가능하지만, 표본이 26건에 그치므로 가설로 세우지 않으며 본문에서도 해석하지 않는다(부록 B). 네 가설은 모두 특허 특성과 공동분류 사이의 연관에 관한 것이며 인과관계를 주장하지 않는다.</w:t>
      </w:r>
    </w:p>
    <w:bookmarkEnd w:id="15"/>
    <w:bookmarkEnd w:id="16"/>
    <w:bookmarkStart w:id="20"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마이크로범프 플립칩으로는 어려운 10 µm 이하로 내려가며, 연구 단계에서는 1 µm 이하에 이른다(Lau, 2021, 2022). 공정은 두 가지 형태로 쓰인다. 웨이퍼-투-웨이퍼(W2W) 접합은 웨이퍼 전체를 붙이는 방식으로 CMOS 이미지센서와 3D NAND에서 먼저 상용화되었다. 다이-투-웨이퍼(D2W) 접합은 개별 다이를 웨이퍼에 붙이는 방식으로 칩렛, 고대역폭 메모리(HBM), 3D 로직에 필요하다. 두 형태 모두에서 수율을 좌우하는 단계, 곧 나노미터 이하의 거칠기로 표면을 다듬는 화학적 기계연마(CMP), 플라즈마 표면 활성화, 파티클 제어, 정밀 정렬은 CPC 분류상 접합 클래스(H01L24)가 아니라 반도체 제조공정 클래스(H01L21)에 속한다(제4.1절, 표 1). 그림 1은 하이브리드 본딩을 기반 공정, 접합 형태, 소자 구조, 적용 제품의 네 층으로 정리한 것이다. 기반 공정은 제조공정 클래스(H01L21)에, 접합 형태는 접합·인터커넥트 클래스(H01L24)에 대응한다.</w:t>
      </w:r>
    </w:p>
    <w:p>
      <w:pPr>
        <w:pStyle w:val="BodyText"/>
        <w:keepNext/>
      </w:pPr>
      <w:r>
        <w:drawing>
          <wp:inline>
            <wp:extent cx="5334000" cy="3710608"/>
            <wp:effectExtent b="0" l="0" r="0" t="0"/>
            <wp:docPr descr="" title="" id="18" name="Picture"/>
            <a:graphic>
              <a:graphicData uri="http://schemas.openxmlformats.org/drawingml/2006/picture">
                <pic:pic>
                  <pic:nvPicPr>
                    <pic:cNvPr descr="figures/fig_framework_psp.png" id="19" name="Picture"/>
                    <pic:cNvPicPr>
                      <a:picLocks noChangeArrowheads="1" noChangeAspect="1"/>
                    </pic:cNvPicPr>
                  </pic:nvPicPr>
                  <pic:blipFill>
                    <a:blip r:embed="rId17"/>
                    <a:stretch>
                      <a:fillRect/>
                    </a:stretch>
                  </pic:blipFill>
                  <pic:spPr bwMode="auto">
                    <a:xfrm>
                      <a:off x="0" y="0"/>
                      <a:ext cx="5334000" cy="3710608"/>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하이브리드 본딩의 기반 공정, 접합 형태, 소자 구조, 적용 제품(저자 작성; Lau(2021, 2022)의 기술 설명을 바탕으로 재구성).</w:t>
      </w:r>
    </w:p>
    <w:p>
      <w:pPr>
        <w:pStyle w:val="BodyText"/>
      </w:pPr>
      <w:r>
        <w:t xml:space="preserve">산업 지형도 같은 방향을 가리킨다. 하이브리드 본딩 특허에 대한 독립적 산업 분석은 TSMC, Adeia, YMTC, Intel, Samsung을 특허 활동을 주도하는 출원인으로 꼽는다(KnowMade, 2024). 원천기술을 가진 라이선싱 기업, 첨단 패키징을 직접 운영하는 파운드리, 메모리 제조사가 나란히 앞서 있다는 사실은 접합 기술이 더 이상 후공정 전문기업만의 영역이 아님을 보여준다. 이러한 지형이 어떤 특허가 제조공정과 접합 영역의 경계를 넘는지에 체계적인 흔적을 남기는가가 이하의 질문이다.</w:t>
      </w:r>
    </w:p>
    <w:bookmarkEnd w:id="20"/>
    <w:bookmarkStart w:id="28" w:name="자료와-방법"/>
    <w:p>
      <w:pPr>
        <w:pStyle w:val="Heading2"/>
      </w:pPr>
      <w:r>
        <w:t xml:space="preserve">4. 자료와 방법</w:t>
      </w:r>
    </w:p>
    <w:bookmarkStart w:id="21" w:name="자료"/>
    <w:p>
      <w:pPr>
        <w:pStyle w:val="Heading3"/>
      </w:pPr>
      <w:r>
        <w:t xml:space="preserve">4.1 자료</w:t>
      </w:r>
    </w:p>
    <w:p>
      <w:pPr>
        <w:pStyle w:val="FirstParagraph"/>
      </w:pPr>
      <w:r>
        <w:t xml:space="preserve">자료는 유럽특허청의 PATSTAT Global 2025년판에서 가져왔다(European Patent Office, 2025). 먼저 CPC 분류 H01L21(반도체 제조공정)과 H01L24(반도체 연결 기술)로 후보를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절차는 다음과 같다. 후보 출원은 H01L21 또는 H01L24 계열 CPC 기호를 하나 이상 가진 출원으로 한정하였다. 이후 영문 제목을 소문자로 바꾸어 지정 키워드 가운데 하나 이상이 들어 있는 출원만 남겼다. 추출된 파일은 출원 1건과 CPC 기호 1개의 쌍을 한 행으로 하는 긴 형식이며(출원 식별자, 출원청, 출원연도, 제목, CPC 기호), 기호의 공백을 정리한 뒤 중복 쌍이 없음을 확인하고 출원 식별자별로 집계하였다. 그 결과 출원–CPC 쌍 5,277건, 출원 단위로 1968–2024년에 출원된 928건이 된다. 따라서 표본은 하이브리드 본딩 특허 전체가 아니라 이 검색식으로 식별된 관련 출원이며, 제목에 관련어가 없는 출원은 포함되지 않는다. 또한 이 광의의 표본은 현대의 하이브리드 본딩뿐 아니라 그 기술적 기반이 된 초기 직접 접합(direct bonding) 전구 기술을 함께 포착하도록 설계되었으며, 장기 추세는 이 전구 기술에서 현대 기술로의 이행을 포함한다. 추출 단계에서 두 클래스 밖의 기호는 보존되지 않았으므로, 모든 기호는 H01L21 계열(202개)과 H01L24 계열(60개)의 서브그룹 기호(사선 뒤의 세부 번호까지 포함한 전체 기호, 예: H01L 21/603) 262개로 이루어진다. 본 연구의 분석단위는 PATSTAT의 개별 특허출원이다. 같은 발명이 여러 출원청에 제출된 경우 각 출원은 별도의 관측치로 포함되며, 본문의 ’특허’는 일반적 표현이고 계량분석의 관측단위는 특허출원이다.</w:t>
      </w:r>
    </w:p>
    <w:p>
      <w:pPr>
        <w:pStyle w:val="BodyText"/>
        <w:keepNext/>
      </w:pPr>
      <w:r>
        <w:rPr>
          <w:b/>
          <w:bCs/>
        </w:rPr>
        <w:t xml:space="preserve">표 1.</w:t>
      </w:r>
      <w:r>
        <w:t xml:space="preserve"> </w:t>
      </w:r>
      <w: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조립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연결 기술. 와이어 본딩, 플립칩, TSV, 하이브리드 본딩, 범프 형성, 재배선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세 가지 특성을 미리 밝혀 둔다. 첫째,</w:t>
      </w:r>
      <w:r>
        <w:t xml:space="preserve"> </w:t>
      </w:r>
      <w:r>
        <w:rPr>
          <w:i/>
          <w:iCs/>
        </w:rPr>
        <w:t xml:space="preserve">hybrid bonding</w:t>
      </w:r>
      <w:r>
        <w:t xml:space="preserve">은 비교적 정밀한 검색어이지만</w:t>
      </w:r>
      <w:r>
        <w:t xml:space="preserve"> </w:t>
      </w:r>
      <w:r>
        <w:rPr>
          <w:i/>
          <w:iCs/>
        </w:rPr>
        <w:t xml:space="preserve">direct bonding</w:t>
      </w:r>
      <w:r>
        <w:t xml:space="preserve">은 뜻이 넓다. 제목에</w:t>
      </w:r>
      <w:r>
        <w:t xml:space="preserve"> </w:t>
      </w:r>
      <w:r>
        <w:rPr>
          <w:i/>
          <w:iCs/>
        </w:rPr>
        <w:t xml:space="preserve">hybrid bonding</w:t>
      </w:r>
      <w:r>
        <w:t xml:space="preserve">이 들어 있는 출원은 467건이며, 이 핵심 표본으로 다시 추정한 결과를 제5.4절에 보고한다. 둘째, 키워드 필터는 직접 접합(direct bonding)이라는 말의 무관한 용법도 걸러내지 못한다. 세라믹 기판에 구리를 붙이는 DBC 기판, 구리 합금, 전력 모듈 등이 그 예다. 제목으로 식별한 이러한 출원은 68건이며, 이를 뺀 재추정 결과도 제5.4절에 보고한다(판정 기준과 분포는 부록 C). 셋째, 원자료에는 공식 특허 패밀리 식별자가 없어 패밀리 단위의 중복을 직접 제거할 수 없다. 같은 발명이 여러 나라에 출원되면 여러 건으로 잡힌다. 이에 민감도 분석으로 같은 제목을 가진 출원을 하나의 근사 중복군으로 보고 각 제목군에서 가장 이른 출원 1건만 남긴 결과를 제5.4절에 보고한다. 928건은 473개의 고유 제목으로 이루어지며, 이 중 149개 제목은 둘 이상의 출원청에 출원되었다. 제목은 공식 패밀리 식별자가 아니므로 이 분석은 정확한 패밀리 제거가 아니라 다국가 중복 가능성에 대한 근사 조정이다.</w:t>
      </w:r>
    </w:p>
    <w:bookmarkEnd w:id="21"/>
    <w:bookmarkStart w:id="22" w:name="측정-개념과-지표의-대응"/>
    <w:p>
      <w:pPr>
        <w:pStyle w:val="Heading3"/>
      </w:pPr>
      <w:r>
        <w:t xml:space="preserve">4.2 측정: 개념과 지표의 대응</w:t>
      </w:r>
    </w:p>
    <w:p>
      <w:pPr>
        <w:pStyle w:val="FirstParagraph"/>
      </w:pPr>
      <w:r>
        <w:t xml:space="preserve">본 연구의 이론적 개념은 공정 단계 사이의 기술융합이고, 관찰하는 현상은 제조공정 기술과 접합·인터커넥트 기술이 한 출원에 함께 담기는 것이며, 조작적 지표는 H01L21과 H01L24의 공동분류다(표 2). 본 연구는 H01L21을 전공정 그 자체로, H01L24를 후공정 그 자체로 간주하지 않는다. H01L21에는 웨이퍼 제조공정 외에 조립 단계의 제조공정(패키지 부품 제조, 실장·봉지, 리드 부착, 다이싱)과 공정 장치도 들어 있고, H01L24는 조직적 의미의 후공정 산업 경계를 직접 나타내지 않는다. 다만 하이브리드 본딩의 성능을 좌우하는 웨이퍼 준비, 표면 처리, 평탄화 및 관련 제조공정이 H01L21에 다수 포함되고 접합·인터커넥트 기술은 H01L24에 모여 있으므로, 두 클래스의 공동분류를 제조공정 영역과 접합 영역 사이의 기술적 경계 넘기를 포착하는 대리측정치로 사용한다. 표본의 H01L21 계열 기호 1,636건 가운데 웨이퍼 제조공정이 905건(55.3%), 공정 장치가 328건(20.0%), 조립 단계 공정이 403건(24.6%)이다. 조립 단계 공정을 제조공정으로 세지 않는 좁은 정의로 다시 추정한 결과는 제5.4절에 보고하며, 회귀분석의 결론은 달라지지 않는다.</w:t>
      </w:r>
    </w:p>
    <w:p>
      <w:pPr>
        <w:pStyle w:val="BodyText"/>
        <w:keepNext/>
      </w:pPr>
      <w:r>
        <w:rPr>
          <w:b/>
          <w:bCs/>
        </w:rPr>
        <w:t xml:space="preserve">표 2.</w:t>
      </w:r>
      <w:r>
        <w:t xml:space="preserve"> </w:t>
      </w:r>
      <w:r>
        <w:t xml:space="preserve">개념 수준별 정의와 본 연구에서의 위치.</w:t>
      </w:r>
    </w:p>
    <w:tbl>
      <w:tblPr>
        <w:tblStyle w:val="Table"/>
        <w:tblW w:type="dxa" w:w="9070"/>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814"/>
        <w:gridCol w:w="3628"/>
        <w:gridCol w:w="3628"/>
      </w:tblGrid>
      <w:tr>
        <w:trPr>
          <w:tblHeader w:val="on"/>
          <w:cantSplit/>
        </w:trPr>
        <w:tc>
          <w:tcPr>
            <w:tcW w:type="dxa" w:w="1814"/>
            <w:tcBorders>
              <w:bottom w:val="single" w:sz="4" w:space="0" w:color="000000"/>
            </w:tcBorders>
          </w:tcPr>
          <w:p>
            <w:pPr>
              <w:pStyle w:val="Compact"/>
              <w:spacing w:before="20" w:after="20" w:line="240" w:lineRule="auto"/>
              <w:keepNext/>
            </w:pPr>
            <w:r>
              <w:rPr>
                <w:sz w:val="18"/>
                <w:szCs w:val="18"/>
              </w:rPr>
              <w:t xml:space="preserve">수준</w:t>
            </w:r>
          </w:p>
        </w:tc>
        <w:tc>
          <w:tcPr>
            <w:tcW w:type="dxa" w:w="3628"/>
            <w:tcBorders>
              <w:bottom w:val="single" w:sz="4" w:space="0" w:color="000000"/>
            </w:tcBorders>
          </w:tcPr>
          <w:p>
            <w:pPr>
              <w:pStyle w:val="Compact"/>
              <w:spacing w:before="20" w:after="20" w:line="240" w:lineRule="auto"/>
              <w:keepNext/>
            </w:pPr>
            <w:r>
              <w:rPr>
                <w:sz w:val="18"/>
                <w:szCs w:val="18"/>
              </w:rPr>
              <w:t xml:space="preserve">개념</w:t>
            </w:r>
          </w:p>
        </w:tc>
        <w:tc>
          <w:tcPr>
            <w:tcW w:type="dxa" w:w="3628"/>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814"/>
          </w:tcPr>
          <w:p>
            <w:pPr>
              <w:pStyle w:val="Compact"/>
              <w:spacing w:before="20" w:after="20" w:line="240" w:lineRule="auto"/>
              <w:keepNext/>
            </w:pPr>
            <w:r>
              <w:rPr>
                <w:sz w:val="18"/>
                <w:szCs w:val="18"/>
              </w:rPr>
              <w:t xml:space="preserve">산업</w:t>
            </w:r>
          </w:p>
        </w:tc>
        <w:tc>
          <w:tcPr>
            <w:tcW w:type="dxa" w:w="3628"/>
          </w:tcPr>
          <w:p>
            <w:pPr>
              <w:pStyle w:val="Compact"/>
              <w:spacing w:before="20" w:after="20" w:line="240" w:lineRule="auto"/>
              <w:keepNext/>
            </w:pPr>
            <w:r>
              <w:rPr>
                <w:sz w:val="18"/>
                <w:szCs w:val="18"/>
              </w:rPr>
              <w:t xml:space="preserve">산업 아키텍처</w:t>
            </w:r>
          </w:p>
        </w:tc>
        <w:tc>
          <w:tcPr>
            <w:tcW w:type="dxa" w:w="3628"/>
          </w:tcPr>
          <w:p>
            <w:pPr>
              <w:pStyle w:val="Compact"/>
              <w:spacing w:before="20" w:after="20" w:line="240" w:lineRule="auto"/>
              <w:keepNext/>
            </w:pPr>
            <w:r>
              <w:rPr>
                <w:sz w:val="18"/>
                <w:szCs w:val="18"/>
              </w:rPr>
              <w:t xml:space="preserve">결과를 해석하는 상위 맥락(직접 검정하지 않음)</w:t>
            </w:r>
          </w:p>
        </w:tc>
      </w:tr>
      <w:tr>
        <w:trPr>
          <w:cantSplit/>
        </w:trPr>
        <w:tc>
          <w:tcPr>
            <w:tcW w:type="dxa" w:w="1814"/>
          </w:tcPr>
          <w:p>
            <w:pPr>
              <w:pStyle w:val="Compact"/>
              <w:spacing w:before="20" w:after="20" w:line="240" w:lineRule="auto"/>
              <w:keepNext/>
            </w:pPr>
            <w:r>
              <w:rPr>
                <w:sz w:val="18"/>
                <w:szCs w:val="18"/>
              </w:rPr>
              <w:t xml:space="preserve">기술 시스템</w:t>
            </w:r>
          </w:p>
        </w:tc>
        <w:tc>
          <w:tcPr>
            <w:tcW w:type="dxa" w:w="3628"/>
          </w:tcPr>
          <w:p>
            <w:pPr>
              <w:pStyle w:val="Compact"/>
              <w:spacing w:before="20" w:after="20" w:line="240" w:lineRule="auto"/>
              <w:keepNext/>
            </w:pPr>
            <w:r>
              <w:rPr>
                <w:sz w:val="18"/>
                <w:szCs w:val="18"/>
              </w:rPr>
              <w:t xml:space="preserve">공정 단계 간 기술융합</w:t>
            </w:r>
          </w:p>
        </w:tc>
        <w:tc>
          <w:tcPr>
            <w:tcW w:type="dxa" w:w="3628"/>
          </w:tcPr>
          <w:p>
            <w:pPr>
              <w:pStyle w:val="Compact"/>
              <w:spacing w:before="20" w:after="20" w:line="240" w:lineRule="auto"/>
              <w:keepNext/>
            </w:pPr>
            <w:r>
              <w:rPr>
                <w:sz w:val="18"/>
                <w:szCs w:val="18"/>
              </w:rPr>
              <w:t xml:space="preserve">핵심 이론적 현상</w:t>
            </w:r>
          </w:p>
        </w:tc>
      </w:tr>
      <w:tr>
        <w:trPr>
          <w:cantSplit/>
        </w:trPr>
        <w:tc>
          <w:tcPr>
            <w:tcW w:type="dxa" w:w="1814"/>
          </w:tcPr>
          <w:p>
            <w:pPr>
              <w:pStyle w:val="Compact"/>
              <w:spacing w:before="20" w:after="20" w:line="240" w:lineRule="auto"/>
              <w:keepNext/>
            </w:pPr>
            <w:r>
              <w:rPr>
                <w:sz w:val="18"/>
                <w:szCs w:val="18"/>
              </w:rPr>
              <w:t xml:space="preserve">발명</w:t>
            </w:r>
          </w:p>
        </w:tc>
        <w:tc>
          <w:tcPr>
            <w:tcW w:type="dxa" w:w="3628"/>
          </w:tcPr>
          <w:p>
            <w:pPr>
              <w:pStyle w:val="Compact"/>
              <w:spacing w:before="20" w:after="20" w:line="240" w:lineRule="auto"/>
              <w:keepNext/>
            </w:pPr>
            <w:r>
              <w:rPr>
                <w:sz w:val="18"/>
                <w:szCs w:val="18"/>
              </w:rPr>
              <w:t xml:space="preserve">경계를 넘는 발명</w:t>
            </w:r>
          </w:p>
        </w:tc>
        <w:tc>
          <w:tcPr>
            <w:tcW w:type="dxa" w:w="3628"/>
          </w:tcPr>
          <w:p>
            <w:pPr>
              <w:pStyle w:val="Compact"/>
              <w:spacing w:before="20" w:after="20" w:line="240" w:lineRule="auto"/>
              <w:keepNext/>
            </w:pPr>
            <w:r>
              <w:rPr>
                <w:sz w:val="18"/>
                <w:szCs w:val="18"/>
              </w:rPr>
              <w:t xml:space="preserve">분석 대상</w:t>
            </w:r>
          </w:p>
        </w:tc>
      </w:tr>
      <w:tr>
        <w:trPr>
          <w:cantSplit/>
        </w:trPr>
        <w:tc>
          <w:tcPr>
            <w:tcW w:type="dxa" w:w="1814"/>
          </w:tcPr>
          <w:p>
            <w:pPr>
              <w:pStyle w:val="Compact"/>
              <w:spacing w:before="20" w:after="20" w:line="240" w:lineRule="auto"/>
              <w:keepNext/>
            </w:pPr>
            <w:r>
              <w:rPr>
                <w:sz w:val="18"/>
                <w:szCs w:val="18"/>
              </w:rPr>
              <w:t xml:space="preserve">측정</w:t>
            </w:r>
          </w:p>
        </w:tc>
        <w:tc>
          <w:tcPr>
            <w:tcW w:type="dxa" w:w="3628"/>
          </w:tcPr>
          <w:p>
            <w:pPr>
              <w:pStyle w:val="Compact"/>
              <w:spacing w:before="20" w:after="20" w:line="240" w:lineRule="auto"/>
              <w:keepNext/>
            </w:pPr>
            <w:r>
              <w:rPr>
                <w:sz w:val="18"/>
                <w:szCs w:val="18"/>
              </w:rPr>
              <w:t xml:space="preserve">H01L21–H01L24 공동분류</w:t>
            </w:r>
          </w:p>
        </w:tc>
        <w:tc>
          <w:tcPr>
            <w:tcW w:type="dxa" w:w="3628"/>
          </w:tcPr>
          <w:p>
            <w:pPr>
              <w:pStyle w:val="Compact"/>
              <w:spacing w:before="20" w:after="20" w:line="240" w:lineRule="auto"/>
              <w:keepNext/>
            </w:pPr>
            <w:r>
              <w:rPr>
                <w:sz w:val="18"/>
                <w:szCs w:val="18"/>
              </w:rPr>
              <w:t xml:space="preserve">조작적 지표(대리측정치)</w:t>
            </w:r>
          </w:p>
        </w:tc>
      </w:tr>
      <w:tr>
        <w:trPr>
          <w:cantSplit/>
        </w:trPr>
        <w:tc>
          <w:tcPr>
            <w:tcW w:type="dxa" w:w="1814"/>
          </w:tcPr>
          <w:p>
            <w:pPr>
              <w:pStyle w:val="Compact"/>
              <w:spacing w:before="20" w:after="20" w:line="240" w:lineRule="auto"/>
              <w:keepNext/>
            </w:pPr>
            <w:r>
              <w:rPr>
                <w:sz w:val="18"/>
                <w:szCs w:val="18"/>
              </w:rPr>
              <w:t xml:space="preserve">특허 특성</w:t>
            </w:r>
          </w:p>
        </w:tc>
        <w:tc>
          <w:tcPr>
            <w:tcW w:type="dxa" w:w="3628"/>
          </w:tcPr>
          <w:p>
            <w:pPr>
              <w:pStyle w:val="Compact"/>
              <w:spacing w:before="20" w:after="20" w:line="240" w:lineRule="auto"/>
              <w:keepNext/>
            </w:pPr>
            <w:r>
              <w:rPr>
                <w:sz w:val="18"/>
                <w:szCs w:val="18"/>
              </w:rPr>
              <w:t xml:space="preserve">두 클래스 안의 CPC 서브그룹 수</w:t>
            </w:r>
          </w:p>
        </w:tc>
        <w:tc>
          <w:tcPr>
            <w:tcW w:type="dxa" w:w="3628"/>
          </w:tcPr>
          <w:p>
            <w:pPr>
              <w:pStyle w:val="Compact"/>
              <w:spacing w:before="20" w:after="20" w:line="240" w:lineRule="auto"/>
              <w:keepNext/>
            </w:pPr>
            <w:r>
              <w:rPr>
                <w:sz w:val="18"/>
                <w:szCs w:val="18"/>
              </w:rPr>
              <w:t xml:space="preserve">기술적 다양성(클래스 내 기술범위)</w:t>
            </w:r>
          </w:p>
        </w:tc>
      </w:tr>
      <w:tr>
        <w:trPr>
          <w:cantSplit/>
        </w:trPr>
        <w:tc>
          <w:tcPr>
            <w:tcW w:type="dxa" w:w="1814"/>
          </w:tcPr>
          <w:p>
            <w:pPr>
              <w:pStyle w:val="Compact"/>
              <w:spacing w:before="20" w:after="20" w:line="240" w:lineRule="auto"/>
              <w:keepNext/>
            </w:pPr>
            <w:r>
              <w:rPr>
                <w:sz w:val="18"/>
                <w:szCs w:val="18"/>
              </w:rPr>
              <w:t xml:space="preserve">조직</w:t>
            </w:r>
          </w:p>
        </w:tc>
        <w:tc>
          <w:tcPr>
            <w:tcW w:type="dxa" w:w="3628"/>
          </w:tcPr>
          <w:p>
            <w:pPr>
              <w:pStyle w:val="Compact"/>
              <w:spacing w:before="20" w:after="20" w:line="240" w:lineRule="auto"/>
              <w:keepNext/>
            </w:pPr>
            <w:r>
              <w:rPr>
                <w:sz w:val="18"/>
                <w:szCs w:val="18"/>
              </w:rPr>
              <w:t xml:space="preserve">수직통합</w:t>
            </w:r>
          </w:p>
        </w:tc>
        <w:tc>
          <w:tcPr>
            <w:tcW w:type="dxa" w:w="3628"/>
          </w:tcPr>
          <w:p>
            <w:pPr>
              <w:pStyle w:val="Compact"/>
              <w:spacing w:before="20" w:after="20" w:line="240" w:lineRule="auto"/>
              <w:keepNext/>
            </w:pPr>
            <w:r>
              <w:rPr>
                <w:sz w:val="18"/>
                <w:szCs w:val="18"/>
              </w:rPr>
              <w:t xml:space="preserve">직접 측정하지 않는 후속 현상</w:t>
            </w:r>
          </w:p>
        </w:tc>
      </w:tr>
    </w:tbl>
    <w:p>
      <w:pPr>
        <w:pStyle w:val="BodyText"/>
      </w:pPr>
      <w:r>
        <w:t xml:space="preserve">CPC 기호는 심사관이 발명의 기술 내용에 부여하는 것으로, 청구항의 문구와 항상 일치하지는 않는다. 따라서 이하에서 어떤 출원이 어떤 기술을</w:t>
      </w:r>
      <w:r>
        <w:t xml:space="preserve"> </w:t>
      </w:r>
      <w:r>
        <w:t xml:space="preserve">‘포함한다’</w:t>
      </w:r>
      <w:r>
        <w:t xml:space="preserve"> </w:t>
      </w:r>
      <w:r>
        <w:t xml:space="preserve">또는 어떤 기술로 ’분류된다’는 말은 해당 클래스의 기호가 그 출원에 부여되어 있다는 뜻이며, 법적 청구범위에 관한 진술이 아니다.</w:t>
      </w:r>
    </w:p>
    <w:bookmarkEnd w:id="22"/>
    <w:bookmarkStart w:id="26" w:name="변수"/>
    <w:p>
      <w:pPr>
        <w:pStyle w:val="Heading3"/>
      </w:pPr>
      <w:r>
        <w:t xml:space="preserve">4.3 변수</w:t>
      </w:r>
    </w:p>
    <w:p>
      <w:pPr>
        <w:pStyle w:val="FirstParagraph"/>
      </w:pPr>
      <w:r>
        <w:t xml:space="preserve">표 3은 변수를 정의한다. 기술범위(breadth)는 출원에 부여된 H01L21·H01L24 계열의 서로 다른 서브그룹 기호의 수다. 이는 분류 기호의 수로 범위를 재는 Lerner(1994)의 방식을 두 클래스 안에 적용한 것으로, 두 클래스 안에서 출원에 부여된 세부 기술의 다양성을 뜻하며 반도체 밖의 분야로 뻗는 정도나 법적 청구범위는 재지 않는다. 공동분류 유형(tech_cat)은 각 출원을 조립 단독형(H01L24 기호만), 통합형(둘 다), 공정 단독형(H01L21 기호만)으로 나누며, 두 클래스의 기호가 함께 부여된 출원을 이하 통합형 또는 공동분류형이라 부르고 이것이 경계 넘기의 측정치다. 제조공정 분류 여부(has_process)는 H01L21 기호를 하나라도 가지면 1인 지표로, 통합형과 공정 단독형을 합한 것이다. 출원청(ccode)은 출원이 제출된 특허청 또는 출원 경로로 8개 수준이며 미국이 기준이다. 출원연도(yc)는 표본의 첫 출원(1968년)부터 지난 햇수다.</w:t>
      </w:r>
    </w:p>
    <w:p>
      <w:pPr>
        <w:pStyle w:val="BodyText"/>
        <w:keepNext/>
      </w:pPr>
      <w:r>
        <w:rPr>
          <w:b/>
          <w:bCs/>
        </w:rPr>
        <w:t xml:space="preserve">표 3.</w:t>
      </w:r>
      <w:r>
        <w:t xml:space="preserve"> </w:t>
      </w:r>
      <w:r>
        <w:t xml:space="preserve">변수 정의.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23"/>
        <w:gridCol w:w="3184"/>
        <w:gridCol w:w="1592"/>
        <w:gridCol w:w="2769"/>
      </w:tblGrid>
      <w:tr>
        <w:trPr>
          <w:tblHeader w:val="on"/>
          <w:cantSplit/>
        </w:trPr>
        <w:tc>
          <w:tcPr>
            <w:tcW w:type="dxa" w:w="1523"/>
            <w:tcBorders>
              <w:bottom w:val="single" w:sz="4" w:space="0" w:color="000000"/>
            </w:tcBorders>
          </w:tcPr>
          <w:p>
            <w:pPr>
              <w:pStyle w:val="Compact"/>
              <w:spacing w:before="20" w:after="20" w:line="240" w:lineRule="auto"/>
              <w:keepNext/>
            </w:pPr>
            <w:r>
              <w:rPr>
                <w:sz w:val="18"/>
                <w:szCs w:val="18"/>
              </w:rPr>
              <w:t xml:space="preserve">변수</w:t>
            </w:r>
          </w:p>
        </w:tc>
        <w:tc>
          <w:tcPr>
            <w:tcW w:type="dxa" w:w="3184"/>
            <w:tcBorders>
              <w:bottom w:val="single" w:sz="4" w:space="0" w:color="000000"/>
            </w:tcBorders>
          </w:tcPr>
          <w:p>
            <w:pPr>
              <w:pStyle w:val="Compact"/>
              <w:spacing w:before="20" w:after="20" w:line="240" w:lineRule="auto"/>
              <w:keepNext/>
            </w:pPr>
            <w:r>
              <w:rPr>
                <w:sz w:val="18"/>
                <w:szCs w:val="18"/>
              </w:rPr>
              <w:t xml:space="preserve">정의</w:t>
            </w:r>
          </w:p>
        </w:tc>
        <w:tc>
          <w:tcPr>
            <w:tcW w:type="dxa" w:w="1592"/>
            <w:tcBorders>
              <w:bottom w:val="single" w:sz="4" w:space="0" w:color="000000"/>
            </w:tcBorders>
          </w:tcPr>
          <w:p>
            <w:pPr>
              <w:pStyle w:val="Compact"/>
              <w:spacing w:before="20" w:after="20" w:line="240" w:lineRule="auto"/>
              <w:keepNext/>
            </w:pPr>
            <w:r>
              <w:rPr>
                <w:sz w:val="18"/>
                <w:szCs w:val="18"/>
              </w:rPr>
              <w:t xml:space="preserve">유형</w:t>
            </w:r>
          </w:p>
        </w:tc>
        <w:tc>
          <w:tcPr>
            <w:tcW w:type="dxa" w:w="2769"/>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523"/>
          </w:tcPr>
          <w:p>
            <w:pPr>
              <w:pStyle w:val="Compact"/>
              <w:spacing w:before="20" w:after="20" w:line="240" w:lineRule="auto"/>
              <w:keepNext/>
            </w:pPr>
            <w:r>
              <w:rPr>
                <w:sz w:val="18"/>
                <w:szCs w:val="18"/>
              </w:rPr>
              <w:t xml:space="preserve">breadth</w:t>
            </w:r>
          </w:p>
        </w:tc>
        <w:tc>
          <w:tcPr>
            <w:tcW w:type="dxa" w:w="3184"/>
          </w:tcPr>
          <w:p>
            <w:pPr>
              <w:pStyle w:val="Compact"/>
              <w:spacing w:before="20" w:after="20" w:line="240" w:lineRule="auto"/>
              <w:keepNext/>
            </w:pPr>
            <w:r>
              <w:rPr>
                <w:sz w:val="18"/>
                <w:szCs w:val="18"/>
              </w:rPr>
              <w:t xml:space="preserve">H01L21·H01L24 계열의 서로 다른 CPC 서브그룹 기호 수(클래스 내 기술범위)</w:t>
            </w:r>
          </w:p>
        </w:tc>
        <w:tc>
          <w:tcPr>
            <w:tcW w:type="dxa" w:w="1592"/>
          </w:tcPr>
          <w:p>
            <w:pPr>
              <w:pStyle w:val="Compact"/>
              <w:spacing w:before="20" w:after="20" w:line="240" w:lineRule="auto"/>
              <w:keepNext/>
            </w:pPr>
            <w:r>
              <w:rPr>
                <w:sz w:val="18"/>
                <w:szCs w:val="18"/>
              </w:rPr>
              <w:t xml:space="preserve">카운트, 1–21</w:t>
            </w:r>
          </w:p>
        </w:tc>
        <w:tc>
          <w:tcPr>
            <w:tcW w:type="dxa" w:w="2769"/>
          </w:tcPr>
          <w:p>
            <w:pPr>
              <w:pStyle w:val="Compact"/>
              <w:spacing w:before="20" w:after="20" w:line="240" w:lineRule="auto"/>
              <w:keepNext/>
            </w:pPr>
            <w:r>
              <w:rPr>
                <w:sz w:val="18"/>
                <w:szCs w:val="18"/>
              </w:rPr>
              <w:t xml:space="preserve">전체 CPC 범위나 법적 청구범위가 아님</w:t>
            </w:r>
          </w:p>
        </w:tc>
      </w:tr>
      <w:tr>
        <w:trPr>
          <w:cantSplit/>
        </w:trPr>
        <w:tc>
          <w:tcPr>
            <w:tcW w:type="dxa" w:w="1523"/>
          </w:tcPr>
          <w:p>
            <w:pPr>
              <w:pStyle w:val="Compact"/>
              <w:spacing w:before="20" w:after="20" w:line="240" w:lineRule="auto"/>
              <w:keepNext/>
            </w:pPr>
            <w:r>
              <w:rPr>
                <w:sz w:val="18"/>
                <w:szCs w:val="18"/>
              </w:rPr>
              <w:t xml:space="preserve">breadth_adj</w:t>
            </w:r>
          </w:p>
        </w:tc>
        <w:tc>
          <w:tcPr>
            <w:tcW w:type="dxa" w:w="3184"/>
          </w:tcPr>
          <w:p>
            <w:pPr>
              <w:pStyle w:val="Compact"/>
              <w:spacing w:before="20" w:after="20" w:line="240" w:lineRule="auto"/>
              <w:keepNext/>
            </w:pPr>
            <w:r>
              <w:rPr>
                <w:sz w:val="18"/>
                <w:szCs w:val="18"/>
              </w:rPr>
              <w:t xml:space="preserve">breadth에서 각 클래스의 첫 기호를 뺀 값(제5.4절)</w:t>
            </w:r>
          </w:p>
        </w:tc>
        <w:tc>
          <w:tcPr>
            <w:tcW w:type="dxa" w:w="1592"/>
          </w:tcPr>
          <w:p>
            <w:pPr>
              <w:pStyle w:val="Compact"/>
              <w:spacing w:before="20" w:after="20" w:line="240" w:lineRule="auto"/>
              <w:keepNext/>
            </w:pPr>
            <w:r>
              <w:rPr>
                <w:sz w:val="18"/>
                <w:szCs w:val="18"/>
              </w:rPr>
              <w:t xml:space="preserve">카운트, 0–19</w:t>
            </w:r>
          </w:p>
        </w:tc>
        <w:tc>
          <w:tcPr>
            <w:tcW w:type="dxa" w:w="2769"/>
          </w:tcPr>
          <w:p>
            <w:pPr>
              <w:pStyle w:val="Compact"/>
              <w:spacing w:before="20" w:after="20" w:line="240" w:lineRule="auto"/>
              <w:keepNext/>
            </w:pPr>
            <w:r>
              <w:rPr>
                <w:sz w:val="18"/>
                <w:szCs w:val="18"/>
              </w:rPr>
              <w:t xml:space="preserve">유형 정보를 이용해 구성한 탐색적 지표</w:t>
            </w:r>
          </w:p>
        </w:tc>
      </w:tr>
      <w:tr>
        <w:trPr>
          <w:cantSplit/>
        </w:trPr>
        <w:tc>
          <w:tcPr>
            <w:tcW w:type="dxa" w:w="1523"/>
          </w:tcPr>
          <w:p>
            <w:pPr>
              <w:pStyle w:val="Compact"/>
              <w:spacing w:before="20" w:after="20" w:line="240" w:lineRule="auto"/>
              <w:keepNext/>
            </w:pPr>
            <w:r>
              <w:rPr>
                <w:sz w:val="18"/>
                <w:szCs w:val="18"/>
              </w:rPr>
              <w:t xml:space="preserve">tech_cat</w:t>
            </w:r>
          </w:p>
        </w:tc>
        <w:tc>
          <w:tcPr>
            <w:tcW w:type="dxa" w:w="3184"/>
          </w:tcPr>
          <w:p>
            <w:pPr>
              <w:pStyle w:val="Compact"/>
              <w:spacing w:before="20" w:after="20" w:line="240" w:lineRule="auto"/>
              <w:keepNext/>
            </w:pPr>
            <w:r>
              <w:rPr>
                <w:sz w:val="18"/>
                <w:szCs w:val="18"/>
              </w:rPr>
              <w:t xml:space="preserve">공동분류 유형: 조립 단독형(H01L24만) / 통합형(둘 다) / 공정 단독형(H01L21만)</w:t>
            </w:r>
          </w:p>
        </w:tc>
        <w:tc>
          <w:tcPr>
            <w:tcW w:type="dxa" w:w="1592"/>
          </w:tcPr>
          <w:p>
            <w:pPr>
              <w:pStyle w:val="Compact"/>
              <w:spacing w:before="20" w:after="20" w:line="240" w:lineRule="auto"/>
              <w:keepNext/>
            </w:pPr>
            <w:r>
              <w:rPr>
                <w:sz w:val="18"/>
                <w:szCs w:val="18"/>
              </w:rPr>
              <w:t xml:space="preserve">범주, 3</w:t>
            </w:r>
          </w:p>
        </w:tc>
        <w:tc>
          <w:tcPr>
            <w:tcW w:type="dxa" w:w="2769"/>
          </w:tcPr>
          <w:p>
            <w:pPr>
              <w:pStyle w:val="Compact"/>
              <w:spacing w:before="20" w:after="20" w:line="240" w:lineRule="auto"/>
              <w:keepNext/>
            </w:pPr>
            <w:r>
              <w:rPr>
                <w:sz w:val="18"/>
                <w:szCs w:val="18"/>
              </w:rPr>
              <w:t xml:space="preserve">기업의 전략이 아닌 분류의 조합</w:t>
            </w:r>
          </w:p>
        </w:tc>
      </w:tr>
      <w:tr>
        <w:trPr>
          <w:cantSplit/>
        </w:trPr>
        <w:tc>
          <w:tcPr>
            <w:tcW w:type="dxa" w:w="1523"/>
          </w:tcPr>
          <w:p>
            <w:pPr>
              <w:pStyle w:val="Compact"/>
              <w:spacing w:before="20" w:after="20" w:line="240" w:lineRule="auto"/>
              <w:keepNext/>
            </w:pPr>
            <w:r>
              <w:rPr>
                <w:sz w:val="18"/>
                <w:szCs w:val="18"/>
              </w:rPr>
              <w:t xml:space="preserve">has_process</w:t>
            </w:r>
          </w:p>
        </w:tc>
        <w:tc>
          <w:tcPr>
            <w:tcW w:type="dxa" w:w="3184"/>
          </w:tcPr>
          <w:p>
            <w:pPr>
              <w:pStyle w:val="Compact"/>
              <w:spacing w:before="20" w:after="20" w:line="240" w:lineRule="auto"/>
              <w:keepNext/>
            </w:pPr>
            <w:r>
              <w:rPr>
                <w:sz w:val="18"/>
                <w:szCs w:val="18"/>
              </w:rPr>
              <w:t xml:space="preserve">H01L21 기호를 하나라도 가지면 1(제조공정 분류), 아니면 0</w:t>
            </w:r>
          </w:p>
        </w:tc>
        <w:tc>
          <w:tcPr>
            <w:tcW w:type="dxa" w:w="1592"/>
          </w:tcPr>
          <w:p>
            <w:pPr>
              <w:pStyle w:val="Compact"/>
              <w:spacing w:before="20" w:after="20" w:line="240" w:lineRule="auto"/>
              <w:keepNext/>
            </w:pPr>
            <w:r>
              <w:rPr>
                <w:sz w:val="18"/>
                <w:szCs w:val="18"/>
              </w:rPr>
              <w:t xml:space="preserve">이항</w:t>
            </w:r>
          </w:p>
        </w:tc>
        <w:tc>
          <w:tcPr>
            <w:tcW w:type="dxa" w:w="2769"/>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523"/>
          </w:tcPr>
          <w:p>
            <w:pPr>
              <w:pStyle w:val="Compact"/>
              <w:spacing w:before="20" w:after="20" w:line="240" w:lineRule="auto"/>
              <w:keepNext/>
            </w:pPr>
            <w:r>
              <w:rPr>
                <w:sz w:val="18"/>
                <w:szCs w:val="18"/>
              </w:rPr>
              <w:t xml:space="preserve">ccode</w:t>
            </w:r>
          </w:p>
        </w:tc>
        <w:tc>
          <w:tcPr>
            <w:tcW w:type="dxa" w:w="3184"/>
          </w:tcPr>
          <w:p>
            <w:pPr>
              <w:pStyle w:val="Compact"/>
              <w:spacing w:before="20" w:after="20" w:line="240" w:lineRule="auto"/>
              <w:keepNext/>
            </w:pPr>
            <w:r>
              <w:rPr>
                <w:sz w:val="18"/>
                <w:szCs w:val="18"/>
              </w:rPr>
              <w:t xml:space="preserve">출원청 또는 출원 경로: US(기준), CN, KR, TW, JP, EP, WO(PCT), 기타</w:t>
            </w:r>
          </w:p>
        </w:tc>
        <w:tc>
          <w:tcPr>
            <w:tcW w:type="dxa" w:w="1592"/>
          </w:tcPr>
          <w:p>
            <w:pPr>
              <w:pStyle w:val="Compact"/>
              <w:spacing w:before="20" w:after="20" w:line="240" w:lineRule="auto"/>
              <w:keepNext/>
            </w:pPr>
            <w:r>
              <w:rPr>
                <w:sz w:val="18"/>
                <w:szCs w:val="18"/>
              </w:rPr>
              <w:t xml:space="preserve">범주, 8</w:t>
            </w:r>
          </w:p>
        </w:tc>
        <w:tc>
          <w:tcPr>
            <w:tcW w:type="dxa" w:w="2769"/>
          </w:tcPr>
          <w:p>
            <w:pPr>
              <w:pStyle w:val="Compact"/>
              <w:spacing w:before="20" w:after="20" w:line="240" w:lineRule="auto"/>
              <w:keepNext/>
            </w:pPr>
            <w:r>
              <w:rPr>
                <w:sz w:val="18"/>
                <w:szCs w:val="18"/>
              </w:rPr>
              <w:t xml:space="preserve">출원인의 국적과 다름</w:t>
            </w:r>
          </w:p>
        </w:tc>
      </w:tr>
      <w:tr>
        <w:trPr>
          <w:cantSplit/>
        </w:trPr>
        <w:tc>
          <w:tcPr>
            <w:tcW w:type="dxa" w:w="1523"/>
          </w:tcPr>
          <w:p>
            <w:pPr>
              <w:pStyle w:val="Compact"/>
              <w:spacing w:before="20" w:after="20" w:line="240" w:lineRule="auto"/>
              <w:keepNext/>
            </w:pPr>
            <w:r>
              <w:rPr>
                <w:sz w:val="18"/>
                <w:szCs w:val="18"/>
              </w:rPr>
              <w:t xml:space="preserve">yc</w:t>
            </w:r>
          </w:p>
        </w:tc>
        <w:tc>
          <w:tcPr>
            <w:tcW w:type="dxa" w:w="3184"/>
          </w:tcPr>
          <w:p>
            <w:pPr>
              <w:pStyle w:val="Compact"/>
              <w:spacing w:before="20" w:after="20" w:line="240" w:lineRule="auto"/>
              <w:keepNext/>
            </w:pPr>
            <w:r>
              <w:rPr>
                <w:sz w:val="18"/>
                <w:szCs w:val="18"/>
              </w:rPr>
              <w:t xml:space="preserve">출원연도(1968년 = 0부터 지난 햇수); 표본 평균 49.7(2017.7년)</w:t>
            </w:r>
          </w:p>
        </w:tc>
        <w:tc>
          <w:tcPr>
            <w:tcW w:type="dxa" w:w="1592"/>
          </w:tcPr>
          <w:p>
            <w:pPr>
              <w:pStyle w:val="Compact"/>
              <w:spacing w:before="20" w:after="20" w:line="240" w:lineRule="auto"/>
              <w:keepNext/>
            </w:pPr>
            <w:r>
              <w:rPr>
                <w:sz w:val="18"/>
                <w:szCs w:val="18"/>
              </w:rPr>
              <w:t xml:space="preserve">정수, 0–56</w:t>
            </w:r>
          </w:p>
        </w:tc>
        <w:tc>
          <w:tcPr>
            <w:tcW w:type="dxa" w:w="2769"/>
          </w:tcPr>
          <w:p>
            <w:pPr>
              <w:pStyle w:val="Compact"/>
              <w:spacing w:before="20" w:after="20" w:line="240" w:lineRule="auto"/>
              <w:keepNext/>
            </w:pPr>
            <w:r>
              <w:rPr>
                <w:sz w:val="18"/>
                <w:szCs w:val="18"/>
              </w:rPr>
              <w:t xml:space="preserve">기술 성숙의 직접 측정치가 아님</w:t>
            </w:r>
          </w:p>
        </w:tc>
      </w:tr>
    </w:tbl>
    <w:p>
      <w:pPr>
        <w:pStyle w:val="BodyText"/>
      </w:pPr>
      <w:r>
        <w:t xml:space="preserve">기술범위는 평균 5.69개(표준편차 4.07, 범위 1–21)이며, 통합형 7.89개, 조립 단독형 4.16개, 공정 단독형 3.15개로 유형에 따라 다르다. 출원청별로는 미국 382건, 중국 175건, PCT 경로 113건, EPO 83건, 대만 75건, 한국 58건, 일본 26건, 기타 16건이다. 그림 2는 연도별 출원 건수다. 2010년 이전에는 드물다가 2010년대 후반에 급증하여 2022년경 정점에 이른다. 2023–2024년의 감소에는 출원 뒤 공개까지 걸리는 시차가 영향을 미쳤을 가능성이 크다. 유형별로는 통합형 425건(45.8%), 조립 단독형 338건(36.4%), 공정 단독형 165건(17.8%)이며, 제조공정 기호를 가진 출원은 590건(63.6%)이다.</w:t>
      </w:r>
    </w:p>
    <w:p>
      <w:pPr>
        <w:pStyle w:val="BodyText"/>
        <w:keepNext/>
      </w:pPr>
      <w:r>
        <w:drawing>
          <wp:inline>
            <wp:extent cx="5334000" cy="2844799"/>
            <wp:effectExtent b="0" l="0" r="0" t="0"/>
            <wp:docPr descr="" title="" id="24" name="Picture"/>
            <a:graphic>
              <a:graphicData uri="http://schemas.openxmlformats.org/drawingml/2006/picture">
                <pic:pic>
                  <pic:nvPicPr>
                    <pic:cNvPr descr="figures/fig2_applications_by_year_ko.png" id="25" name="Picture"/>
                    <pic:cNvPicPr>
                      <a:picLocks noChangeArrowheads="1" noChangeAspect="1"/>
                    </pic:cNvPicPr>
                  </pic:nvPicPr>
                  <pic:blipFill>
                    <a:blip r:embed="rId23"/>
                    <a:stretch>
                      <a:fillRect/>
                    </a:stretch>
                  </pic:blipFill>
                  <pic:spPr bwMode="auto">
                    <a:xfrm>
                      <a:off x="0" y="0"/>
                      <a:ext cx="5334000" cy="2844799"/>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출원연도별 하이브리드 본딩 관련 출원 건수, 1968–2024(N = 928). 2023–2024년의 감소에는 출원 뒤 공개까지의 시차가 영향을 미쳤을 가능성이 크다.</w:t>
      </w:r>
    </w:p>
    <w:p>
      <w:pPr>
        <w:pStyle w:val="BodyText"/>
      </w:pPr>
      <w:r>
        <w:t xml:space="preserve">표 4는 출원청별 유형 분포와 기술범위다. 통합형은 EPO, 대만, 일본, 미국에서 절반 안팎으로 가장 많지만 중국과 PCT 경로에서는 40% 수준이다. 공정 단독형의 비중은 중국(24.6%)과 한국(27.6%)에서 높고 일본(11.5%), EPO(12.0%), 미국(13.9%)에서 낮다. 기술범위 평균은 중국(4.83)과 PCT(5.04)가 가장 좁고 일본(6.88)이 가장 넓다. 다만 출원청마다 출원 시기가 다르다. 일본 출원의 절반은 2011년 이전 출원이고(중앙값 2011.5년), PCT 출원의 중앙값은 2022년이다. 이 차이가 출원 시기와 범위를 통제한 뒤에도 남는지는 제5절의 회귀분석으로 확인한다.</w:t>
      </w:r>
    </w:p>
    <w:p>
      <w:pPr>
        <w:pStyle w:val="BodyText"/>
        <w:keepNext/>
      </w:pPr>
      <w:r>
        <w:rPr>
          <w:b/>
          <w:bCs/>
        </w:rPr>
        <w:t xml:space="preserve">표 4.</w:t>
      </w:r>
      <w:r>
        <w:t xml:space="preserve"> </w:t>
      </w:r>
      <w:r>
        <w:t xml:space="preserve">출원청별 공동분류 유형 분포와 기술범위(N = 928; 유형 열의 괄호는 행 비중, 기술범위 열의 괄호는 표준편차).</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955"/>
        <w:gridCol w:w="461"/>
        <w:gridCol w:w="1223"/>
        <w:gridCol w:w="1223"/>
        <w:gridCol w:w="1223"/>
        <w:gridCol w:w="1091"/>
        <w:gridCol w:w="1771"/>
        <w:gridCol w:w="1125"/>
      </w:tblGrid>
      <w:tr>
        <w:trPr>
          <w:tblHeader w:val="on"/>
          <w:cantSplit/>
        </w:trPr>
        <w:tc>
          <w:tcPr>
            <w:tcW w:type="dxa" w:w="955"/>
            <w:tcBorders>
              <w:bottom w:val="single" w:sz="4" w:space="0" w:color="000000"/>
            </w:tcBorders>
          </w:tcPr>
          <w:p>
            <w:pPr>
              <w:pStyle w:val="Compact"/>
              <w:spacing w:before="20" w:after="20" w:line="240" w:lineRule="auto"/>
              <w:keepNext/>
            </w:pPr>
            <w:r>
              <w:rPr>
                <w:sz w:val="13"/>
                <w:szCs w:val="13"/>
              </w:rPr>
              <w:t xml:space="preserve">출원청</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223"/>
            <w:tcBorders>
              <w:bottom w:val="single" w:sz="4" w:space="0" w:color="000000"/>
            </w:tcBorders>
          </w:tcPr>
          <w:p>
            <w:pPr>
              <w:pStyle w:val="Compact"/>
              <w:spacing w:before="20" w:after="20" w:line="240" w:lineRule="auto"/>
              <w:keepNext/>
            </w:pPr>
            <w:r>
              <w:rPr>
                <w:sz w:val="13"/>
                <w:szCs w:val="13"/>
              </w:rPr>
              <w:t xml:space="preserve">조립 단독형</w:t>
            </w:r>
          </w:p>
        </w:tc>
        <w:tc>
          <w:tcPr>
            <w:tcW w:type="dxa" w:w="1223"/>
            <w:tcBorders>
              <w:bottom w:val="single" w:sz="4" w:space="0" w:color="000000"/>
            </w:tcBorders>
          </w:tcPr>
          <w:p>
            <w:pPr>
              <w:pStyle w:val="Compact"/>
              <w:spacing w:before="20" w:after="20" w:line="240" w:lineRule="auto"/>
              <w:keepNext/>
            </w:pPr>
            <w:r>
              <w:rPr>
                <w:sz w:val="13"/>
                <w:szCs w:val="13"/>
              </w:rPr>
              <w:t xml:space="preserve">통합형</w:t>
            </w:r>
          </w:p>
        </w:tc>
        <w:tc>
          <w:tcPr>
            <w:tcW w:type="dxa" w:w="1223"/>
            <w:tcBorders>
              <w:bottom w:val="single" w:sz="4" w:space="0" w:color="000000"/>
            </w:tcBorders>
          </w:tcPr>
          <w:p>
            <w:pPr>
              <w:pStyle w:val="Compact"/>
              <w:spacing w:before="20" w:after="20" w:line="240" w:lineRule="auto"/>
              <w:keepNext/>
            </w:pPr>
            <w:r>
              <w:rPr>
                <w:sz w:val="13"/>
                <w:szCs w:val="13"/>
              </w:rPr>
              <w:t xml:space="preserve">공정 단독형</w:t>
            </w:r>
          </w:p>
        </w:tc>
        <w:tc>
          <w:tcPr>
            <w:tcW w:type="dxa" w:w="1091"/>
            <w:tcBorders>
              <w:bottom w:val="single" w:sz="4" w:space="0" w:color="000000"/>
            </w:tcBorders>
          </w:tcPr>
          <w:p>
            <w:pPr>
              <w:pStyle w:val="Compact"/>
              <w:spacing w:before="20" w:after="20" w:line="240" w:lineRule="auto"/>
              <w:jc w:val="right"/>
              <w:keepNext/>
            </w:pPr>
            <w:r>
              <w:rPr>
                <w:sz w:val="13"/>
                <w:szCs w:val="13"/>
              </w:rPr>
              <w:t xml:space="preserve">제조공정 분류(%)</w:t>
            </w:r>
          </w:p>
        </w:tc>
        <w:tc>
          <w:tcPr>
            <w:tcW w:type="dxa" w:w="1771"/>
            <w:tcBorders>
              <w:bottom w:val="single" w:sz="4" w:space="0" w:color="000000"/>
            </w:tcBorders>
          </w:tcPr>
          <w:p>
            <w:pPr>
              <w:pStyle w:val="Compact"/>
              <w:spacing w:before="20" w:after="20" w:line="240" w:lineRule="auto"/>
              <w:keepNext/>
            </w:pPr>
            <w:r>
              <w:rPr>
                <w:sz w:val="13"/>
                <w:szCs w:val="13"/>
              </w:rPr>
              <w:t xml:space="preserve">기술범위 평균(표준편차)</w:t>
            </w:r>
          </w:p>
        </w:tc>
        <w:tc>
          <w:tcPr>
            <w:tcW w:type="dxa" w:w="1125"/>
            <w:tcBorders>
              <w:bottom w:val="single" w:sz="4" w:space="0" w:color="000000"/>
            </w:tcBorders>
          </w:tcPr>
          <w:p>
            <w:pPr>
              <w:pStyle w:val="Compact"/>
              <w:spacing w:before="20" w:after="20" w:line="240" w:lineRule="auto"/>
              <w:jc w:val="right"/>
              <w:keepNext/>
            </w:pPr>
            <w:r>
              <w:rPr>
                <w:sz w:val="13"/>
                <w:szCs w:val="13"/>
              </w:rPr>
              <w:t xml:space="preserve">출원연도 중앙값</w:t>
            </w:r>
          </w:p>
        </w:tc>
      </w:tr>
      <w:tr>
        <w:trPr>
          <w:cantSplit/>
        </w:trPr>
        <w:tc>
          <w:tcPr>
            <w:tcW w:type="dxa" w:w="955"/>
          </w:tcPr>
          <w:p>
            <w:pPr>
              <w:pStyle w:val="Compact"/>
              <w:spacing w:before="20" w:after="20" w:line="240" w:lineRule="auto"/>
              <w:keepNext/>
            </w:pPr>
            <w:r>
              <w:rPr>
                <w:sz w:val="13"/>
                <w:szCs w:val="13"/>
              </w:rPr>
              <w:t xml:space="preserve">미국(US)</w:t>
            </w:r>
          </w:p>
        </w:tc>
        <w:tc>
          <w:tcPr>
            <w:tcW w:type="dxa" w:w="461"/>
          </w:tcPr>
          <w:p>
            <w:pPr>
              <w:pStyle w:val="Compact"/>
              <w:spacing w:before="20" w:after="20" w:line="240" w:lineRule="auto"/>
              <w:jc w:val="right"/>
              <w:keepNext/>
            </w:pPr>
            <w:r>
              <w:rPr>
                <w:sz w:val="13"/>
                <w:szCs w:val="13"/>
              </w:rPr>
              <w:t xml:space="preserve">382</w:t>
            </w:r>
          </w:p>
        </w:tc>
        <w:tc>
          <w:tcPr>
            <w:tcW w:type="dxa" w:w="1223"/>
          </w:tcPr>
          <w:p>
            <w:pPr>
              <w:pStyle w:val="Compact"/>
              <w:spacing w:before="20" w:after="20" w:line="240" w:lineRule="auto"/>
              <w:keepNext/>
            </w:pPr>
            <w:r>
              <w:rPr>
                <w:sz w:val="13"/>
                <w:szCs w:val="13"/>
              </w:rPr>
              <w:t xml:space="preserve">148 (38.7%)</w:t>
            </w:r>
          </w:p>
        </w:tc>
        <w:tc>
          <w:tcPr>
            <w:tcW w:type="dxa" w:w="1223"/>
          </w:tcPr>
          <w:p>
            <w:pPr>
              <w:pStyle w:val="Compact"/>
              <w:spacing w:before="20" w:after="20" w:line="240" w:lineRule="auto"/>
              <w:keepNext/>
            </w:pPr>
            <w:r>
              <w:rPr>
                <w:sz w:val="13"/>
                <w:szCs w:val="13"/>
              </w:rPr>
              <w:t xml:space="preserve">181 (47.4%)</w:t>
            </w:r>
          </w:p>
        </w:tc>
        <w:tc>
          <w:tcPr>
            <w:tcW w:type="dxa" w:w="1223"/>
          </w:tcPr>
          <w:p>
            <w:pPr>
              <w:pStyle w:val="Compact"/>
              <w:spacing w:before="20" w:after="20" w:line="240" w:lineRule="auto"/>
              <w:keepNext/>
            </w:pPr>
            <w:r>
              <w:rPr>
                <w:sz w:val="13"/>
                <w:szCs w:val="13"/>
              </w:rPr>
              <w:t xml:space="preserve">53 (13.9%)</w:t>
            </w:r>
          </w:p>
        </w:tc>
        <w:tc>
          <w:tcPr>
            <w:tcW w:type="dxa" w:w="1091"/>
          </w:tcPr>
          <w:p>
            <w:pPr>
              <w:pStyle w:val="Compact"/>
              <w:spacing w:before="20" w:after="20" w:line="240" w:lineRule="auto"/>
              <w:jc w:val="right"/>
              <w:keepNext/>
            </w:pPr>
            <w:r>
              <w:rPr>
                <w:sz w:val="13"/>
                <w:szCs w:val="13"/>
              </w:rPr>
              <w:t xml:space="preserve">61.3</w:t>
            </w:r>
          </w:p>
        </w:tc>
        <w:tc>
          <w:tcPr>
            <w:tcW w:type="dxa" w:w="1771"/>
          </w:tcPr>
          <w:p>
            <w:pPr>
              <w:pStyle w:val="Compact"/>
              <w:spacing w:before="20" w:after="20" w:line="240" w:lineRule="auto"/>
              <w:keepNext/>
            </w:pPr>
            <w:r>
              <w:rPr>
                <w:sz w:val="13"/>
                <w:szCs w:val="13"/>
              </w:rPr>
              <w:t xml:space="preserve">5.99 (4.02)</w:t>
            </w:r>
          </w:p>
        </w:tc>
        <w:tc>
          <w:tcPr>
            <w:tcW w:type="dxa" w:w="1125"/>
          </w:tcPr>
          <w:p>
            <w:pPr>
              <w:pStyle w:val="Compact"/>
              <w:spacing w:before="20" w:after="20" w:line="240" w:lineRule="auto"/>
              <w:jc w:val="right"/>
              <w:keepNext/>
            </w:pPr>
            <w:r>
              <w:rPr>
                <w:sz w:val="13"/>
                <w:szCs w:val="13"/>
              </w:rPr>
              <w:t xml:space="preserve">2020</w:t>
            </w:r>
          </w:p>
        </w:tc>
      </w:tr>
      <w:tr>
        <w:trPr>
          <w:cantSplit/>
        </w:trPr>
        <w:tc>
          <w:tcPr>
            <w:tcW w:type="dxa" w:w="955"/>
          </w:tcPr>
          <w:p>
            <w:pPr>
              <w:pStyle w:val="Compact"/>
              <w:spacing w:before="20" w:after="20" w:line="240" w:lineRule="auto"/>
              <w:keepNext/>
            </w:pPr>
            <w:r>
              <w:rPr>
                <w:sz w:val="13"/>
                <w:szCs w:val="13"/>
              </w:rPr>
              <w:t xml:space="preserve">중국(CN)</w:t>
            </w:r>
          </w:p>
        </w:tc>
        <w:tc>
          <w:tcPr>
            <w:tcW w:type="dxa" w:w="461"/>
          </w:tcPr>
          <w:p>
            <w:pPr>
              <w:pStyle w:val="Compact"/>
              <w:spacing w:before="20" w:after="20" w:line="240" w:lineRule="auto"/>
              <w:jc w:val="right"/>
              <w:keepNext/>
            </w:pPr>
            <w:r>
              <w:rPr>
                <w:sz w:val="13"/>
                <w:szCs w:val="13"/>
              </w:rPr>
              <w:t xml:space="preserve">175</w:t>
            </w:r>
          </w:p>
        </w:tc>
        <w:tc>
          <w:tcPr>
            <w:tcW w:type="dxa" w:w="1223"/>
          </w:tcPr>
          <w:p>
            <w:pPr>
              <w:pStyle w:val="Compact"/>
              <w:spacing w:before="20" w:after="20" w:line="240" w:lineRule="auto"/>
              <w:keepNext/>
            </w:pPr>
            <w:r>
              <w:rPr>
                <w:sz w:val="13"/>
                <w:szCs w:val="13"/>
              </w:rPr>
              <w:t xml:space="preserve">63 (36.0%)</w:t>
            </w:r>
          </w:p>
        </w:tc>
        <w:tc>
          <w:tcPr>
            <w:tcW w:type="dxa" w:w="1223"/>
          </w:tcPr>
          <w:p>
            <w:pPr>
              <w:pStyle w:val="Compact"/>
              <w:spacing w:before="20" w:after="20" w:line="240" w:lineRule="auto"/>
              <w:keepNext/>
            </w:pPr>
            <w:r>
              <w:rPr>
                <w:sz w:val="13"/>
                <w:szCs w:val="13"/>
              </w:rPr>
              <w:t xml:space="preserve">69 (39.4%)</w:t>
            </w:r>
          </w:p>
        </w:tc>
        <w:tc>
          <w:tcPr>
            <w:tcW w:type="dxa" w:w="1223"/>
          </w:tcPr>
          <w:p>
            <w:pPr>
              <w:pStyle w:val="Compact"/>
              <w:spacing w:before="20" w:after="20" w:line="240" w:lineRule="auto"/>
              <w:keepNext/>
            </w:pPr>
            <w:r>
              <w:rPr>
                <w:sz w:val="13"/>
                <w:szCs w:val="13"/>
              </w:rPr>
              <w:t xml:space="preserve">43 (24.6%)</w:t>
            </w:r>
          </w:p>
        </w:tc>
        <w:tc>
          <w:tcPr>
            <w:tcW w:type="dxa" w:w="1091"/>
          </w:tcPr>
          <w:p>
            <w:pPr>
              <w:pStyle w:val="Compact"/>
              <w:spacing w:before="20" w:after="20" w:line="240" w:lineRule="auto"/>
              <w:jc w:val="right"/>
              <w:keepNext/>
            </w:pPr>
            <w:r>
              <w:rPr>
                <w:sz w:val="13"/>
                <w:szCs w:val="13"/>
              </w:rPr>
              <w:t xml:space="preserve">64.0</w:t>
            </w:r>
          </w:p>
        </w:tc>
        <w:tc>
          <w:tcPr>
            <w:tcW w:type="dxa" w:w="1771"/>
          </w:tcPr>
          <w:p>
            <w:pPr>
              <w:pStyle w:val="Compact"/>
              <w:spacing w:before="20" w:after="20" w:line="240" w:lineRule="auto"/>
              <w:keepNext/>
            </w:pPr>
            <w:r>
              <w:rPr>
                <w:sz w:val="13"/>
                <w:szCs w:val="13"/>
              </w:rPr>
              <w:t xml:space="preserve">4.83 (3.39)</w:t>
            </w:r>
          </w:p>
        </w:tc>
        <w:tc>
          <w:tcPr>
            <w:tcW w:type="dxa" w:w="1125"/>
          </w:tcPr>
          <w:p>
            <w:pPr>
              <w:pStyle w:val="Compact"/>
              <w:spacing w:before="20" w:after="20" w:line="240" w:lineRule="auto"/>
              <w:jc w:val="right"/>
              <w:keepNext/>
            </w:pPr>
            <w:r>
              <w:rPr>
                <w:sz w:val="13"/>
                <w:szCs w:val="13"/>
              </w:rPr>
              <w:t xml:space="preserve">2021</w:t>
            </w:r>
          </w:p>
        </w:tc>
      </w:tr>
      <w:tr>
        <w:trPr>
          <w:cantSplit/>
        </w:trPr>
        <w:tc>
          <w:tcPr>
            <w:tcW w:type="dxa" w:w="955"/>
          </w:tcPr>
          <w:p>
            <w:pPr>
              <w:pStyle w:val="Compact"/>
              <w:spacing w:before="20" w:after="20" w:line="240" w:lineRule="auto"/>
              <w:keepNext/>
            </w:pPr>
            <w:r>
              <w:rPr>
                <w:sz w:val="13"/>
                <w:szCs w:val="13"/>
              </w:rPr>
              <w:t xml:space="preserve">PCT(WO)</w:t>
            </w:r>
          </w:p>
        </w:tc>
        <w:tc>
          <w:tcPr>
            <w:tcW w:type="dxa" w:w="461"/>
          </w:tcPr>
          <w:p>
            <w:pPr>
              <w:pStyle w:val="Compact"/>
              <w:spacing w:before="20" w:after="20" w:line="240" w:lineRule="auto"/>
              <w:jc w:val="right"/>
              <w:keepNext/>
            </w:pPr>
            <w:r>
              <w:rPr>
                <w:sz w:val="13"/>
                <w:szCs w:val="13"/>
              </w:rPr>
              <w:t xml:space="preserve">113</w:t>
            </w:r>
          </w:p>
        </w:tc>
        <w:tc>
          <w:tcPr>
            <w:tcW w:type="dxa" w:w="1223"/>
          </w:tcPr>
          <w:p>
            <w:pPr>
              <w:pStyle w:val="Compact"/>
              <w:spacing w:before="20" w:after="20" w:line="240" w:lineRule="auto"/>
              <w:keepNext/>
            </w:pPr>
            <w:r>
              <w:rPr>
                <w:sz w:val="13"/>
                <w:szCs w:val="13"/>
              </w:rPr>
              <w:t xml:space="preserve">43 (38.1%)</w:t>
            </w:r>
          </w:p>
        </w:tc>
        <w:tc>
          <w:tcPr>
            <w:tcW w:type="dxa" w:w="1223"/>
          </w:tcPr>
          <w:p>
            <w:pPr>
              <w:pStyle w:val="Compact"/>
              <w:spacing w:before="20" w:after="20" w:line="240" w:lineRule="auto"/>
              <w:keepNext/>
            </w:pPr>
            <w:r>
              <w:rPr>
                <w:sz w:val="13"/>
                <w:szCs w:val="13"/>
              </w:rPr>
              <w:t xml:space="preserve">46 (40.7%)</w:t>
            </w:r>
          </w:p>
        </w:tc>
        <w:tc>
          <w:tcPr>
            <w:tcW w:type="dxa" w:w="1223"/>
          </w:tcPr>
          <w:p>
            <w:pPr>
              <w:pStyle w:val="Compact"/>
              <w:spacing w:before="20" w:after="20" w:line="240" w:lineRule="auto"/>
              <w:keepNext/>
            </w:pPr>
            <w:r>
              <w:rPr>
                <w:sz w:val="13"/>
                <w:szCs w:val="13"/>
              </w:rPr>
              <w:t xml:space="preserve">24 (21.2%)</w:t>
            </w:r>
          </w:p>
        </w:tc>
        <w:tc>
          <w:tcPr>
            <w:tcW w:type="dxa" w:w="1091"/>
          </w:tcPr>
          <w:p>
            <w:pPr>
              <w:pStyle w:val="Compact"/>
              <w:spacing w:before="20" w:after="20" w:line="240" w:lineRule="auto"/>
              <w:jc w:val="right"/>
              <w:keepNext/>
            </w:pPr>
            <w:r>
              <w:rPr>
                <w:sz w:val="13"/>
                <w:szCs w:val="13"/>
              </w:rPr>
              <w:t xml:space="preserve">61.9</w:t>
            </w:r>
          </w:p>
        </w:tc>
        <w:tc>
          <w:tcPr>
            <w:tcW w:type="dxa" w:w="1771"/>
          </w:tcPr>
          <w:p>
            <w:pPr>
              <w:pStyle w:val="Compact"/>
              <w:spacing w:before="20" w:after="20" w:line="240" w:lineRule="auto"/>
              <w:keepNext/>
            </w:pPr>
            <w:r>
              <w:rPr>
                <w:sz w:val="13"/>
                <w:szCs w:val="13"/>
              </w:rPr>
              <w:t xml:space="preserve">5.04 (3.57)</w:t>
            </w:r>
          </w:p>
        </w:tc>
        <w:tc>
          <w:tcPr>
            <w:tcW w:type="dxa" w:w="1125"/>
          </w:tcPr>
          <w:p>
            <w:pPr>
              <w:pStyle w:val="Compact"/>
              <w:spacing w:before="20" w:after="20" w:line="240" w:lineRule="auto"/>
              <w:jc w:val="right"/>
              <w:keepNext/>
            </w:pPr>
            <w:r>
              <w:rPr>
                <w:sz w:val="13"/>
                <w:szCs w:val="13"/>
              </w:rPr>
              <w:t xml:space="preserve">2022</w:t>
            </w:r>
          </w:p>
        </w:tc>
      </w:tr>
      <w:tr>
        <w:trPr>
          <w:cantSplit/>
        </w:trPr>
        <w:tc>
          <w:tcPr>
            <w:tcW w:type="dxa" w:w="955"/>
          </w:tcPr>
          <w:p>
            <w:pPr>
              <w:pStyle w:val="Compact"/>
              <w:spacing w:before="20" w:after="20" w:line="240" w:lineRule="auto"/>
              <w:keepNext/>
            </w:pPr>
            <w:r>
              <w:rPr>
                <w:sz w:val="13"/>
                <w:szCs w:val="13"/>
              </w:rPr>
              <w:t xml:space="preserve">EPO(EP)</w:t>
            </w:r>
          </w:p>
        </w:tc>
        <w:tc>
          <w:tcPr>
            <w:tcW w:type="dxa" w:w="461"/>
          </w:tcPr>
          <w:p>
            <w:pPr>
              <w:pStyle w:val="Compact"/>
              <w:spacing w:before="20" w:after="20" w:line="240" w:lineRule="auto"/>
              <w:jc w:val="right"/>
              <w:keepNext/>
            </w:pPr>
            <w:r>
              <w:rPr>
                <w:sz w:val="13"/>
                <w:szCs w:val="13"/>
              </w:rPr>
              <w:t xml:space="preserve">83</w:t>
            </w:r>
          </w:p>
        </w:tc>
        <w:tc>
          <w:tcPr>
            <w:tcW w:type="dxa" w:w="1223"/>
          </w:tcPr>
          <w:p>
            <w:pPr>
              <w:pStyle w:val="Compact"/>
              <w:spacing w:before="20" w:after="20" w:line="240" w:lineRule="auto"/>
              <w:keepNext/>
            </w:pPr>
            <w:r>
              <w:rPr>
                <w:sz w:val="13"/>
                <w:szCs w:val="13"/>
              </w:rPr>
              <w:t xml:space="preserve">29 (34.9%)</w:t>
            </w:r>
          </w:p>
        </w:tc>
        <w:tc>
          <w:tcPr>
            <w:tcW w:type="dxa" w:w="1223"/>
          </w:tcPr>
          <w:p>
            <w:pPr>
              <w:pStyle w:val="Compact"/>
              <w:spacing w:before="20" w:after="20" w:line="240" w:lineRule="auto"/>
              <w:keepNext/>
            </w:pPr>
            <w:r>
              <w:rPr>
                <w:sz w:val="13"/>
                <w:szCs w:val="13"/>
              </w:rPr>
              <w:t xml:space="preserve">44 (53.0%)</w:t>
            </w:r>
          </w:p>
        </w:tc>
        <w:tc>
          <w:tcPr>
            <w:tcW w:type="dxa" w:w="1223"/>
          </w:tcPr>
          <w:p>
            <w:pPr>
              <w:pStyle w:val="Compact"/>
              <w:spacing w:before="20" w:after="20" w:line="240" w:lineRule="auto"/>
              <w:keepNext/>
            </w:pPr>
            <w:r>
              <w:rPr>
                <w:sz w:val="13"/>
                <w:szCs w:val="13"/>
              </w:rPr>
              <w:t xml:space="preserve">10 (12.0%)</w:t>
            </w:r>
          </w:p>
        </w:tc>
        <w:tc>
          <w:tcPr>
            <w:tcW w:type="dxa" w:w="1091"/>
          </w:tcPr>
          <w:p>
            <w:pPr>
              <w:pStyle w:val="Compact"/>
              <w:spacing w:before="20" w:after="20" w:line="240" w:lineRule="auto"/>
              <w:jc w:val="right"/>
              <w:keepNext/>
            </w:pPr>
            <w:r>
              <w:rPr>
                <w:sz w:val="13"/>
                <w:szCs w:val="13"/>
              </w:rPr>
              <w:t xml:space="preserve">65.1</w:t>
            </w:r>
          </w:p>
        </w:tc>
        <w:tc>
          <w:tcPr>
            <w:tcW w:type="dxa" w:w="1771"/>
          </w:tcPr>
          <w:p>
            <w:pPr>
              <w:pStyle w:val="Compact"/>
              <w:spacing w:before="20" w:after="20" w:line="240" w:lineRule="auto"/>
              <w:keepNext/>
            </w:pPr>
            <w:r>
              <w:rPr>
                <w:sz w:val="13"/>
                <w:szCs w:val="13"/>
              </w:rPr>
              <w:t xml:space="preserve">5.94 (3.75)</w:t>
            </w:r>
          </w:p>
        </w:tc>
        <w:tc>
          <w:tcPr>
            <w:tcW w:type="dxa" w:w="1125"/>
          </w:tcPr>
          <w:p>
            <w:pPr>
              <w:pStyle w:val="Compact"/>
              <w:spacing w:before="20" w:after="20" w:line="240" w:lineRule="auto"/>
              <w:jc w:val="right"/>
              <w:keepNext/>
            </w:pPr>
            <w:r>
              <w:rPr>
                <w:sz w:val="13"/>
                <w:szCs w:val="13"/>
              </w:rPr>
              <w:t xml:space="preserve">2021</w:t>
            </w:r>
          </w:p>
        </w:tc>
      </w:tr>
      <w:tr>
        <w:trPr>
          <w:cantSplit/>
        </w:trPr>
        <w:tc>
          <w:tcPr>
            <w:tcW w:type="dxa" w:w="955"/>
          </w:tcPr>
          <w:p>
            <w:pPr>
              <w:pStyle w:val="Compact"/>
              <w:spacing w:before="20" w:after="20" w:line="240" w:lineRule="auto"/>
              <w:keepNext/>
            </w:pPr>
            <w:r>
              <w:rPr>
                <w:sz w:val="13"/>
                <w:szCs w:val="13"/>
              </w:rPr>
              <w:t xml:space="preserve">대만(TW)</w:t>
            </w:r>
          </w:p>
        </w:tc>
        <w:tc>
          <w:tcPr>
            <w:tcW w:type="dxa" w:w="461"/>
          </w:tcPr>
          <w:p>
            <w:pPr>
              <w:pStyle w:val="Compact"/>
              <w:spacing w:before="20" w:after="20" w:line="240" w:lineRule="auto"/>
              <w:jc w:val="right"/>
              <w:keepNext/>
            </w:pPr>
            <w:r>
              <w:rPr>
                <w:sz w:val="13"/>
                <w:szCs w:val="13"/>
              </w:rPr>
              <w:t xml:space="preserve">75</w:t>
            </w:r>
          </w:p>
        </w:tc>
        <w:tc>
          <w:tcPr>
            <w:tcW w:type="dxa" w:w="1223"/>
          </w:tcPr>
          <w:p>
            <w:pPr>
              <w:pStyle w:val="Compact"/>
              <w:spacing w:before="20" w:after="20" w:line="240" w:lineRule="auto"/>
              <w:keepNext/>
            </w:pPr>
            <w:r>
              <w:rPr>
                <w:sz w:val="13"/>
                <w:szCs w:val="13"/>
              </w:rPr>
              <w:t xml:space="preserve">24 (32.0%)</w:t>
            </w:r>
          </w:p>
        </w:tc>
        <w:tc>
          <w:tcPr>
            <w:tcW w:type="dxa" w:w="1223"/>
          </w:tcPr>
          <w:p>
            <w:pPr>
              <w:pStyle w:val="Compact"/>
              <w:spacing w:before="20" w:after="20" w:line="240" w:lineRule="auto"/>
              <w:keepNext/>
            </w:pPr>
            <w:r>
              <w:rPr>
                <w:sz w:val="13"/>
                <w:szCs w:val="13"/>
              </w:rPr>
              <w:t xml:space="preserve">39 (52.0%)</w:t>
            </w:r>
          </w:p>
        </w:tc>
        <w:tc>
          <w:tcPr>
            <w:tcW w:type="dxa" w:w="1223"/>
          </w:tcPr>
          <w:p>
            <w:pPr>
              <w:pStyle w:val="Compact"/>
              <w:spacing w:before="20" w:after="20" w:line="240" w:lineRule="auto"/>
              <w:keepNext/>
            </w:pPr>
            <w:r>
              <w:rPr>
                <w:sz w:val="13"/>
                <w:szCs w:val="13"/>
              </w:rPr>
              <w:t xml:space="preserve">12 (16.0%)</w:t>
            </w:r>
          </w:p>
        </w:tc>
        <w:tc>
          <w:tcPr>
            <w:tcW w:type="dxa" w:w="1091"/>
          </w:tcPr>
          <w:p>
            <w:pPr>
              <w:pStyle w:val="Compact"/>
              <w:spacing w:before="20" w:after="20" w:line="240" w:lineRule="auto"/>
              <w:jc w:val="right"/>
              <w:keepNext/>
            </w:pPr>
            <w:r>
              <w:rPr>
                <w:sz w:val="13"/>
                <w:szCs w:val="13"/>
              </w:rPr>
              <w:t xml:space="preserve">68.0</w:t>
            </w:r>
          </w:p>
        </w:tc>
        <w:tc>
          <w:tcPr>
            <w:tcW w:type="dxa" w:w="1771"/>
          </w:tcPr>
          <w:p>
            <w:pPr>
              <w:pStyle w:val="Compact"/>
              <w:spacing w:before="20" w:after="20" w:line="240" w:lineRule="auto"/>
              <w:keepNext/>
            </w:pPr>
            <w:r>
              <w:rPr>
                <w:sz w:val="13"/>
                <w:szCs w:val="13"/>
              </w:rPr>
              <w:t xml:space="preserve">6.27 (4.23)</w:t>
            </w:r>
          </w:p>
        </w:tc>
        <w:tc>
          <w:tcPr>
            <w:tcW w:type="dxa" w:w="1125"/>
          </w:tcPr>
          <w:p>
            <w:pPr>
              <w:pStyle w:val="Compact"/>
              <w:spacing w:before="20" w:after="20" w:line="240" w:lineRule="auto"/>
              <w:jc w:val="right"/>
              <w:keepNext/>
            </w:pPr>
            <w:r>
              <w:rPr>
                <w:sz w:val="13"/>
                <w:szCs w:val="13"/>
              </w:rPr>
              <w:t xml:space="preserve">2021</w:t>
            </w:r>
          </w:p>
        </w:tc>
      </w:tr>
      <w:tr>
        <w:trPr>
          <w:cantSplit/>
        </w:trPr>
        <w:tc>
          <w:tcPr>
            <w:tcW w:type="dxa" w:w="955"/>
          </w:tcPr>
          <w:p>
            <w:pPr>
              <w:pStyle w:val="Compact"/>
              <w:spacing w:before="20" w:after="20" w:line="240" w:lineRule="auto"/>
              <w:keepNext/>
            </w:pPr>
            <w:r>
              <w:rPr>
                <w:sz w:val="13"/>
                <w:szCs w:val="13"/>
              </w:rPr>
              <w:t xml:space="preserve">한국(KR)</w:t>
            </w:r>
          </w:p>
        </w:tc>
        <w:tc>
          <w:tcPr>
            <w:tcW w:type="dxa" w:w="461"/>
          </w:tcPr>
          <w:p>
            <w:pPr>
              <w:pStyle w:val="Compact"/>
              <w:spacing w:before="20" w:after="20" w:line="240" w:lineRule="auto"/>
              <w:jc w:val="right"/>
              <w:keepNext/>
            </w:pPr>
            <w:r>
              <w:rPr>
                <w:sz w:val="13"/>
                <w:szCs w:val="13"/>
              </w:rPr>
              <w:t xml:space="preserve">58</w:t>
            </w:r>
          </w:p>
        </w:tc>
        <w:tc>
          <w:tcPr>
            <w:tcW w:type="dxa" w:w="1223"/>
          </w:tcPr>
          <w:p>
            <w:pPr>
              <w:pStyle w:val="Compact"/>
              <w:spacing w:before="20" w:after="20" w:line="240" w:lineRule="auto"/>
              <w:keepNext/>
            </w:pPr>
            <w:r>
              <w:rPr>
                <w:sz w:val="13"/>
                <w:szCs w:val="13"/>
              </w:rPr>
              <w:t xml:space="preserve">17 (29.3%)</w:t>
            </w:r>
          </w:p>
        </w:tc>
        <w:tc>
          <w:tcPr>
            <w:tcW w:type="dxa" w:w="1223"/>
          </w:tcPr>
          <w:p>
            <w:pPr>
              <w:pStyle w:val="Compact"/>
              <w:spacing w:before="20" w:after="20" w:line="240" w:lineRule="auto"/>
              <w:keepNext/>
            </w:pPr>
            <w:r>
              <w:rPr>
                <w:sz w:val="13"/>
                <w:szCs w:val="13"/>
              </w:rPr>
              <w:t xml:space="preserve">25 (43.1%)</w:t>
            </w:r>
          </w:p>
        </w:tc>
        <w:tc>
          <w:tcPr>
            <w:tcW w:type="dxa" w:w="1223"/>
          </w:tcPr>
          <w:p>
            <w:pPr>
              <w:pStyle w:val="Compact"/>
              <w:spacing w:before="20" w:after="20" w:line="240" w:lineRule="auto"/>
              <w:keepNext/>
            </w:pPr>
            <w:r>
              <w:rPr>
                <w:sz w:val="13"/>
                <w:szCs w:val="13"/>
              </w:rPr>
              <w:t xml:space="preserve">16 (27.6%)</w:t>
            </w:r>
          </w:p>
        </w:tc>
        <w:tc>
          <w:tcPr>
            <w:tcW w:type="dxa" w:w="1091"/>
          </w:tcPr>
          <w:p>
            <w:pPr>
              <w:pStyle w:val="Compact"/>
              <w:spacing w:before="20" w:after="20" w:line="240" w:lineRule="auto"/>
              <w:jc w:val="right"/>
              <w:keepNext/>
            </w:pPr>
            <w:r>
              <w:rPr>
                <w:sz w:val="13"/>
                <w:szCs w:val="13"/>
              </w:rPr>
              <w:t xml:space="preserve">70.7</w:t>
            </w:r>
          </w:p>
        </w:tc>
        <w:tc>
          <w:tcPr>
            <w:tcW w:type="dxa" w:w="1771"/>
          </w:tcPr>
          <w:p>
            <w:pPr>
              <w:pStyle w:val="Compact"/>
              <w:spacing w:before="20" w:after="20" w:line="240" w:lineRule="auto"/>
              <w:keepNext/>
            </w:pPr>
            <w:r>
              <w:rPr>
                <w:sz w:val="13"/>
                <w:szCs w:val="13"/>
              </w:rPr>
              <w:t xml:space="preserve">5.84 (4.64)</w:t>
            </w:r>
          </w:p>
        </w:tc>
        <w:tc>
          <w:tcPr>
            <w:tcW w:type="dxa" w:w="1125"/>
          </w:tcPr>
          <w:p>
            <w:pPr>
              <w:pStyle w:val="Compact"/>
              <w:spacing w:before="20" w:after="20" w:line="240" w:lineRule="auto"/>
              <w:jc w:val="right"/>
              <w:keepNext/>
            </w:pPr>
            <w:r>
              <w:rPr>
                <w:sz w:val="13"/>
                <w:szCs w:val="13"/>
              </w:rPr>
              <w:t xml:space="preserve">2018</w:t>
            </w:r>
          </w:p>
        </w:tc>
      </w:tr>
      <w:tr>
        <w:trPr>
          <w:cantSplit/>
        </w:trPr>
        <w:tc>
          <w:tcPr>
            <w:tcW w:type="dxa" w:w="955"/>
          </w:tcPr>
          <w:p>
            <w:pPr>
              <w:pStyle w:val="Compact"/>
              <w:spacing w:before="20" w:after="20" w:line="240" w:lineRule="auto"/>
              <w:keepNext/>
            </w:pPr>
            <w:r>
              <w:rPr>
                <w:sz w:val="13"/>
                <w:szCs w:val="13"/>
              </w:rPr>
              <w:t xml:space="preserve">일본(JP)</w:t>
            </w:r>
          </w:p>
        </w:tc>
        <w:tc>
          <w:tcPr>
            <w:tcW w:type="dxa" w:w="461"/>
          </w:tcPr>
          <w:p>
            <w:pPr>
              <w:pStyle w:val="Compact"/>
              <w:spacing w:before="20" w:after="20" w:line="240" w:lineRule="auto"/>
              <w:jc w:val="right"/>
              <w:keepNext/>
            </w:pPr>
            <w:r>
              <w:rPr>
                <w:sz w:val="13"/>
                <w:szCs w:val="13"/>
              </w:rPr>
              <w:t xml:space="preserve">26</w:t>
            </w:r>
          </w:p>
        </w:tc>
        <w:tc>
          <w:tcPr>
            <w:tcW w:type="dxa" w:w="1223"/>
          </w:tcPr>
          <w:p>
            <w:pPr>
              <w:pStyle w:val="Compact"/>
              <w:spacing w:before="20" w:after="20" w:line="240" w:lineRule="auto"/>
              <w:keepNext/>
            </w:pPr>
            <w:r>
              <w:rPr>
                <w:sz w:val="13"/>
                <w:szCs w:val="13"/>
              </w:rPr>
              <w:t xml:space="preserve">10 (38.5%)</w:t>
            </w:r>
          </w:p>
        </w:tc>
        <w:tc>
          <w:tcPr>
            <w:tcW w:type="dxa" w:w="1223"/>
          </w:tcPr>
          <w:p>
            <w:pPr>
              <w:pStyle w:val="Compact"/>
              <w:spacing w:before="20" w:after="20" w:line="240" w:lineRule="auto"/>
              <w:keepNext/>
            </w:pPr>
            <w:r>
              <w:rPr>
                <w:sz w:val="13"/>
                <w:szCs w:val="13"/>
              </w:rPr>
              <w:t xml:space="preserve">13 (50.0%)</w:t>
            </w:r>
          </w:p>
        </w:tc>
        <w:tc>
          <w:tcPr>
            <w:tcW w:type="dxa" w:w="1223"/>
          </w:tcPr>
          <w:p>
            <w:pPr>
              <w:pStyle w:val="Compact"/>
              <w:spacing w:before="20" w:after="20" w:line="240" w:lineRule="auto"/>
              <w:keepNext/>
            </w:pPr>
            <w:r>
              <w:rPr>
                <w:sz w:val="13"/>
                <w:szCs w:val="13"/>
              </w:rPr>
              <w:t xml:space="preserve">3 (11.5%)</w:t>
            </w:r>
          </w:p>
        </w:tc>
        <w:tc>
          <w:tcPr>
            <w:tcW w:type="dxa" w:w="1091"/>
          </w:tcPr>
          <w:p>
            <w:pPr>
              <w:pStyle w:val="Compact"/>
              <w:spacing w:before="20" w:after="20" w:line="240" w:lineRule="auto"/>
              <w:jc w:val="right"/>
              <w:keepNext/>
            </w:pPr>
            <w:r>
              <w:rPr>
                <w:sz w:val="13"/>
                <w:szCs w:val="13"/>
              </w:rPr>
              <w:t xml:space="preserve">61.5</w:t>
            </w:r>
          </w:p>
        </w:tc>
        <w:tc>
          <w:tcPr>
            <w:tcW w:type="dxa" w:w="1771"/>
          </w:tcPr>
          <w:p>
            <w:pPr>
              <w:pStyle w:val="Compact"/>
              <w:spacing w:before="20" w:after="20" w:line="240" w:lineRule="auto"/>
              <w:keepNext/>
            </w:pPr>
            <w:r>
              <w:rPr>
                <w:sz w:val="13"/>
                <w:szCs w:val="13"/>
              </w:rPr>
              <w:t xml:space="preserve">6.88 (7.00)</w:t>
            </w:r>
          </w:p>
        </w:tc>
        <w:tc>
          <w:tcPr>
            <w:tcW w:type="dxa" w:w="1125"/>
          </w:tcPr>
          <w:p>
            <w:pPr>
              <w:pStyle w:val="Compact"/>
              <w:spacing w:before="20" w:after="20" w:line="240" w:lineRule="auto"/>
              <w:jc w:val="right"/>
              <w:keepNext/>
            </w:pPr>
            <w:r>
              <w:rPr>
                <w:sz w:val="13"/>
                <w:szCs w:val="13"/>
              </w:rPr>
              <w:t xml:space="preserve">2011.5</w:t>
            </w:r>
          </w:p>
        </w:tc>
      </w:tr>
      <w:tr>
        <w:trPr>
          <w:cantSplit/>
        </w:trPr>
        <w:tc>
          <w:tcPr>
            <w:tcW w:type="dxa" w:w="955"/>
          </w:tcPr>
          <w:p>
            <w:pPr>
              <w:pStyle w:val="Compact"/>
              <w:spacing w:before="20" w:after="20" w:line="240" w:lineRule="auto"/>
              <w:keepNext/>
            </w:pPr>
            <w:r>
              <w:rPr>
                <w:sz w:val="13"/>
                <w:szCs w:val="13"/>
              </w:rPr>
              <w:t xml:space="preserve">기타</w:t>
            </w:r>
          </w:p>
        </w:tc>
        <w:tc>
          <w:tcPr>
            <w:tcW w:type="dxa" w:w="461"/>
          </w:tcPr>
          <w:p>
            <w:pPr>
              <w:pStyle w:val="Compact"/>
              <w:spacing w:before="20" w:after="20" w:line="240" w:lineRule="auto"/>
              <w:jc w:val="right"/>
              <w:keepNext/>
            </w:pPr>
            <w:r>
              <w:rPr>
                <w:sz w:val="13"/>
                <w:szCs w:val="13"/>
              </w:rPr>
              <w:t xml:space="preserve">16</w:t>
            </w:r>
          </w:p>
        </w:tc>
        <w:tc>
          <w:tcPr>
            <w:tcW w:type="dxa" w:w="1223"/>
          </w:tcPr>
          <w:p>
            <w:pPr>
              <w:pStyle w:val="Compact"/>
              <w:spacing w:before="20" w:after="20" w:line="240" w:lineRule="auto"/>
              <w:keepNext/>
            </w:pPr>
            <w:r>
              <w:rPr>
                <w:sz w:val="13"/>
                <w:szCs w:val="13"/>
              </w:rPr>
              <w:t xml:space="preserve">4 (25.0%)</w:t>
            </w:r>
          </w:p>
        </w:tc>
        <w:tc>
          <w:tcPr>
            <w:tcW w:type="dxa" w:w="1223"/>
          </w:tcPr>
          <w:p>
            <w:pPr>
              <w:pStyle w:val="Compact"/>
              <w:spacing w:before="20" w:after="20" w:line="240" w:lineRule="auto"/>
              <w:keepNext/>
            </w:pPr>
            <w:r>
              <w:rPr>
                <w:sz w:val="13"/>
                <w:szCs w:val="13"/>
              </w:rPr>
              <w:t xml:space="preserve">8 (50.0%)</w:t>
            </w:r>
          </w:p>
        </w:tc>
        <w:tc>
          <w:tcPr>
            <w:tcW w:type="dxa" w:w="1223"/>
          </w:tcPr>
          <w:p>
            <w:pPr>
              <w:pStyle w:val="Compact"/>
              <w:spacing w:before="20" w:after="20" w:line="240" w:lineRule="auto"/>
              <w:keepNext/>
            </w:pPr>
            <w:r>
              <w:rPr>
                <w:sz w:val="13"/>
                <w:szCs w:val="13"/>
              </w:rPr>
              <w:t xml:space="preserve">4 (25.0%)</w:t>
            </w:r>
          </w:p>
        </w:tc>
        <w:tc>
          <w:tcPr>
            <w:tcW w:type="dxa" w:w="1091"/>
          </w:tcPr>
          <w:p>
            <w:pPr>
              <w:pStyle w:val="Compact"/>
              <w:spacing w:before="20" w:after="20" w:line="240" w:lineRule="auto"/>
              <w:jc w:val="right"/>
              <w:keepNext/>
            </w:pPr>
            <w:r>
              <w:rPr>
                <w:sz w:val="13"/>
                <w:szCs w:val="13"/>
              </w:rPr>
              <w:t xml:space="preserve">75.0</w:t>
            </w:r>
          </w:p>
        </w:tc>
        <w:tc>
          <w:tcPr>
            <w:tcW w:type="dxa" w:w="1771"/>
          </w:tcPr>
          <w:p>
            <w:pPr>
              <w:pStyle w:val="Compact"/>
              <w:spacing w:before="20" w:after="20" w:line="240" w:lineRule="auto"/>
              <w:keepNext/>
            </w:pPr>
            <w:r>
              <w:rPr>
                <w:sz w:val="13"/>
                <w:szCs w:val="13"/>
              </w:rPr>
              <w:t xml:space="preserve">5.81 (6.23)</w:t>
            </w:r>
          </w:p>
        </w:tc>
        <w:tc>
          <w:tcPr>
            <w:tcW w:type="dxa" w:w="1125"/>
          </w:tcPr>
          <w:p>
            <w:pPr>
              <w:pStyle w:val="Compact"/>
              <w:spacing w:before="20" w:after="20" w:line="240" w:lineRule="auto"/>
              <w:jc w:val="right"/>
              <w:keepNext/>
            </w:pPr>
            <w:r>
              <w:rPr>
                <w:sz w:val="13"/>
                <w:szCs w:val="13"/>
              </w:rPr>
              <w:t xml:space="preserve">2015.5</w:t>
            </w:r>
          </w:p>
        </w:tc>
      </w:tr>
      <w:tr>
        <w:trPr>
          <w:cantSplit/>
        </w:trPr>
        <w:tc>
          <w:tcPr>
            <w:tcW w:type="dxa" w:w="955"/>
          </w:tcPr>
          <w:p>
            <w:pPr>
              <w:pStyle w:val="Compact"/>
              <w:spacing w:before="20" w:after="20" w:line="240" w:lineRule="auto"/>
              <w:keepNext/>
            </w:pPr>
            <w:r>
              <w:rPr>
                <w:sz w:val="13"/>
                <w:szCs w:val="13"/>
              </w:rPr>
              <w:t xml:space="preserve">전체</w:t>
            </w:r>
          </w:p>
        </w:tc>
        <w:tc>
          <w:tcPr>
            <w:tcW w:type="dxa" w:w="461"/>
          </w:tcPr>
          <w:p>
            <w:pPr>
              <w:pStyle w:val="Compact"/>
              <w:spacing w:before="20" w:after="20" w:line="240" w:lineRule="auto"/>
              <w:jc w:val="right"/>
              <w:keepNext/>
            </w:pPr>
            <w:r>
              <w:rPr>
                <w:sz w:val="13"/>
                <w:szCs w:val="13"/>
              </w:rPr>
              <w:t xml:space="preserve">928</w:t>
            </w:r>
          </w:p>
        </w:tc>
        <w:tc>
          <w:tcPr>
            <w:tcW w:type="dxa" w:w="1223"/>
          </w:tcPr>
          <w:p>
            <w:pPr>
              <w:pStyle w:val="Compact"/>
              <w:spacing w:before="20" w:after="20" w:line="240" w:lineRule="auto"/>
              <w:keepNext/>
            </w:pPr>
            <w:r>
              <w:rPr>
                <w:sz w:val="13"/>
                <w:szCs w:val="13"/>
              </w:rPr>
              <w:t xml:space="preserve">338 (36.4%)</w:t>
            </w:r>
          </w:p>
        </w:tc>
        <w:tc>
          <w:tcPr>
            <w:tcW w:type="dxa" w:w="1223"/>
          </w:tcPr>
          <w:p>
            <w:pPr>
              <w:pStyle w:val="Compact"/>
              <w:spacing w:before="20" w:after="20" w:line="240" w:lineRule="auto"/>
              <w:keepNext/>
            </w:pPr>
            <w:r>
              <w:rPr>
                <w:sz w:val="13"/>
                <w:szCs w:val="13"/>
              </w:rPr>
              <w:t xml:space="preserve">425 (45.8%)</w:t>
            </w:r>
          </w:p>
        </w:tc>
        <w:tc>
          <w:tcPr>
            <w:tcW w:type="dxa" w:w="1223"/>
          </w:tcPr>
          <w:p>
            <w:pPr>
              <w:pStyle w:val="Compact"/>
              <w:spacing w:before="20" w:after="20" w:line="240" w:lineRule="auto"/>
              <w:keepNext/>
            </w:pPr>
            <w:r>
              <w:rPr>
                <w:sz w:val="13"/>
                <w:szCs w:val="13"/>
              </w:rPr>
              <w:t xml:space="preserve">165 (17.8%)</w:t>
            </w:r>
          </w:p>
        </w:tc>
        <w:tc>
          <w:tcPr>
            <w:tcW w:type="dxa" w:w="1091"/>
          </w:tcPr>
          <w:p>
            <w:pPr>
              <w:pStyle w:val="Compact"/>
              <w:spacing w:before="20" w:after="20" w:line="240" w:lineRule="auto"/>
              <w:jc w:val="right"/>
              <w:keepNext/>
            </w:pPr>
            <w:r>
              <w:rPr>
                <w:sz w:val="13"/>
                <w:szCs w:val="13"/>
              </w:rPr>
              <w:t xml:space="preserve">63.6</w:t>
            </w:r>
          </w:p>
        </w:tc>
        <w:tc>
          <w:tcPr>
            <w:tcW w:type="dxa" w:w="1771"/>
          </w:tcPr>
          <w:p>
            <w:pPr>
              <w:pStyle w:val="Compact"/>
              <w:spacing w:before="20" w:after="20" w:line="240" w:lineRule="auto"/>
              <w:keepNext/>
            </w:pPr>
            <w:r>
              <w:rPr>
                <w:sz w:val="13"/>
                <w:szCs w:val="13"/>
              </w:rPr>
              <w:t xml:space="preserve">5.69 (4.07)</w:t>
            </w:r>
          </w:p>
        </w:tc>
        <w:tc>
          <w:tcPr>
            <w:tcW w:type="dxa" w:w="1125"/>
          </w:tcPr>
          <w:p>
            <w:pPr>
              <w:pStyle w:val="Compact"/>
              <w:spacing w:before="20" w:after="20" w:line="240" w:lineRule="auto"/>
              <w:jc w:val="right"/>
              <w:keepNext/>
            </w:pPr>
            <w:r>
              <w:rPr>
                <w:sz w:val="13"/>
                <w:szCs w:val="13"/>
              </w:rPr>
              <w:t xml:space="preserve">2021</w:t>
            </w:r>
          </w:p>
        </w:tc>
      </w:tr>
    </w:tbl>
    <w:p>
      <w:pPr>
        <w:pStyle w:val="BodyText"/>
      </w:pPr>
      <w:r>
        <w:t xml:space="preserve">미국, 중국 등은 국가 특허청이고 WO와 EP는 국제·지역 출원 경로이므로, 출원청 변수 전체는 출원청과 출원 경로의 구분이며 관할권 비교는 국가 특허청 사이, 특히 미국과 중국의 비교에 한정한다. 출원청 계수는 출원청 자체의 인과효과를 식별하지 않는다. 출원인, 기업 유형, 공식 패밀리 정보를 통제하지 못하므로, 이 계수는 해당 출원청에 제출된 발명 포트폴리오의 조건부 구성 차이로 해석한다.</w:t>
      </w:r>
    </w:p>
    <w:bookmarkEnd w:id="26"/>
    <w:bookmarkStart w:id="27" w:name="분석-방법"/>
    <w:p>
      <w:pPr>
        <w:pStyle w:val="Heading3"/>
      </w:pPr>
      <w:r>
        <w:t xml:space="preserve">4.4 분석 방법</w:t>
      </w:r>
    </w:p>
    <w:p>
      <w:pPr>
        <w:pStyle w:val="FirstParagraph"/>
      </w:pPr>
      <w:r>
        <w:t xml:space="preserve">종속변수의 성격에 맞추어 세 가지 모형을 쓴다. 첫째, 기술범위는 카운트 변수이므로 음이항 회귀로 추정한다. 표본의 분산이 평균보다 훨씬 커서(과산포 모수 α = 0.268, 표준오차 0.020) Poisson 대신 음이항을 쓰며, 계수의 지수인 발생률비(IRR)로 해석한다(Cameron and Trivedi, 2013). 선형 회귀와 Poisson 추정치는 부록 A에 실었고, 부호와 유의성은 같다. 둘째, 제조공정 분류 여부는 이항 로짓으로 추정하고 승산비(OR)로 보고한다. 셋째, 세 공동분류 유형은 조립 단독형을 기준으로 하는 다항 로짓(McFadden, 1974)으로 추정하고 상대위험비(RRR)로 보고한다. 다항 로짓이 H1, H2, H3b의 본 검정이며, H3a는 음이항으로 검정한다. 기준 모형은 이용 가능한 전체 출원을 쓴다는 원칙에 따라 2024년까지 포함하되, 2023–2024년 출원은 공개와 분류가 완결되지 않았을 수 있으므로 이 두 해를 제외한 결과를 가설 판정에 함께 반영한다. 모든 모형의 설명변수는 출원연도와 출원청 더미이고, 로짓 모형에는 기술범위가 추가된다. 비율 척도의 계수만으로는 크기를 가늠하기 어려우므로, 다항 로짓에 대해서는 기술범위, 출원연도, 출원청을 바꾸었을 때의 유형별 예측확률도 함께 제시한다. 다항 로짓은 무관 대안의 독립성(IIA)을 가정하므로 한 대안을 제외한 표본으로 결과가 달라지는지 확인하고(부록 B), 같은 제목의 출원이 독립이 아닐 가능성에 대해서는 동일 제목 군집 표준오차로 유의성을 다시 확인한다. 가설 판정에는 5% 유의수준을 쓴다. 표본과 변수 정의에 따라 결과가 달라지는지는 제5.4절에서 확인한다.</w:t>
      </w:r>
    </w:p>
    <w:bookmarkEnd w:id="27"/>
    <w:bookmarkEnd w:id="28"/>
    <w:bookmarkStart w:id="46" w:name="결과"/>
    <w:p>
      <w:pPr>
        <w:pStyle w:val="Heading2"/>
      </w:pPr>
      <w:r>
        <w:t xml:space="preserve">5. 결과</w:t>
      </w:r>
    </w:p>
    <w:bookmarkStart w:id="32" w:name="기술범위"/>
    <w:p>
      <w:pPr>
        <w:pStyle w:val="Heading3"/>
      </w:pPr>
      <w:r>
        <w:t xml:space="preserve">5.1 기술범위</w:t>
      </w:r>
    </w:p>
    <w:p>
      <w:pPr>
        <w:pStyle w:val="FirstParagraph"/>
      </w:pPr>
      <w:r>
        <w:t xml:space="preserve">표 5는 기술범위의 음이항 추정 결과다. 두 가지가 눈에 띈다. 첫째, 미국 출원청 기준으로 중국 출원청 출원은 기술범위가 약 21% 좁고(IRR 0.785, p &lt; 0.01), PCT 경로 출원은 약 17% 좁다(IRR 0.826, p &lt; 0.01). 한국, 대만, EPO는 미국과 다르지 않다. 일본 출원청 출원은 표본에서 가장 넓지만 10% 수준에서만 유의하다(IRR 1.270, p = 0.07). 그림 3은 모형이 예측하는 출원청별 기술범위다. 중국 출원청 출원의 범위가 좁다는 결과는 H3a를 지지한다. 둘째, 출원연도의 IRR은 1.015로 범위가 해마다 약 1.5%씩 넓어지는 것으로 나오지만, 이 추세는 2010년 이전의 드문 초기 출원에 좌우된다. 2010년 이후 표본만 보면 부호가 반대로 바뀌어(IRR 0.970, p &lt; 0.01) 최근 출원일수록 범위가 오히려 좁다(부록 B). 따라서 범위의 시간 추세에 대해서는 결론을 내리지 않는다.</w:t>
      </w:r>
    </w:p>
    <w:p>
      <w:pPr>
        <w:pStyle w:val="BodyText"/>
        <w:keepNext/>
      </w:pPr>
      <w:r>
        <w:rPr>
          <w:b/>
          <w:bCs/>
        </w:rPr>
        <w:t xml:space="preserve">표 5.</w:t>
      </w:r>
      <w:r>
        <w:t xml:space="preserve"> </w:t>
      </w:r>
      <w:r>
        <w:t xml:space="preserve">기술범위의 관련 요인: 음이항 회귀(N = 928; 출원청 기준 = 미국; 과산포 모수 α = 0.268(표준오차 0.020); 로그우도 −2,431.5; AIC 4,883.0; 괄호 안은 로그 계수의 표준오차; * p &lt; 0.10, ** p &lt; 0.05, *** p &lt; 0.01).</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079"/>
        <w:gridCol w:w="1679"/>
        <w:gridCol w:w="2771"/>
        <w:gridCol w:w="1539"/>
      </w:tblGrid>
      <w:tr>
        <w:trPr>
          <w:tblHeader w:val="on"/>
          <w:cantSplit/>
        </w:trPr>
        <w:tc>
          <w:tcPr>
            <w:tcW w:type="dxa" w:w="3079"/>
            <w:tcBorders>
              <w:bottom w:val="single" w:sz="4" w:space="0" w:color="000000"/>
            </w:tcBorders>
          </w:tcPr>
          <w:p>
            <w:pPr>
              <w:pStyle w:val="Compact"/>
              <w:spacing w:before="20" w:after="20" w:line="240" w:lineRule="auto"/>
              <w:keepNext/>
            </w:pPr>
          </w:p>
        </w:tc>
        <w:tc>
          <w:tcPr>
            <w:tcW w:type="dxa" w:w="1679"/>
            <w:tcBorders>
              <w:bottom w:val="single" w:sz="4" w:space="0" w:color="000000"/>
            </w:tcBorders>
          </w:tcPr>
          <w:p>
            <w:pPr>
              <w:pStyle w:val="Compact"/>
              <w:spacing w:before="20" w:after="20" w:line="240" w:lineRule="auto"/>
              <w:jc w:val="center"/>
              <w:keepNext/>
            </w:pPr>
            <w:r>
              <w:rPr>
                <w:sz w:val="18"/>
                <w:szCs w:val="18"/>
              </w:rPr>
              <w:t xml:space="preserve">IRR</w:t>
            </w:r>
          </w:p>
        </w:tc>
        <w:tc>
          <w:tcPr>
            <w:tcW w:type="dxa" w:w="2771"/>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539"/>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079"/>
          </w:tcPr>
          <w:p>
            <w:pPr>
              <w:pStyle w:val="Compact"/>
              <w:spacing w:before="20" w:after="20" w:line="240" w:lineRule="auto"/>
              <w:keepNext/>
            </w:pPr>
            <w:r>
              <w:rPr>
                <w:sz w:val="18"/>
                <w:szCs w:val="18"/>
              </w:rPr>
              <w:t xml:space="preserve">출원연도(yc)</w:t>
            </w:r>
          </w:p>
        </w:tc>
        <w:tc>
          <w:tcPr>
            <w:tcW w:type="dxa" w:w="1679"/>
          </w:tcPr>
          <w:p>
            <w:pPr>
              <w:pStyle w:val="Compact"/>
              <w:spacing w:before="20" w:after="20" w:line="240" w:lineRule="auto"/>
              <w:jc w:val="center"/>
              <w:keepNext/>
            </w:pPr>
            <w:r>
              <w:rPr>
                <w:sz w:val="18"/>
                <w:szCs w:val="18"/>
              </w:rPr>
              <w:t xml:space="preserve">1.015***</w:t>
            </w:r>
          </w:p>
        </w:tc>
        <w:tc>
          <w:tcPr>
            <w:tcW w:type="dxa" w:w="2771"/>
          </w:tcPr>
          <w:p>
            <w:pPr>
              <w:pStyle w:val="Compact"/>
              <w:spacing w:before="20" w:after="20" w:line="240" w:lineRule="auto"/>
              <w:jc w:val="center"/>
              <w:keepNext/>
            </w:pPr>
            <w:r>
              <w:rPr>
                <w:sz w:val="18"/>
                <w:szCs w:val="18"/>
              </w:rPr>
              <w:t xml:space="preserve">(0.003)</w:t>
            </w:r>
          </w:p>
        </w:tc>
        <w:tc>
          <w:tcPr>
            <w:tcW w:type="dxa" w:w="1539"/>
          </w:tcPr>
          <w:p>
            <w:pPr>
              <w:pStyle w:val="Compact"/>
              <w:spacing w:before="20" w:after="20" w:line="240" w:lineRule="auto"/>
              <w:jc w:val="center"/>
              <w:keepNext/>
            </w:pPr>
            <w:r>
              <w:rPr>
                <w:sz w:val="18"/>
                <w:szCs w:val="18"/>
              </w:rPr>
              <w:t xml:space="preserve">&lt;0.001</w:t>
            </w:r>
          </w:p>
        </w:tc>
      </w:tr>
      <w:tr>
        <w:trPr>
          <w:cantSplit/>
        </w:trPr>
        <w:tc>
          <w:tcPr>
            <w:tcW w:type="dxa" w:w="3079"/>
          </w:tcPr>
          <w:p>
            <w:pPr>
              <w:pStyle w:val="Compact"/>
              <w:spacing w:before="20" w:after="20" w:line="240" w:lineRule="auto"/>
              <w:keepNext/>
            </w:pPr>
            <w:r>
              <w:rPr>
                <w:sz w:val="18"/>
                <w:szCs w:val="18"/>
              </w:rPr>
              <w:t xml:space="preserve">중국(CN)</w:t>
            </w:r>
          </w:p>
        </w:tc>
        <w:tc>
          <w:tcPr>
            <w:tcW w:type="dxa" w:w="1679"/>
          </w:tcPr>
          <w:p>
            <w:pPr>
              <w:pStyle w:val="Compact"/>
              <w:spacing w:before="20" w:after="20" w:line="240" w:lineRule="auto"/>
              <w:jc w:val="center"/>
              <w:keepNext/>
            </w:pPr>
            <w:r>
              <w:rPr>
                <w:sz w:val="18"/>
                <w:szCs w:val="18"/>
              </w:rPr>
              <w:t xml:space="preserve">0.785***</w:t>
            </w:r>
          </w:p>
        </w:tc>
        <w:tc>
          <w:tcPr>
            <w:tcW w:type="dxa" w:w="2771"/>
          </w:tcPr>
          <w:p>
            <w:pPr>
              <w:pStyle w:val="Compact"/>
              <w:spacing w:before="20" w:after="20" w:line="240" w:lineRule="auto"/>
              <w:jc w:val="center"/>
              <w:keepNext/>
            </w:pPr>
            <w:r>
              <w:rPr>
                <w:sz w:val="18"/>
                <w:szCs w:val="18"/>
              </w:rPr>
              <w:t xml:space="preserve">(0.062)</w:t>
            </w:r>
          </w:p>
        </w:tc>
        <w:tc>
          <w:tcPr>
            <w:tcW w:type="dxa" w:w="1539"/>
          </w:tcPr>
          <w:p>
            <w:pPr>
              <w:pStyle w:val="Compact"/>
              <w:spacing w:before="20" w:after="20" w:line="240" w:lineRule="auto"/>
              <w:jc w:val="center"/>
              <w:keepNext/>
            </w:pPr>
            <w:r>
              <w:rPr>
                <w:sz w:val="18"/>
                <w:szCs w:val="18"/>
              </w:rPr>
              <w:t xml:space="preserve">&lt;0.001</w:t>
            </w:r>
          </w:p>
        </w:tc>
      </w:tr>
      <w:tr>
        <w:trPr>
          <w:cantSplit/>
        </w:trPr>
        <w:tc>
          <w:tcPr>
            <w:tcW w:type="dxa" w:w="3079"/>
          </w:tcPr>
          <w:p>
            <w:pPr>
              <w:pStyle w:val="Compact"/>
              <w:spacing w:before="20" w:after="20" w:line="240" w:lineRule="auto"/>
              <w:keepNext/>
            </w:pPr>
            <w:r>
              <w:rPr>
                <w:sz w:val="18"/>
                <w:szCs w:val="18"/>
              </w:rPr>
              <w:t xml:space="preserve">한국(KR)</w:t>
            </w:r>
          </w:p>
        </w:tc>
        <w:tc>
          <w:tcPr>
            <w:tcW w:type="dxa" w:w="1679"/>
          </w:tcPr>
          <w:p>
            <w:pPr>
              <w:pStyle w:val="Compact"/>
              <w:spacing w:before="20" w:after="20" w:line="240" w:lineRule="auto"/>
              <w:jc w:val="center"/>
              <w:keepNext/>
            </w:pPr>
            <w:r>
              <w:rPr>
                <w:sz w:val="18"/>
                <w:szCs w:val="18"/>
              </w:rPr>
              <w:t xml:space="preserve">1.018</w:t>
            </w:r>
          </w:p>
        </w:tc>
        <w:tc>
          <w:tcPr>
            <w:tcW w:type="dxa" w:w="2771"/>
          </w:tcPr>
          <w:p>
            <w:pPr>
              <w:pStyle w:val="Compact"/>
              <w:spacing w:before="20" w:after="20" w:line="240" w:lineRule="auto"/>
              <w:jc w:val="center"/>
              <w:keepNext/>
            </w:pPr>
            <w:r>
              <w:rPr>
                <w:sz w:val="18"/>
                <w:szCs w:val="18"/>
              </w:rPr>
              <w:t xml:space="preserve">(0.094)</w:t>
            </w:r>
          </w:p>
        </w:tc>
        <w:tc>
          <w:tcPr>
            <w:tcW w:type="dxa" w:w="1539"/>
          </w:tcPr>
          <w:p>
            <w:pPr>
              <w:pStyle w:val="Compact"/>
              <w:spacing w:before="20" w:after="20" w:line="240" w:lineRule="auto"/>
              <w:jc w:val="center"/>
              <w:keepNext/>
            </w:pPr>
            <w:r>
              <w:rPr>
                <w:sz w:val="18"/>
                <w:szCs w:val="18"/>
              </w:rPr>
              <w:t xml:space="preserve">0.853</w:t>
            </w:r>
          </w:p>
        </w:tc>
      </w:tr>
      <w:tr>
        <w:trPr>
          <w:cantSplit/>
        </w:trPr>
        <w:tc>
          <w:tcPr>
            <w:tcW w:type="dxa" w:w="3079"/>
          </w:tcPr>
          <w:p>
            <w:pPr>
              <w:pStyle w:val="Compact"/>
              <w:spacing w:before="20" w:after="20" w:line="240" w:lineRule="auto"/>
              <w:keepNext/>
            </w:pPr>
            <w:r>
              <w:rPr>
                <w:sz w:val="18"/>
                <w:szCs w:val="18"/>
              </w:rPr>
              <w:t xml:space="preserve">대만(TW)</w:t>
            </w:r>
          </w:p>
        </w:tc>
        <w:tc>
          <w:tcPr>
            <w:tcW w:type="dxa" w:w="1679"/>
          </w:tcPr>
          <w:p>
            <w:pPr>
              <w:pStyle w:val="Compact"/>
              <w:spacing w:before="20" w:after="20" w:line="240" w:lineRule="auto"/>
              <w:jc w:val="center"/>
              <w:keepNext/>
            </w:pPr>
            <w:r>
              <w:rPr>
                <w:sz w:val="18"/>
                <w:szCs w:val="18"/>
              </w:rPr>
              <w:t xml:space="preserve">1.021</w:t>
            </w:r>
          </w:p>
        </w:tc>
        <w:tc>
          <w:tcPr>
            <w:tcW w:type="dxa" w:w="2771"/>
          </w:tcPr>
          <w:p>
            <w:pPr>
              <w:pStyle w:val="Compact"/>
              <w:spacing w:before="20" w:after="20" w:line="240" w:lineRule="auto"/>
              <w:jc w:val="center"/>
              <w:keepNext/>
            </w:pPr>
            <w:r>
              <w:rPr>
                <w:sz w:val="18"/>
                <w:szCs w:val="18"/>
              </w:rPr>
              <w:t xml:space="preserve">(0.083)</w:t>
            </w:r>
          </w:p>
        </w:tc>
        <w:tc>
          <w:tcPr>
            <w:tcW w:type="dxa" w:w="1539"/>
          </w:tcPr>
          <w:p>
            <w:pPr>
              <w:pStyle w:val="Compact"/>
              <w:spacing w:before="20" w:after="20" w:line="240" w:lineRule="auto"/>
              <w:jc w:val="center"/>
              <w:keepNext/>
            </w:pPr>
            <w:r>
              <w:rPr>
                <w:sz w:val="18"/>
                <w:szCs w:val="18"/>
              </w:rPr>
              <w:t xml:space="preserve">0.801</w:t>
            </w:r>
          </w:p>
        </w:tc>
      </w:tr>
      <w:tr>
        <w:trPr>
          <w:cantSplit/>
        </w:trPr>
        <w:tc>
          <w:tcPr>
            <w:tcW w:type="dxa" w:w="3079"/>
          </w:tcPr>
          <w:p>
            <w:pPr>
              <w:pStyle w:val="Compact"/>
              <w:spacing w:before="20" w:after="20" w:line="240" w:lineRule="auto"/>
              <w:keepNext/>
            </w:pPr>
            <w:r>
              <w:rPr>
                <w:sz w:val="18"/>
                <w:szCs w:val="18"/>
              </w:rPr>
              <w:t xml:space="preserve">일본(JP)</w:t>
            </w:r>
          </w:p>
        </w:tc>
        <w:tc>
          <w:tcPr>
            <w:tcW w:type="dxa" w:w="1679"/>
          </w:tcPr>
          <w:p>
            <w:pPr>
              <w:pStyle w:val="Compact"/>
              <w:spacing w:before="20" w:after="20" w:line="240" w:lineRule="auto"/>
              <w:jc w:val="center"/>
              <w:keepNext/>
            </w:pPr>
            <w:r>
              <w:rPr>
                <w:sz w:val="18"/>
                <w:szCs w:val="18"/>
              </w:rPr>
              <w:t xml:space="preserve">1.270*</w:t>
            </w:r>
          </w:p>
        </w:tc>
        <w:tc>
          <w:tcPr>
            <w:tcW w:type="dxa" w:w="2771"/>
          </w:tcPr>
          <w:p>
            <w:pPr>
              <w:pStyle w:val="Compact"/>
              <w:spacing w:before="20" w:after="20" w:line="240" w:lineRule="auto"/>
              <w:jc w:val="center"/>
              <w:keepNext/>
            </w:pPr>
            <w:r>
              <w:rPr>
                <w:sz w:val="18"/>
                <w:szCs w:val="18"/>
              </w:rPr>
              <w:t xml:space="preserve">(0.133)</w:t>
            </w:r>
          </w:p>
        </w:tc>
        <w:tc>
          <w:tcPr>
            <w:tcW w:type="dxa" w:w="1539"/>
          </w:tcPr>
          <w:p>
            <w:pPr>
              <w:pStyle w:val="Compact"/>
              <w:spacing w:before="20" w:after="20" w:line="240" w:lineRule="auto"/>
              <w:jc w:val="center"/>
              <w:keepNext/>
            </w:pPr>
            <w:r>
              <w:rPr>
                <w:sz w:val="18"/>
                <w:szCs w:val="18"/>
              </w:rPr>
              <w:t xml:space="preserve">0.073</w:t>
            </w:r>
          </w:p>
        </w:tc>
      </w:tr>
      <w:tr>
        <w:trPr>
          <w:cantSplit/>
        </w:trPr>
        <w:tc>
          <w:tcPr>
            <w:tcW w:type="dxa" w:w="3079"/>
          </w:tcPr>
          <w:p>
            <w:pPr>
              <w:pStyle w:val="Compact"/>
              <w:spacing w:before="20" w:after="20" w:line="240" w:lineRule="auto"/>
              <w:keepNext/>
            </w:pPr>
            <w:r>
              <w:rPr>
                <w:sz w:val="18"/>
                <w:szCs w:val="18"/>
              </w:rPr>
              <w:t xml:space="preserve">EPO(EP)</w:t>
            </w:r>
          </w:p>
        </w:tc>
        <w:tc>
          <w:tcPr>
            <w:tcW w:type="dxa" w:w="1679"/>
          </w:tcPr>
          <w:p>
            <w:pPr>
              <w:pStyle w:val="Compact"/>
              <w:spacing w:before="20" w:after="20" w:line="240" w:lineRule="auto"/>
              <w:jc w:val="center"/>
              <w:keepNext/>
            </w:pPr>
            <w:r>
              <w:rPr>
                <w:sz w:val="18"/>
                <w:szCs w:val="18"/>
              </w:rPr>
              <w:t xml:space="preserve">0.993</w:t>
            </w:r>
          </w:p>
        </w:tc>
        <w:tc>
          <w:tcPr>
            <w:tcW w:type="dxa" w:w="2771"/>
          </w:tcPr>
          <w:p>
            <w:pPr>
              <w:pStyle w:val="Compact"/>
              <w:spacing w:before="20" w:after="20" w:line="240" w:lineRule="auto"/>
              <w:jc w:val="center"/>
              <w:keepNext/>
            </w:pPr>
            <w:r>
              <w:rPr>
                <w:sz w:val="18"/>
                <w:szCs w:val="18"/>
              </w:rPr>
              <w:t xml:space="preserve">(0.080)</w:t>
            </w:r>
          </w:p>
        </w:tc>
        <w:tc>
          <w:tcPr>
            <w:tcW w:type="dxa" w:w="1539"/>
          </w:tcPr>
          <w:p>
            <w:pPr>
              <w:pStyle w:val="Compact"/>
              <w:spacing w:before="20" w:after="20" w:line="240" w:lineRule="auto"/>
              <w:jc w:val="center"/>
              <w:keepNext/>
            </w:pPr>
            <w:r>
              <w:rPr>
                <w:sz w:val="18"/>
                <w:szCs w:val="18"/>
              </w:rPr>
              <w:t xml:space="preserve">0.933</w:t>
            </w:r>
          </w:p>
        </w:tc>
      </w:tr>
      <w:tr>
        <w:trPr>
          <w:cantSplit/>
        </w:trPr>
        <w:tc>
          <w:tcPr>
            <w:tcW w:type="dxa" w:w="3079"/>
          </w:tcPr>
          <w:p>
            <w:pPr>
              <w:pStyle w:val="Compact"/>
              <w:spacing w:before="20" w:after="20" w:line="240" w:lineRule="auto"/>
              <w:keepNext/>
            </w:pPr>
            <w:r>
              <w:rPr>
                <w:sz w:val="18"/>
                <w:szCs w:val="18"/>
              </w:rPr>
              <w:t xml:space="preserve">PCT(WO)</w:t>
            </w:r>
          </w:p>
        </w:tc>
        <w:tc>
          <w:tcPr>
            <w:tcW w:type="dxa" w:w="1679"/>
          </w:tcPr>
          <w:p>
            <w:pPr>
              <w:pStyle w:val="Compact"/>
              <w:spacing w:before="20" w:after="20" w:line="240" w:lineRule="auto"/>
              <w:jc w:val="center"/>
              <w:keepNext/>
            </w:pPr>
            <w:r>
              <w:rPr>
                <w:sz w:val="18"/>
                <w:szCs w:val="18"/>
              </w:rPr>
              <w:t xml:space="preserve">0.826***</w:t>
            </w:r>
          </w:p>
        </w:tc>
        <w:tc>
          <w:tcPr>
            <w:tcW w:type="dxa" w:w="2771"/>
          </w:tcPr>
          <w:p>
            <w:pPr>
              <w:pStyle w:val="Compact"/>
              <w:spacing w:before="20" w:after="20" w:line="240" w:lineRule="auto"/>
              <w:jc w:val="center"/>
              <w:keepNext/>
            </w:pPr>
            <w:r>
              <w:rPr>
                <w:sz w:val="18"/>
                <w:szCs w:val="18"/>
              </w:rPr>
              <w:t xml:space="preserve">(0.073)</w:t>
            </w:r>
          </w:p>
        </w:tc>
        <w:tc>
          <w:tcPr>
            <w:tcW w:type="dxa" w:w="1539"/>
          </w:tcPr>
          <w:p>
            <w:pPr>
              <w:pStyle w:val="Compact"/>
              <w:spacing w:before="20" w:after="20" w:line="240" w:lineRule="auto"/>
              <w:jc w:val="center"/>
              <w:keepNext/>
            </w:pPr>
            <w:r>
              <w:rPr>
                <w:sz w:val="18"/>
                <w:szCs w:val="18"/>
              </w:rPr>
              <w:t xml:space="preserve">0.009</w:t>
            </w:r>
          </w:p>
        </w:tc>
      </w:tr>
      <w:tr>
        <w:trPr>
          <w:cantSplit/>
        </w:trPr>
        <w:tc>
          <w:tcPr>
            <w:tcW w:type="dxa" w:w="3079"/>
          </w:tcPr>
          <w:p>
            <w:pPr>
              <w:pStyle w:val="Compact"/>
              <w:spacing w:before="20" w:after="20" w:line="240" w:lineRule="auto"/>
              <w:keepNext/>
            </w:pPr>
            <w:r>
              <w:rPr>
                <w:sz w:val="18"/>
                <w:szCs w:val="18"/>
              </w:rPr>
              <w:t xml:space="preserve">기타</w:t>
            </w:r>
          </w:p>
        </w:tc>
        <w:tc>
          <w:tcPr>
            <w:tcW w:type="dxa" w:w="1679"/>
          </w:tcPr>
          <w:p>
            <w:pPr>
              <w:pStyle w:val="Compact"/>
              <w:spacing w:before="20" w:after="20" w:line="240" w:lineRule="auto"/>
              <w:jc w:val="center"/>
              <w:keepNext/>
            </w:pPr>
            <w:r>
              <w:rPr>
                <w:sz w:val="18"/>
                <w:szCs w:val="18"/>
              </w:rPr>
              <w:t xml:space="preserve">1.057</w:t>
            </w:r>
          </w:p>
        </w:tc>
        <w:tc>
          <w:tcPr>
            <w:tcW w:type="dxa" w:w="2771"/>
          </w:tcPr>
          <w:p>
            <w:pPr>
              <w:pStyle w:val="Compact"/>
              <w:spacing w:before="20" w:after="20" w:line="240" w:lineRule="auto"/>
              <w:jc w:val="center"/>
              <w:keepNext/>
            </w:pPr>
            <w:r>
              <w:rPr>
                <w:sz w:val="18"/>
                <w:szCs w:val="18"/>
              </w:rPr>
              <w:t xml:space="preserve">(0.171)</w:t>
            </w:r>
          </w:p>
        </w:tc>
        <w:tc>
          <w:tcPr>
            <w:tcW w:type="dxa" w:w="1539"/>
          </w:tcPr>
          <w:p>
            <w:pPr>
              <w:pStyle w:val="Compact"/>
              <w:spacing w:before="20" w:after="20" w:line="240" w:lineRule="auto"/>
              <w:jc w:val="center"/>
              <w:keepNext/>
            </w:pPr>
            <w:r>
              <w:rPr>
                <w:sz w:val="18"/>
                <w:szCs w:val="18"/>
              </w:rPr>
              <w:t xml:space="preserve">0.745</w:t>
            </w:r>
          </w:p>
        </w:tc>
      </w:tr>
    </w:tbl>
    <w:p>
      <w:pPr>
        <w:pStyle w:val="BodyText"/>
        <w:keepNext/>
      </w:pPr>
      <w:r>
        <w:drawing>
          <wp:inline>
            <wp:extent cx="5334000" cy="3048000"/>
            <wp:effectExtent b="0" l="0" r="0" t="0"/>
            <wp:docPr descr="" title="" id="30" name="Picture"/>
            <a:graphic>
              <a:graphicData uri="http://schemas.openxmlformats.org/drawingml/2006/picture">
                <pic:pic>
                  <pic:nvPicPr>
                    <pic:cNvPr descr="figures/fig4_predicted_breadth_ko.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출원청별 예측 기술범위(음이항; 출원연도는 표본 평균에 고정; 델타법 95% 신뢰구간; 출원청별 N은 표 4. 일본과 기타는 표본이 작아 구간이 넓다).</w:t>
      </w:r>
    </w:p>
    <w:bookmarkEnd w:id="32"/>
    <w:bookmarkStart w:id="33" w:name="제조공정-분류-여부"/>
    <w:p>
      <w:pPr>
        <w:pStyle w:val="Heading3"/>
      </w:pPr>
      <w:r>
        <w:t xml:space="preserve">5.2 제조공정 분류 여부</w:t>
      </w:r>
    </w:p>
    <w:p>
      <w:pPr>
        <w:pStyle w:val="FirstParagraph"/>
      </w:pPr>
      <w:r>
        <w:t xml:space="preserve">표 6은 출원이 제조공정 기호(H01L21)를 가지는지에 대한 이항 로짓이다. 기술범위가 가장 강한 관련 변수다. 세부 분류가 하나 늘 때마다 제조공정 기호를 가질 승산이 약 27% 높아진다(OR 1.267, p &lt; 0.01). 출원연도의 승산비는 1보다 작아(연간 OR 0.946, p &lt; 0.01), 최근 출원일수록 제조공정 기호를 가질 승산이 낮다. 출원청 가운데는 중국만 미국과 유의하게 달라서, 제조공정 기호를 가질 승산이 65% 높다(OR 1.650, p &lt; 0.05). 모형의 판별력을 나타내는 ROC 곡선 하면적은 0.707로, Hosmer et al.(2013)의 기준에서 받아들일 만한 수준의 하한에 해당한다. 이 모형은 제조공정 기호의 유무만을 묻는다. 경계를 넘는 통합형과 제조공정 기호만 있는 공정 단독형을 가르는 것은 다음 절의 다항 로짓이다.</w:t>
      </w:r>
    </w:p>
    <w:p>
      <w:pPr>
        <w:pStyle w:val="BodyText"/>
        <w:keepNext/>
      </w:pPr>
      <w:r>
        <w:rPr>
          <w:b/>
          <w:bCs/>
        </w:rPr>
        <w:t xml:space="preserve">표 6.</w:t>
      </w:r>
      <w:r>
        <w:t xml:space="preserve"> </w:t>
      </w:r>
      <w:r>
        <w:t xml:space="preserve">제조공정 분류 여부의 이항 로짓(종속변수 has_process; N = 928; 출원청 기준 = 미국; 로그우도 −547.6; 우도비 χ²(9) = 122.0, p &lt; 0.001; McFadden 의사 R² = 0.100; AIC 1,115.1; AUC 0.707; 괄호 안은 로그 계수의 표준오차; * p &lt; 0.10, ** p &lt; 0.05, *** p &lt; 0.01).</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079"/>
        <w:gridCol w:w="1679"/>
        <w:gridCol w:w="2771"/>
        <w:gridCol w:w="1539"/>
      </w:tblGrid>
      <w:tr>
        <w:trPr>
          <w:tblHeader w:val="on"/>
          <w:cantSplit/>
        </w:trPr>
        <w:tc>
          <w:tcPr>
            <w:tcW w:type="dxa" w:w="3079"/>
            <w:tcBorders>
              <w:bottom w:val="single" w:sz="4" w:space="0" w:color="000000"/>
            </w:tcBorders>
          </w:tcPr>
          <w:p>
            <w:pPr>
              <w:pStyle w:val="Compact"/>
              <w:spacing w:before="20" w:after="20" w:line="240" w:lineRule="auto"/>
              <w:keepNext/>
            </w:pPr>
          </w:p>
        </w:tc>
        <w:tc>
          <w:tcPr>
            <w:tcW w:type="dxa" w:w="16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771"/>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539"/>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079"/>
          </w:tcPr>
          <w:p>
            <w:pPr>
              <w:pStyle w:val="Compact"/>
              <w:spacing w:before="20" w:after="20" w:line="240" w:lineRule="auto"/>
              <w:keepNext/>
            </w:pPr>
            <w:r>
              <w:rPr>
                <w:sz w:val="18"/>
                <w:szCs w:val="18"/>
              </w:rPr>
              <w:t xml:space="preserve">출원연도(yc)</w:t>
            </w:r>
          </w:p>
        </w:tc>
        <w:tc>
          <w:tcPr>
            <w:tcW w:type="dxa" w:w="1679"/>
          </w:tcPr>
          <w:p>
            <w:pPr>
              <w:pStyle w:val="Compact"/>
              <w:spacing w:before="20" w:after="20" w:line="240" w:lineRule="auto"/>
              <w:jc w:val="center"/>
              <w:keepNext/>
            </w:pPr>
            <w:r>
              <w:rPr>
                <w:sz w:val="18"/>
                <w:szCs w:val="18"/>
              </w:rPr>
              <w:t xml:space="preserve">0.946***</w:t>
            </w:r>
          </w:p>
        </w:tc>
        <w:tc>
          <w:tcPr>
            <w:tcW w:type="dxa" w:w="2771"/>
          </w:tcPr>
          <w:p>
            <w:pPr>
              <w:pStyle w:val="Compact"/>
              <w:spacing w:before="20" w:after="20" w:line="240" w:lineRule="auto"/>
              <w:jc w:val="center"/>
              <w:keepNext/>
            </w:pPr>
            <w:r>
              <w:rPr>
                <w:sz w:val="18"/>
                <w:szCs w:val="18"/>
              </w:rPr>
              <w:t xml:space="preserve">(0.011)</w:t>
            </w:r>
          </w:p>
        </w:tc>
        <w:tc>
          <w:tcPr>
            <w:tcW w:type="dxa" w:w="1539"/>
          </w:tcPr>
          <w:p>
            <w:pPr>
              <w:pStyle w:val="Compact"/>
              <w:spacing w:before="20" w:after="20" w:line="240" w:lineRule="auto"/>
              <w:jc w:val="center"/>
              <w:keepNext/>
            </w:pPr>
            <w:r>
              <w:rPr>
                <w:sz w:val="18"/>
                <w:szCs w:val="18"/>
              </w:rPr>
              <w:t xml:space="preserve">&lt;0.001</w:t>
            </w:r>
          </w:p>
        </w:tc>
      </w:tr>
      <w:tr>
        <w:trPr>
          <w:cantSplit/>
        </w:trPr>
        <w:tc>
          <w:tcPr>
            <w:tcW w:type="dxa" w:w="3079"/>
          </w:tcPr>
          <w:p>
            <w:pPr>
              <w:pStyle w:val="Compact"/>
              <w:spacing w:before="20" w:after="20" w:line="240" w:lineRule="auto"/>
              <w:keepNext/>
            </w:pPr>
            <w:r>
              <w:rPr>
                <w:sz w:val="18"/>
                <w:szCs w:val="18"/>
              </w:rPr>
              <w:t xml:space="preserve">기술범위</w:t>
            </w:r>
          </w:p>
        </w:tc>
        <w:tc>
          <w:tcPr>
            <w:tcW w:type="dxa" w:w="1679"/>
          </w:tcPr>
          <w:p>
            <w:pPr>
              <w:pStyle w:val="Compact"/>
              <w:spacing w:before="20" w:after="20" w:line="240" w:lineRule="auto"/>
              <w:jc w:val="center"/>
              <w:keepNext/>
            </w:pPr>
            <w:r>
              <w:rPr>
                <w:sz w:val="18"/>
                <w:szCs w:val="18"/>
              </w:rPr>
              <w:t xml:space="preserve">1.267***</w:t>
            </w:r>
          </w:p>
        </w:tc>
        <w:tc>
          <w:tcPr>
            <w:tcW w:type="dxa" w:w="2771"/>
          </w:tcPr>
          <w:p>
            <w:pPr>
              <w:pStyle w:val="Compact"/>
              <w:spacing w:before="20" w:after="20" w:line="240" w:lineRule="auto"/>
              <w:jc w:val="center"/>
              <w:keepNext/>
            </w:pPr>
            <w:r>
              <w:rPr>
                <w:sz w:val="18"/>
                <w:szCs w:val="18"/>
              </w:rPr>
              <w:t xml:space="preserve">(0.027)</w:t>
            </w:r>
          </w:p>
        </w:tc>
        <w:tc>
          <w:tcPr>
            <w:tcW w:type="dxa" w:w="1539"/>
          </w:tcPr>
          <w:p>
            <w:pPr>
              <w:pStyle w:val="Compact"/>
              <w:spacing w:before="20" w:after="20" w:line="240" w:lineRule="auto"/>
              <w:jc w:val="center"/>
              <w:keepNext/>
            </w:pPr>
            <w:r>
              <w:rPr>
                <w:sz w:val="18"/>
                <w:szCs w:val="18"/>
              </w:rPr>
              <w:t xml:space="preserve">&lt;0.001</w:t>
            </w:r>
          </w:p>
        </w:tc>
      </w:tr>
      <w:tr>
        <w:trPr>
          <w:cantSplit/>
        </w:trPr>
        <w:tc>
          <w:tcPr>
            <w:tcW w:type="dxa" w:w="3079"/>
          </w:tcPr>
          <w:p>
            <w:pPr>
              <w:pStyle w:val="Compact"/>
              <w:spacing w:before="20" w:after="20" w:line="240" w:lineRule="auto"/>
              <w:keepNext/>
            </w:pPr>
            <w:r>
              <w:rPr>
                <w:sz w:val="18"/>
                <w:szCs w:val="18"/>
              </w:rPr>
              <w:t xml:space="preserve">중국(CN)</w:t>
            </w:r>
          </w:p>
        </w:tc>
        <w:tc>
          <w:tcPr>
            <w:tcW w:type="dxa" w:w="1679"/>
          </w:tcPr>
          <w:p>
            <w:pPr>
              <w:pStyle w:val="Compact"/>
              <w:spacing w:before="20" w:after="20" w:line="240" w:lineRule="auto"/>
              <w:jc w:val="center"/>
              <w:keepNext/>
            </w:pPr>
            <w:r>
              <w:rPr>
                <w:sz w:val="18"/>
                <w:szCs w:val="18"/>
              </w:rPr>
              <w:t xml:space="preserve">1.650**</w:t>
            </w:r>
          </w:p>
        </w:tc>
        <w:tc>
          <w:tcPr>
            <w:tcW w:type="dxa" w:w="2771"/>
          </w:tcPr>
          <w:p>
            <w:pPr>
              <w:pStyle w:val="Compact"/>
              <w:spacing w:before="20" w:after="20" w:line="240" w:lineRule="auto"/>
              <w:jc w:val="center"/>
              <w:keepNext/>
            </w:pPr>
            <w:r>
              <w:rPr>
                <w:sz w:val="18"/>
                <w:szCs w:val="18"/>
              </w:rPr>
              <w:t xml:space="preserve">(0.205)</w:t>
            </w:r>
          </w:p>
        </w:tc>
        <w:tc>
          <w:tcPr>
            <w:tcW w:type="dxa" w:w="1539"/>
          </w:tcPr>
          <w:p>
            <w:pPr>
              <w:pStyle w:val="Compact"/>
              <w:spacing w:before="20" w:after="20" w:line="240" w:lineRule="auto"/>
              <w:jc w:val="center"/>
              <w:keepNext/>
            </w:pPr>
            <w:r>
              <w:rPr>
                <w:sz w:val="18"/>
                <w:szCs w:val="18"/>
              </w:rPr>
              <w:t xml:space="preserve">0.015</w:t>
            </w:r>
          </w:p>
        </w:tc>
      </w:tr>
      <w:tr>
        <w:trPr>
          <w:cantSplit/>
        </w:trPr>
        <w:tc>
          <w:tcPr>
            <w:tcW w:type="dxa" w:w="3079"/>
          </w:tcPr>
          <w:p>
            <w:pPr>
              <w:pStyle w:val="Compact"/>
              <w:spacing w:before="20" w:after="20" w:line="240" w:lineRule="auto"/>
              <w:keepNext/>
            </w:pPr>
            <w:r>
              <w:rPr>
                <w:sz w:val="18"/>
                <w:szCs w:val="18"/>
              </w:rPr>
              <w:t xml:space="preserve">한국(KR)</w:t>
            </w:r>
          </w:p>
        </w:tc>
        <w:tc>
          <w:tcPr>
            <w:tcW w:type="dxa" w:w="1679"/>
          </w:tcPr>
          <w:p>
            <w:pPr>
              <w:pStyle w:val="Compact"/>
              <w:spacing w:before="20" w:after="20" w:line="240" w:lineRule="auto"/>
              <w:jc w:val="center"/>
              <w:keepNext/>
            </w:pPr>
            <w:r>
              <w:rPr>
                <w:sz w:val="18"/>
                <w:szCs w:val="18"/>
              </w:rPr>
              <w:t xml:space="preserve">1.430</w:t>
            </w:r>
          </w:p>
        </w:tc>
        <w:tc>
          <w:tcPr>
            <w:tcW w:type="dxa" w:w="2771"/>
          </w:tcPr>
          <w:p>
            <w:pPr>
              <w:pStyle w:val="Compact"/>
              <w:spacing w:before="20" w:after="20" w:line="240" w:lineRule="auto"/>
              <w:jc w:val="center"/>
              <w:keepNext/>
            </w:pPr>
            <w:r>
              <w:rPr>
                <w:sz w:val="18"/>
                <w:szCs w:val="18"/>
              </w:rPr>
              <w:t xml:space="preserve">(0.327)</w:t>
            </w:r>
          </w:p>
        </w:tc>
        <w:tc>
          <w:tcPr>
            <w:tcW w:type="dxa" w:w="1539"/>
          </w:tcPr>
          <w:p>
            <w:pPr>
              <w:pStyle w:val="Compact"/>
              <w:spacing w:before="20" w:after="20" w:line="240" w:lineRule="auto"/>
              <w:jc w:val="center"/>
              <w:keepNext/>
            </w:pPr>
            <w:r>
              <w:rPr>
                <w:sz w:val="18"/>
                <w:szCs w:val="18"/>
              </w:rPr>
              <w:t xml:space="preserve">0.274</w:t>
            </w:r>
          </w:p>
        </w:tc>
      </w:tr>
      <w:tr>
        <w:trPr>
          <w:cantSplit/>
        </w:trPr>
        <w:tc>
          <w:tcPr>
            <w:tcW w:type="dxa" w:w="3079"/>
          </w:tcPr>
          <w:p>
            <w:pPr>
              <w:pStyle w:val="Compact"/>
              <w:spacing w:before="20" w:after="20" w:line="240" w:lineRule="auto"/>
              <w:keepNext/>
            </w:pPr>
            <w:r>
              <w:rPr>
                <w:sz w:val="18"/>
                <w:szCs w:val="18"/>
              </w:rPr>
              <w:t xml:space="preserve">대만(TW)</w:t>
            </w:r>
          </w:p>
        </w:tc>
        <w:tc>
          <w:tcPr>
            <w:tcW w:type="dxa" w:w="1679"/>
          </w:tcPr>
          <w:p>
            <w:pPr>
              <w:pStyle w:val="Compact"/>
              <w:spacing w:before="20" w:after="20" w:line="240" w:lineRule="auto"/>
              <w:jc w:val="center"/>
              <w:keepNext/>
            </w:pPr>
            <w:r>
              <w:rPr>
                <w:sz w:val="18"/>
                <w:szCs w:val="18"/>
              </w:rPr>
              <w:t xml:space="preserve">1.555</w:t>
            </w:r>
          </w:p>
        </w:tc>
        <w:tc>
          <w:tcPr>
            <w:tcW w:type="dxa" w:w="2771"/>
          </w:tcPr>
          <w:p>
            <w:pPr>
              <w:pStyle w:val="Compact"/>
              <w:spacing w:before="20" w:after="20" w:line="240" w:lineRule="auto"/>
              <w:jc w:val="center"/>
              <w:keepNext/>
            </w:pPr>
            <w:r>
              <w:rPr>
                <w:sz w:val="18"/>
                <w:szCs w:val="18"/>
              </w:rPr>
              <w:t xml:space="preserve">(0.290)</w:t>
            </w:r>
          </w:p>
        </w:tc>
        <w:tc>
          <w:tcPr>
            <w:tcW w:type="dxa" w:w="1539"/>
          </w:tcPr>
          <w:p>
            <w:pPr>
              <w:pStyle w:val="Compact"/>
              <w:spacing w:before="20" w:after="20" w:line="240" w:lineRule="auto"/>
              <w:jc w:val="center"/>
              <w:keepNext/>
            </w:pPr>
            <w:r>
              <w:rPr>
                <w:sz w:val="18"/>
                <w:szCs w:val="18"/>
              </w:rPr>
              <w:t xml:space="preserve">0.128</w:t>
            </w:r>
          </w:p>
        </w:tc>
      </w:tr>
      <w:tr>
        <w:trPr>
          <w:cantSplit/>
        </w:trPr>
        <w:tc>
          <w:tcPr>
            <w:tcW w:type="dxa" w:w="3079"/>
          </w:tcPr>
          <w:p>
            <w:pPr>
              <w:pStyle w:val="Compact"/>
              <w:spacing w:before="20" w:after="20" w:line="240" w:lineRule="auto"/>
              <w:keepNext/>
            </w:pPr>
            <w:r>
              <w:rPr>
                <w:sz w:val="18"/>
                <w:szCs w:val="18"/>
              </w:rPr>
              <w:t xml:space="preserve">일본(JP)</w:t>
            </w:r>
          </w:p>
        </w:tc>
        <w:tc>
          <w:tcPr>
            <w:tcW w:type="dxa" w:w="1679"/>
          </w:tcPr>
          <w:p>
            <w:pPr>
              <w:pStyle w:val="Compact"/>
              <w:spacing w:before="20" w:after="20" w:line="240" w:lineRule="auto"/>
              <w:jc w:val="center"/>
              <w:keepNext/>
            </w:pPr>
            <w:r>
              <w:rPr>
                <w:sz w:val="18"/>
                <w:szCs w:val="18"/>
              </w:rPr>
              <w:t xml:space="preserve">0.483</w:t>
            </w:r>
          </w:p>
        </w:tc>
        <w:tc>
          <w:tcPr>
            <w:tcW w:type="dxa" w:w="2771"/>
          </w:tcPr>
          <w:p>
            <w:pPr>
              <w:pStyle w:val="Compact"/>
              <w:spacing w:before="20" w:after="20" w:line="240" w:lineRule="auto"/>
              <w:jc w:val="center"/>
              <w:keepNext/>
            </w:pPr>
            <w:r>
              <w:rPr>
                <w:sz w:val="18"/>
                <w:szCs w:val="18"/>
              </w:rPr>
              <w:t xml:space="preserve">(0.482)</w:t>
            </w:r>
          </w:p>
        </w:tc>
        <w:tc>
          <w:tcPr>
            <w:tcW w:type="dxa" w:w="1539"/>
          </w:tcPr>
          <w:p>
            <w:pPr>
              <w:pStyle w:val="Compact"/>
              <w:spacing w:before="20" w:after="20" w:line="240" w:lineRule="auto"/>
              <w:jc w:val="center"/>
              <w:keepNext/>
            </w:pPr>
            <w:r>
              <w:rPr>
                <w:sz w:val="18"/>
                <w:szCs w:val="18"/>
              </w:rPr>
              <w:t xml:space="preserve">0.131</w:t>
            </w:r>
          </w:p>
        </w:tc>
      </w:tr>
      <w:tr>
        <w:trPr>
          <w:cantSplit/>
        </w:trPr>
        <w:tc>
          <w:tcPr>
            <w:tcW w:type="dxa" w:w="3079"/>
          </w:tcPr>
          <w:p>
            <w:pPr>
              <w:pStyle w:val="Compact"/>
              <w:spacing w:before="20" w:after="20" w:line="240" w:lineRule="auto"/>
              <w:keepNext/>
            </w:pPr>
            <w:r>
              <w:rPr>
                <w:sz w:val="18"/>
                <w:szCs w:val="18"/>
              </w:rPr>
              <w:t xml:space="preserve">EPO(EP)</w:t>
            </w:r>
          </w:p>
        </w:tc>
        <w:tc>
          <w:tcPr>
            <w:tcW w:type="dxa" w:w="1679"/>
          </w:tcPr>
          <w:p>
            <w:pPr>
              <w:pStyle w:val="Compact"/>
              <w:spacing w:before="20" w:after="20" w:line="240" w:lineRule="auto"/>
              <w:jc w:val="center"/>
              <w:keepNext/>
            </w:pPr>
            <w:r>
              <w:rPr>
                <w:sz w:val="18"/>
                <w:szCs w:val="18"/>
              </w:rPr>
              <w:t xml:space="preserve">1.170</w:t>
            </w:r>
          </w:p>
        </w:tc>
        <w:tc>
          <w:tcPr>
            <w:tcW w:type="dxa" w:w="2771"/>
          </w:tcPr>
          <w:p>
            <w:pPr>
              <w:pStyle w:val="Compact"/>
              <w:spacing w:before="20" w:after="20" w:line="240" w:lineRule="auto"/>
              <w:jc w:val="center"/>
              <w:keepNext/>
            </w:pPr>
            <w:r>
              <w:rPr>
                <w:sz w:val="18"/>
                <w:szCs w:val="18"/>
              </w:rPr>
              <w:t xml:space="preserve">(0.267)</w:t>
            </w:r>
          </w:p>
        </w:tc>
        <w:tc>
          <w:tcPr>
            <w:tcW w:type="dxa" w:w="1539"/>
          </w:tcPr>
          <w:p>
            <w:pPr>
              <w:pStyle w:val="Compact"/>
              <w:spacing w:before="20" w:after="20" w:line="240" w:lineRule="auto"/>
              <w:jc w:val="center"/>
              <w:keepNext/>
            </w:pPr>
            <w:r>
              <w:rPr>
                <w:sz w:val="18"/>
                <w:szCs w:val="18"/>
              </w:rPr>
              <w:t xml:space="preserve">0.555</w:t>
            </w:r>
          </w:p>
        </w:tc>
      </w:tr>
      <w:tr>
        <w:trPr>
          <w:cantSplit/>
        </w:trPr>
        <w:tc>
          <w:tcPr>
            <w:tcW w:type="dxa" w:w="3079"/>
          </w:tcPr>
          <w:p>
            <w:pPr>
              <w:pStyle w:val="Compact"/>
              <w:spacing w:before="20" w:after="20" w:line="240" w:lineRule="auto"/>
              <w:keepNext/>
            </w:pPr>
            <w:r>
              <w:rPr>
                <w:sz w:val="18"/>
                <w:szCs w:val="18"/>
              </w:rPr>
              <w:t xml:space="preserve">PCT(WO)</w:t>
            </w:r>
          </w:p>
        </w:tc>
        <w:tc>
          <w:tcPr>
            <w:tcW w:type="dxa" w:w="1679"/>
          </w:tcPr>
          <w:p>
            <w:pPr>
              <w:pStyle w:val="Compact"/>
              <w:spacing w:before="20" w:after="20" w:line="240" w:lineRule="auto"/>
              <w:jc w:val="center"/>
              <w:keepNext/>
            </w:pPr>
            <w:r>
              <w:rPr>
                <w:sz w:val="18"/>
                <w:szCs w:val="18"/>
              </w:rPr>
              <w:t xml:space="preserve">1.398</w:t>
            </w:r>
          </w:p>
        </w:tc>
        <w:tc>
          <w:tcPr>
            <w:tcW w:type="dxa" w:w="2771"/>
          </w:tcPr>
          <w:p>
            <w:pPr>
              <w:pStyle w:val="Compact"/>
              <w:spacing w:before="20" w:after="20" w:line="240" w:lineRule="auto"/>
              <w:jc w:val="center"/>
              <w:keepNext/>
            </w:pPr>
            <w:r>
              <w:rPr>
                <w:sz w:val="18"/>
                <w:szCs w:val="18"/>
              </w:rPr>
              <w:t xml:space="preserve">(0.235)</w:t>
            </w:r>
          </w:p>
        </w:tc>
        <w:tc>
          <w:tcPr>
            <w:tcW w:type="dxa" w:w="1539"/>
          </w:tcPr>
          <w:p>
            <w:pPr>
              <w:pStyle w:val="Compact"/>
              <w:spacing w:before="20" w:after="20" w:line="240" w:lineRule="auto"/>
              <w:jc w:val="center"/>
              <w:keepNext/>
            </w:pPr>
            <w:r>
              <w:rPr>
                <w:sz w:val="18"/>
                <w:szCs w:val="18"/>
              </w:rPr>
              <w:t xml:space="preserve">0.155</w:t>
            </w:r>
          </w:p>
        </w:tc>
      </w:tr>
      <w:tr>
        <w:trPr>
          <w:cantSplit/>
        </w:trPr>
        <w:tc>
          <w:tcPr>
            <w:tcW w:type="dxa" w:w="3079"/>
          </w:tcPr>
          <w:p>
            <w:pPr>
              <w:pStyle w:val="Compact"/>
              <w:spacing w:before="20" w:after="20" w:line="240" w:lineRule="auto"/>
              <w:keepNext/>
            </w:pPr>
            <w:r>
              <w:rPr>
                <w:sz w:val="18"/>
                <w:szCs w:val="18"/>
              </w:rPr>
              <w:t xml:space="preserve">기타</w:t>
            </w:r>
          </w:p>
        </w:tc>
        <w:tc>
          <w:tcPr>
            <w:tcW w:type="dxa" w:w="1679"/>
          </w:tcPr>
          <w:p>
            <w:pPr>
              <w:pStyle w:val="Compact"/>
              <w:spacing w:before="20" w:after="20" w:line="240" w:lineRule="auto"/>
              <w:jc w:val="center"/>
              <w:keepNext/>
            </w:pPr>
            <w:r>
              <w:rPr>
                <w:sz w:val="18"/>
                <w:szCs w:val="18"/>
              </w:rPr>
              <w:t xml:space="preserve">2.132</w:t>
            </w:r>
          </w:p>
        </w:tc>
        <w:tc>
          <w:tcPr>
            <w:tcW w:type="dxa" w:w="2771"/>
          </w:tcPr>
          <w:p>
            <w:pPr>
              <w:pStyle w:val="Compact"/>
              <w:spacing w:before="20" w:after="20" w:line="240" w:lineRule="auto"/>
              <w:jc w:val="center"/>
              <w:keepNext/>
            </w:pPr>
            <w:r>
              <w:rPr>
                <w:sz w:val="18"/>
                <w:szCs w:val="18"/>
              </w:rPr>
              <w:t xml:space="preserve">(0.613)</w:t>
            </w:r>
          </w:p>
        </w:tc>
        <w:tc>
          <w:tcPr>
            <w:tcW w:type="dxa" w:w="1539"/>
          </w:tcPr>
          <w:p>
            <w:pPr>
              <w:pStyle w:val="Compact"/>
              <w:spacing w:before="20" w:after="20" w:line="240" w:lineRule="auto"/>
              <w:jc w:val="center"/>
              <w:keepNext/>
            </w:pPr>
            <w:r>
              <w:rPr>
                <w:sz w:val="18"/>
                <w:szCs w:val="18"/>
              </w:rPr>
              <w:t xml:space="preserve">0.217</w:t>
            </w:r>
          </w:p>
        </w:tc>
      </w:tr>
    </w:tbl>
    <w:bookmarkEnd w:id="33"/>
    <w:bookmarkStart w:id="43" w:name="공동분류-유형"/>
    <w:p>
      <w:pPr>
        <w:pStyle w:val="Heading3"/>
      </w:pPr>
      <w:r>
        <w:t xml:space="preserve">5.3 공동분류 유형</w:t>
      </w:r>
    </w:p>
    <w:p>
      <w:pPr>
        <w:pStyle w:val="FirstParagraph"/>
      </w:pPr>
      <w:r>
        <w:t xml:space="preserve">표 7은 조립 단독형을 기준으로 통합형과 공정 단독형의 상대위험비를 보고하는 다항 로짓이다. 이것이 경계 넘기에 대한 본 검정이다. 그림 4는 이 모형에서 기술범위와 출원연도를 바꾸었을 때 세 유형의 예측확률을 보여준다(다른 변수는 각 출원의 관측값에 둔 채 평균).</w:t>
      </w:r>
    </w:p>
    <w:p>
      <w:pPr>
        <w:pStyle w:val="BodyText"/>
      </w:pPr>
      <w:r>
        <w:rPr>
          <w:b/>
          <w:bCs/>
        </w:rPr>
        <w:t xml:space="preserve">기술적 다양성(H1).</w:t>
      </w:r>
      <w:r>
        <w:t xml:space="preserve"> </w:t>
      </w:r>
      <w:r>
        <w:t xml:space="preserve">세부 분류가 하나 늘 때마다 조립 단독형 대비 통합형일 상대위험은 40% 높아지고(RRR 1.403, p &lt; 0.01), 공정 단독형일 상대위험은 10% 낮아진다(RRR 0.905, p &lt; 0.05). 크기로 보면 기술범위가 3인 출원은 통합형으로 예측될 확률이 0.26, 조립 단독형 0.50, 공정 단독형 0.24이지만, 기술범위가 8인 출원은 통합형 0.68, 조립 단독형 0.24, 공정 단독형 0.08이다(그림 4 왼쪽). 넓은 출원은 두 영역에 걸치고, 좁은 출원은 한 영역에 머문다. 다만 유형과 기술범위가 같은 CPC 정보에서 만들어지므로, 이를 독립적인 인과적 결정요인으로 해석하지 않는다. H1은 통합형 특허가 선택된 CPC 영역 안에서 더 다양한 세부 기술을 포함한다는 구성적 특징으로서 지지된다.</w:t>
      </w:r>
    </w:p>
    <w:p>
      <w:pPr>
        <w:pStyle w:val="BodyText"/>
      </w:pPr>
      <w:r>
        <w:rPr>
          <w:b/>
          <w:bCs/>
        </w:rPr>
        <w:t xml:space="preserve">시간 변화(H2).</w:t>
      </w:r>
      <w:r>
        <w:t xml:space="preserve"> </w:t>
      </w:r>
      <w:r>
        <w:t xml:space="preserve">공정 단독형의 상대위험은 해마다 약 8.7%씩 떨어지는 반면(RRR 0.913, p &lt; 0.01), 통합형의 상대위험은 전 기간의 선형 추세로는 변하지 않는다(RRR 0.993, 비유의). 2010년 출원의 공정 단독형 예측확률은 0.27이지만 2022년 출원은 0.12이며, 같은 기간 조립 단독형은 0.31에서 0.40으로 늘고 통합형은 0.43에서 0.47로 거의 변하지 않는다(그림 4 오른쪽). 표 6에서 본 제조공정 분류의 감소는 주로 공정 단독형의 감소에서 온 것이다. H2는 지지된다.</w:t>
      </w:r>
    </w:p>
    <w:p>
      <w:pPr>
        <w:pStyle w:val="BodyText"/>
        <w:keepNext/>
      </w:pPr>
      <w:r>
        <w:drawing>
          <wp:inline>
            <wp:extent cx="5334000" cy="2133599"/>
            <wp:effectExtent b="0" l="0" r="0" t="0"/>
            <wp:docPr descr="" title="" id="35" name="Picture"/>
            <a:graphic>
              <a:graphicData uri="http://schemas.openxmlformats.org/drawingml/2006/picture">
                <pic:pic>
                  <pic:nvPicPr>
                    <pic:cNvPr descr="figures/fig_pred_types_ko.png" id="36" name="Picture"/>
                    <pic:cNvPicPr>
                      <a:picLocks noChangeArrowheads="1" noChangeAspect="1"/>
                    </pic:cNvPicPr>
                  </pic:nvPicPr>
                  <pic:blipFill>
                    <a:blip r:embed="rId34"/>
                    <a:stretch>
                      <a:fillRect/>
                    </a:stretch>
                  </pic:blipFill>
                  <pic:spPr bwMode="auto">
                    <a:xfrm>
                      <a:off x="0" y="0"/>
                      <a:ext cx="5334000" cy="2133599"/>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기술범위(왼쪽)와 출원연도(오른쪽)에 따른 공동분류 유형별 예측확률(다항 로짓; 다른 변수는 각 출원의 관측값에 둔 채 평균).</w:t>
      </w:r>
    </w:p>
    <w:p>
      <w:pPr>
        <w:pStyle w:val="BodyText"/>
      </w:pPr>
      <w:r>
        <w:rPr>
          <w:b/>
          <w:bCs/>
        </w:rPr>
        <w:t xml:space="preserve">출원청(H3b).</w:t>
      </w:r>
      <w:r>
        <w:t xml:space="preserve"> </w:t>
      </w:r>
      <w:r>
        <w:t xml:space="preserve">중국 출원청 출원은 미국 출원청 출원보다 공정 단독형일 상대위험이 2.7배 높다(RRR 2.687, p &lt; 0.01). PCT 경로(RRR 1.997, p &lt; 0.05)도 높고, 대만은 10% 수준의 약한 증거만 있다(RRR 2.102, p = 0.07). 일본 출원청의 계수(RRR 0.086)는 26건에 기반하고 표본 기간에 따라 크게 달라지므로 해석하지 않는다(부록 B). 반면 통합형 방정식에서는 어느 출원청 계수도 유의하지 않다. 범위와 출원 시점을 통제하면 경계를 넘는 특허의 비중 자체는 출원청 사이에 다르지 않다. 관할권의 차이는 한 영역에 머무는 특허, 특히 공정 단독형에서 나타난다. 그림 5는 각 출원청에 출원되었을 때 공정 단독형으로 예측되는 평균 확률이다. 중국 출원청은 4건 중 1건(0.255), 미국 출원청은 7건 중 1건(0.143) 꼴이다. H3b는 기준 모형에서 지지되지만, 2023–2024년 출원을 제외하면 유의성을 잃으므로(제5.4절) 최근 출원 구성에 민감한 제한적 증거로 본다.</w:t>
      </w:r>
    </w:p>
    <w:p>
      <w:pPr>
        <w:pStyle w:val="BodyText"/>
        <w:keepNext/>
      </w:pPr>
      <w:r>
        <w:rPr>
          <w:b/>
          <w:bCs/>
        </w:rPr>
        <w:t xml:space="preserve">표 7.</w:t>
      </w:r>
      <w:r>
        <w:t xml:space="preserve"> </w:t>
      </w:r>
      <w:r>
        <w:t xml:space="preserve">공동분류 유형의 다항 로짓(기준 범주 = 조립 단독형; N = 928; 출원청 기준 = 미국; 로그우도 −774.5; 우도비 χ²(18) = 367.4, p &lt; 0.001; McFadden 의사 R² = 0.192; AIC 1,589.0; 괄호 안은 로그 계수의 표준오차; * p &lt; 0.10, ** p &lt; 0.05, *** p &lt; 0.01).</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80"/>
        <w:gridCol w:w="970"/>
        <w:gridCol w:w="1602"/>
        <w:gridCol w:w="890"/>
        <w:gridCol w:w="1335"/>
        <w:gridCol w:w="1602"/>
        <w:gridCol w:w="890"/>
      </w:tblGrid>
      <w:tr>
        <w:trPr>
          <w:tblHeader w:val="on"/>
          <w:cantSplit/>
        </w:trPr>
        <w:tc>
          <w:tcPr>
            <w:tcW w:type="dxa" w:w="1780"/>
            <w:tcBorders>
              <w:bottom w:val="single" w:sz="4" w:space="0" w:color="000000"/>
            </w:tcBorders>
          </w:tcPr>
          <w:p>
            <w:pPr>
              <w:pStyle w:val="Compact"/>
              <w:spacing w:before="20" w:after="20" w:line="240" w:lineRule="auto"/>
              <w:keepNext/>
            </w:pPr>
          </w:p>
        </w:tc>
        <w:tc>
          <w:tcPr>
            <w:tcW w:type="dxa" w:w="970"/>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602"/>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90"/>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35"/>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602"/>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90"/>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80"/>
          </w:tcPr>
          <w:p>
            <w:pPr>
              <w:pStyle w:val="Compact"/>
              <w:spacing w:before="20" w:after="20" w:line="240" w:lineRule="auto"/>
              <w:keepNext/>
            </w:pPr>
            <w:r>
              <w:rPr>
                <w:sz w:val="16"/>
                <w:szCs w:val="16"/>
              </w:rPr>
              <w:t xml:space="preserve">출원연도(yc)</w:t>
            </w:r>
          </w:p>
        </w:tc>
        <w:tc>
          <w:tcPr>
            <w:tcW w:type="dxa" w:w="970"/>
          </w:tcPr>
          <w:p>
            <w:pPr>
              <w:pStyle w:val="Compact"/>
              <w:spacing w:before="20" w:after="20" w:line="240" w:lineRule="auto"/>
              <w:jc w:val="center"/>
              <w:keepNext/>
            </w:pPr>
            <w:r>
              <w:rPr>
                <w:sz w:val="16"/>
                <w:szCs w:val="16"/>
              </w:rPr>
              <w:t xml:space="preserve">0.993</w:t>
            </w:r>
          </w:p>
        </w:tc>
        <w:tc>
          <w:tcPr>
            <w:tcW w:type="dxa" w:w="1602"/>
          </w:tcPr>
          <w:p>
            <w:pPr>
              <w:pStyle w:val="Compact"/>
              <w:spacing w:before="20" w:after="20" w:line="240" w:lineRule="auto"/>
              <w:jc w:val="center"/>
              <w:keepNext/>
            </w:pPr>
            <w:r>
              <w:rPr>
                <w:sz w:val="16"/>
                <w:szCs w:val="16"/>
              </w:rPr>
              <w:t xml:space="preserve">(0.015)</w:t>
            </w:r>
          </w:p>
        </w:tc>
        <w:tc>
          <w:tcPr>
            <w:tcW w:type="dxa" w:w="890"/>
          </w:tcPr>
          <w:p>
            <w:pPr>
              <w:pStyle w:val="Compact"/>
              <w:spacing w:before="20" w:after="20" w:line="240" w:lineRule="auto"/>
              <w:jc w:val="center"/>
              <w:keepNext/>
            </w:pPr>
            <w:r>
              <w:rPr>
                <w:sz w:val="16"/>
                <w:szCs w:val="16"/>
              </w:rPr>
              <w:t xml:space="preserve">0.654</w:t>
            </w:r>
          </w:p>
        </w:tc>
        <w:tc>
          <w:tcPr>
            <w:tcW w:type="dxa" w:w="1335"/>
          </w:tcPr>
          <w:p>
            <w:pPr>
              <w:pStyle w:val="Compact"/>
              <w:spacing w:before="20" w:after="20" w:line="240" w:lineRule="auto"/>
              <w:jc w:val="center"/>
              <w:keepNext/>
            </w:pPr>
            <w:r>
              <w:rPr>
                <w:sz w:val="16"/>
                <w:szCs w:val="16"/>
              </w:rPr>
              <w:t xml:space="preserve">0.913***</w:t>
            </w:r>
          </w:p>
        </w:tc>
        <w:tc>
          <w:tcPr>
            <w:tcW w:type="dxa" w:w="1602"/>
          </w:tcPr>
          <w:p>
            <w:pPr>
              <w:pStyle w:val="Compact"/>
              <w:spacing w:before="20" w:after="20" w:line="240" w:lineRule="auto"/>
              <w:jc w:val="center"/>
              <w:keepNext/>
            </w:pPr>
            <w:r>
              <w:rPr>
                <w:sz w:val="16"/>
                <w:szCs w:val="16"/>
              </w:rPr>
              <w:t xml:space="preserve">(0.015)</w:t>
            </w:r>
          </w:p>
        </w:tc>
        <w:tc>
          <w:tcPr>
            <w:tcW w:type="dxa" w:w="890"/>
          </w:tcPr>
          <w:p>
            <w:pPr>
              <w:pStyle w:val="Compact"/>
              <w:spacing w:before="20" w:after="20" w:line="240" w:lineRule="auto"/>
              <w:jc w:val="center"/>
              <w:keepNext/>
            </w:pPr>
            <w:r>
              <w:rPr>
                <w:sz w:val="16"/>
                <w:szCs w:val="16"/>
              </w:rPr>
              <w:t xml:space="preserve">&lt;0.001</w:t>
            </w:r>
          </w:p>
        </w:tc>
      </w:tr>
      <w:tr>
        <w:trPr>
          <w:cantSplit/>
        </w:trPr>
        <w:tc>
          <w:tcPr>
            <w:tcW w:type="dxa" w:w="1780"/>
          </w:tcPr>
          <w:p>
            <w:pPr>
              <w:pStyle w:val="Compact"/>
              <w:spacing w:before="20" w:after="20" w:line="240" w:lineRule="auto"/>
              <w:keepNext/>
            </w:pPr>
            <w:r>
              <w:rPr>
                <w:sz w:val="16"/>
                <w:szCs w:val="16"/>
              </w:rPr>
              <w:t xml:space="preserve">기술범위</w:t>
            </w:r>
          </w:p>
        </w:tc>
        <w:tc>
          <w:tcPr>
            <w:tcW w:type="dxa" w:w="970"/>
          </w:tcPr>
          <w:p>
            <w:pPr>
              <w:pStyle w:val="Compact"/>
              <w:spacing w:before="20" w:after="20" w:line="240" w:lineRule="auto"/>
              <w:jc w:val="center"/>
              <w:keepNext/>
            </w:pPr>
            <w:r>
              <w:rPr>
                <w:sz w:val="16"/>
                <w:szCs w:val="16"/>
              </w:rPr>
              <w:t xml:space="preserve">1.403***</w:t>
            </w:r>
          </w:p>
        </w:tc>
        <w:tc>
          <w:tcPr>
            <w:tcW w:type="dxa" w:w="1602"/>
          </w:tcPr>
          <w:p>
            <w:pPr>
              <w:pStyle w:val="Compact"/>
              <w:spacing w:before="20" w:after="20" w:line="240" w:lineRule="auto"/>
              <w:jc w:val="center"/>
              <w:keepNext/>
            </w:pPr>
            <w:r>
              <w:rPr>
                <w:sz w:val="16"/>
                <w:szCs w:val="16"/>
              </w:rPr>
              <w:t xml:space="preserve">(0.031)</w:t>
            </w:r>
          </w:p>
        </w:tc>
        <w:tc>
          <w:tcPr>
            <w:tcW w:type="dxa" w:w="890"/>
          </w:tcPr>
          <w:p>
            <w:pPr>
              <w:pStyle w:val="Compact"/>
              <w:spacing w:before="20" w:after="20" w:line="240" w:lineRule="auto"/>
              <w:jc w:val="center"/>
              <w:keepNext/>
            </w:pPr>
            <w:r>
              <w:rPr>
                <w:sz w:val="16"/>
                <w:szCs w:val="16"/>
              </w:rPr>
              <w:t xml:space="preserve">&lt;0.001</w:t>
            </w:r>
          </w:p>
        </w:tc>
        <w:tc>
          <w:tcPr>
            <w:tcW w:type="dxa" w:w="1335"/>
          </w:tcPr>
          <w:p>
            <w:pPr>
              <w:pStyle w:val="Compact"/>
              <w:spacing w:before="20" w:after="20" w:line="240" w:lineRule="auto"/>
              <w:jc w:val="center"/>
              <w:keepNext/>
            </w:pPr>
            <w:r>
              <w:rPr>
                <w:sz w:val="16"/>
                <w:szCs w:val="16"/>
              </w:rPr>
              <w:t xml:space="preserve">0.905**</w:t>
            </w:r>
          </w:p>
        </w:tc>
        <w:tc>
          <w:tcPr>
            <w:tcW w:type="dxa" w:w="1602"/>
          </w:tcPr>
          <w:p>
            <w:pPr>
              <w:pStyle w:val="Compact"/>
              <w:spacing w:before="20" w:after="20" w:line="240" w:lineRule="auto"/>
              <w:jc w:val="center"/>
              <w:keepNext/>
            </w:pPr>
            <w:r>
              <w:rPr>
                <w:sz w:val="16"/>
                <w:szCs w:val="16"/>
              </w:rPr>
              <w:t xml:space="preserve">(0.048)</w:t>
            </w:r>
          </w:p>
        </w:tc>
        <w:tc>
          <w:tcPr>
            <w:tcW w:type="dxa" w:w="890"/>
          </w:tcPr>
          <w:p>
            <w:pPr>
              <w:pStyle w:val="Compact"/>
              <w:spacing w:before="20" w:after="20" w:line="240" w:lineRule="auto"/>
              <w:jc w:val="center"/>
              <w:keepNext/>
            </w:pPr>
            <w:r>
              <w:rPr>
                <w:sz w:val="16"/>
                <w:szCs w:val="16"/>
              </w:rPr>
              <w:t xml:space="preserve">0.039</w:t>
            </w:r>
          </w:p>
        </w:tc>
      </w:tr>
      <w:tr>
        <w:trPr>
          <w:cantSplit/>
        </w:trPr>
        <w:tc>
          <w:tcPr>
            <w:tcW w:type="dxa" w:w="1780"/>
          </w:tcPr>
          <w:p>
            <w:pPr>
              <w:pStyle w:val="Compact"/>
              <w:spacing w:before="20" w:after="20" w:line="240" w:lineRule="auto"/>
              <w:keepNext/>
            </w:pPr>
            <w:r>
              <w:rPr>
                <w:sz w:val="16"/>
                <w:szCs w:val="16"/>
              </w:rPr>
              <w:t xml:space="preserve">중국(CN)</w:t>
            </w:r>
          </w:p>
        </w:tc>
        <w:tc>
          <w:tcPr>
            <w:tcW w:type="dxa" w:w="970"/>
          </w:tcPr>
          <w:p>
            <w:pPr>
              <w:pStyle w:val="Compact"/>
              <w:spacing w:before="20" w:after="20" w:line="240" w:lineRule="auto"/>
              <w:jc w:val="center"/>
              <w:keepNext/>
            </w:pPr>
            <w:r>
              <w:rPr>
                <w:sz w:val="16"/>
                <w:szCs w:val="16"/>
              </w:rPr>
              <w:t xml:space="preserve">1.205</w:t>
            </w:r>
          </w:p>
        </w:tc>
        <w:tc>
          <w:tcPr>
            <w:tcW w:type="dxa" w:w="1602"/>
          </w:tcPr>
          <w:p>
            <w:pPr>
              <w:pStyle w:val="Compact"/>
              <w:spacing w:before="20" w:after="20" w:line="240" w:lineRule="auto"/>
              <w:jc w:val="center"/>
              <w:keepNext/>
            </w:pPr>
            <w:r>
              <w:rPr>
                <w:sz w:val="16"/>
                <w:szCs w:val="16"/>
              </w:rPr>
              <w:t xml:space="preserve">(0.233)</w:t>
            </w:r>
          </w:p>
        </w:tc>
        <w:tc>
          <w:tcPr>
            <w:tcW w:type="dxa" w:w="890"/>
          </w:tcPr>
          <w:p>
            <w:pPr>
              <w:pStyle w:val="Compact"/>
              <w:spacing w:before="20" w:after="20" w:line="240" w:lineRule="auto"/>
              <w:jc w:val="center"/>
              <w:keepNext/>
            </w:pPr>
            <w:r>
              <w:rPr>
                <w:sz w:val="16"/>
                <w:szCs w:val="16"/>
              </w:rPr>
              <w:t xml:space="preserve">0.423</w:t>
            </w:r>
          </w:p>
        </w:tc>
        <w:tc>
          <w:tcPr>
            <w:tcW w:type="dxa" w:w="1335"/>
          </w:tcPr>
          <w:p>
            <w:pPr>
              <w:pStyle w:val="Compact"/>
              <w:spacing w:before="20" w:after="20" w:line="240" w:lineRule="auto"/>
              <w:jc w:val="center"/>
              <w:keepNext/>
            </w:pPr>
            <w:r>
              <w:rPr>
                <w:sz w:val="16"/>
                <w:szCs w:val="16"/>
              </w:rPr>
              <w:t xml:space="preserve">2.687***</w:t>
            </w:r>
          </w:p>
        </w:tc>
        <w:tc>
          <w:tcPr>
            <w:tcW w:type="dxa" w:w="1602"/>
          </w:tcPr>
          <w:p>
            <w:pPr>
              <w:pStyle w:val="Compact"/>
              <w:spacing w:before="20" w:after="20" w:line="240" w:lineRule="auto"/>
              <w:jc w:val="center"/>
              <w:keepNext/>
            </w:pPr>
            <w:r>
              <w:rPr>
                <w:sz w:val="16"/>
                <w:szCs w:val="16"/>
              </w:rPr>
              <w:t xml:space="preserve">(0.276)</w:t>
            </w:r>
          </w:p>
        </w:tc>
        <w:tc>
          <w:tcPr>
            <w:tcW w:type="dxa" w:w="890"/>
          </w:tcPr>
          <w:p>
            <w:pPr>
              <w:pStyle w:val="Compact"/>
              <w:spacing w:before="20" w:after="20" w:line="240" w:lineRule="auto"/>
              <w:jc w:val="center"/>
              <w:keepNext/>
            </w:pPr>
            <w:r>
              <w:rPr>
                <w:sz w:val="16"/>
                <w:szCs w:val="16"/>
              </w:rPr>
              <w:t xml:space="preserve">&lt;0.001</w:t>
            </w:r>
          </w:p>
        </w:tc>
      </w:tr>
      <w:tr>
        <w:trPr>
          <w:cantSplit/>
        </w:trPr>
        <w:tc>
          <w:tcPr>
            <w:tcW w:type="dxa" w:w="1780"/>
          </w:tcPr>
          <w:p>
            <w:pPr>
              <w:pStyle w:val="Compact"/>
              <w:spacing w:before="20" w:after="20" w:line="240" w:lineRule="auto"/>
              <w:keepNext/>
            </w:pPr>
            <w:r>
              <w:rPr>
                <w:sz w:val="16"/>
                <w:szCs w:val="16"/>
              </w:rPr>
              <w:t xml:space="preserve">한국(KR)</w:t>
            </w:r>
          </w:p>
        </w:tc>
        <w:tc>
          <w:tcPr>
            <w:tcW w:type="dxa" w:w="970"/>
          </w:tcPr>
          <w:p>
            <w:pPr>
              <w:pStyle w:val="Compact"/>
              <w:spacing w:before="20" w:after="20" w:line="240" w:lineRule="auto"/>
              <w:jc w:val="center"/>
              <w:keepNext/>
            </w:pPr>
            <w:r>
              <w:rPr>
                <w:sz w:val="16"/>
                <w:szCs w:val="16"/>
              </w:rPr>
              <w:t xml:space="preserve">1.166</w:t>
            </w:r>
          </w:p>
        </w:tc>
        <w:tc>
          <w:tcPr>
            <w:tcW w:type="dxa" w:w="1602"/>
          </w:tcPr>
          <w:p>
            <w:pPr>
              <w:pStyle w:val="Compact"/>
              <w:spacing w:before="20" w:after="20" w:line="240" w:lineRule="auto"/>
              <w:jc w:val="center"/>
              <w:keepNext/>
            </w:pPr>
            <w:r>
              <w:rPr>
                <w:sz w:val="16"/>
                <w:szCs w:val="16"/>
              </w:rPr>
              <w:t xml:space="preserve">(0.381)</w:t>
            </w:r>
          </w:p>
        </w:tc>
        <w:tc>
          <w:tcPr>
            <w:tcW w:type="dxa" w:w="890"/>
          </w:tcPr>
          <w:p>
            <w:pPr>
              <w:pStyle w:val="Compact"/>
              <w:spacing w:before="20" w:after="20" w:line="240" w:lineRule="auto"/>
              <w:jc w:val="center"/>
              <w:keepNext/>
            </w:pPr>
            <w:r>
              <w:rPr>
                <w:sz w:val="16"/>
                <w:szCs w:val="16"/>
              </w:rPr>
              <w:t xml:space="preserve">0.687</w:t>
            </w:r>
          </w:p>
        </w:tc>
        <w:tc>
          <w:tcPr>
            <w:tcW w:type="dxa" w:w="1335"/>
          </w:tcPr>
          <w:p>
            <w:pPr>
              <w:pStyle w:val="Compact"/>
              <w:spacing w:before="20" w:after="20" w:line="240" w:lineRule="auto"/>
              <w:jc w:val="center"/>
              <w:keepNext/>
            </w:pPr>
            <w:r>
              <w:rPr>
                <w:sz w:val="16"/>
                <w:szCs w:val="16"/>
              </w:rPr>
              <w:t xml:space="preserve">1.906</w:t>
            </w:r>
          </w:p>
        </w:tc>
        <w:tc>
          <w:tcPr>
            <w:tcW w:type="dxa" w:w="1602"/>
          </w:tcPr>
          <w:p>
            <w:pPr>
              <w:pStyle w:val="Compact"/>
              <w:spacing w:before="20" w:after="20" w:line="240" w:lineRule="auto"/>
              <w:jc w:val="center"/>
              <w:keepNext/>
            </w:pPr>
            <w:r>
              <w:rPr>
                <w:sz w:val="16"/>
                <w:szCs w:val="16"/>
              </w:rPr>
              <w:t xml:space="preserve">(0.419)</w:t>
            </w:r>
          </w:p>
        </w:tc>
        <w:tc>
          <w:tcPr>
            <w:tcW w:type="dxa" w:w="890"/>
          </w:tcPr>
          <w:p>
            <w:pPr>
              <w:pStyle w:val="Compact"/>
              <w:spacing w:before="20" w:after="20" w:line="240" w:lineRule="auto"/>
              <w:jc w:val="center"/>
              <w:keepNext/>
            </w:pPr>
            <w:r>
              <w:rPr>
                <w:sz w:val="16"/>
                <w:szCs w:val="16"/>
              </w:rPr>
              <w:t xml:space="preserve">0.124</w:t>
            </w:r>
          </w:p>
        </w:tc>
      </w:tr>
      <w:tr>
        <w:trPr>
          <w:cantSplit/>
        </w:trPr>
        <w:tc>
          <w:tcPr>
            <w:tcW w:type="dxa" w:w="1780"/>
          </w:tcPr>
          <w:p>
            <w:pPr>
              <w:pStyle w:val="Compact"/>
              <w:spacing w:before="20" w:after="20" w:line="240" w:lineRule="auto"/>
              <w:keepNext/>
            </w:pPr>
            <w:r>
              <w:rPr>
                <w:sz w:val="16"/>
                <w:szCs w:val="16"/>
              </w:rPr>
              <w:t xml:space="preserve">대만(TW)</w:t>
            </w:r>
          </w:p>
        </w:tc>
        <w:tc>
          <w:tcPr>
            <w:tcW w:type="dxa" w:w="970"/>
          </w:tcPr>
          <w:p>
            <w:pPr>
              <w:pStyle w:val="Compact"/>
              <w:spacing w:before="20" w:after="20" w:line="240" w:lineRule="auto"/>
              <w:jc w:val="center"/>
              <w:keepNext/>
            </w:pPr>
            <w:r>
              <w:rPr>
                <w:sz w:val="16"/>
                <w:szCs w:val="16"/>
              </w:rPr>
              <w:t xml:space="preserve">1.312</w:t>
            </w:r>
          </w:p>
        </w:tc>
        <w:tc>
          <w:tcPr>
            <w:tcW w:type="dxa" w:w="1602"/>
          </w:tcPr>
          <w:p>
            <w:pPr>
              <w:pStyle w:val="Compact"/>
              <w:spacing w:before="20" w:after="20" w:line="240" w:lineRule="auto"/>
              <w:jc w:val="center"/>
              <w:keepNext/>
            </w:pPr>
            <w:r>
              <w:rPr>
                <w:sz w:val="16"/>
                <w:szCs w:val="16"/>
              </w:rPr>
              <w:t xml:space="preserve">(0.322)</w:t>
            </w:r>
          </w:p>
        </w:tc>
        <w:tc>
          <w:tcPr>
            <w:tcW w:type="dxa" w:w="890"/>
          </w:tcPr>
          <w:p>
            <w:pPr>
              <w:pStyle w:val="Compact"/>
              <w:spacing w:before="20" w:after="20" w:line="240" w:lineRule="auto"/>
              <w:jc w:val="center"/>
              <w:keepNext/>
            </w:pPr>
            <w:r>
              <w:rPr>
                <w:sz w:val="16"/>
                <w:szCs w:val="16"/>
              </w:rPr>
              <w:t xml:space="preserve">0.399</w:t>
            </w:r>
          </w:p>
        </w:tc>
        <w:tc>
          <w:tcPr>
            <w:tcW w:type="dxa" w:w="1335"/>
          </w:tcPr>
          <w:p>
            <w:pPr>
              <w:pStyle w:val="Compact"/>
              <w:spacing w:before="20" w:after="20" w:line="240" w:lineRule="auto"/>
              <w:jc w:val="center"/>
              <w:keepNext/>
            </w:pPr>
            <w:r>
              <w:rPr>
                <w:sz w:val="16"/>
                <w:szCs w:val="16"/>
              </w:rPr>
              <w:t xml:space="preserve">2.102*</w:t>
            </w:r>
          </w:p>
        </w:tc>
        <w:tc>
          <w:tcPr>
            <w:tcW w:type="dxa" w:w="1602"/>
          </w:tcPr>
          <w:p>
            <w:pPr>
              <w:pStyle w:val="Compact"/>
              <w:spacing w:before="20" w:after="20" w:line="240" w:lineRule="auto"/>
              <w:jc w:val="center"/>
              <w:keepNext/>
            </w:pPr>
            <w:r>
              <w:rPr>
                <w:sz w:val="16"/>
                <w:szCs w:val="16"/>
              </w:rPr>
              <w:t xml:space="preserve">(0.407)</w:t>
            </w:r>
          </w:p>
        </w:tc>
        <w:tc>
          <w:tcPr>
            <w:tcW w:type="dxa" w:w="890"/>
          </w:tcPr>
          <w:p>
            <w:pPr>
              <w:pStyle w:val="Compact"/>
              <w:spacing w:before="20" w:after="20" w:line="240" w:lineRule="auto"/>
              <w:jc w:val="center"/>
              <w:keepNext/>
            </w:pPr>
            <w:r>
              <w:rPr>
                <w:sz w:val="16"/>
                <w:szCs w:val="16"/>
              </w:rPr>
              <w:t xml:space="preserve">0.068</w:t>
            </w:r>
          </w:p>
        </w:tc>
      </w:tr>
      <w:tr>
        <w:trPr>
          <w:cantSplit/>
        </w:trPr>
        <w:tc>
          <w:tcPr>
            <w:tcW w:type="dxa" w:w="1780"/>
          </w:tcPr>
          <w:p>
            <w:pPr>
              <w:pStyle w:val="Compact"/>
              <w:spacing w:before="20" w:after="20" w:line="240" w:lineRule="auto"/>
              <w:keepNext/>
            </w:pPr>
            <w:r>
              <w:rPr>
                <w:sz w:val="16"/>
                <w:szCs w:val="16"/>
              </w:rPr>
              <w:t xml:space="preserve">일본(JP)</w:t>
            </w:r>
          </w:p>
        </w:tc>
        <w:tc>
          <w:tcPr>
            <w:tcW w:type="dxa" w:w="970"/>
          </w:tcPr>
          <w:p>
            <w:pPr>
              <w:pStyle w:val="Compact"/>
              <w:spacing w:before="20" w:after="20" w:line="240" w:lineRule="auto"/>
              <w:jc w:val="center"/>
              <w:keepNext/>
            </w:pPr>
            <w:r>
              <w:rPr>
                <w:sz w:val="16"/>
                <w:szCs w:val="16"/>
              </w:rPr>
              <w:t xml:space="preserve">1.046</w:t>
            </w:r>
          </w:p>
        </w:tc>
        <w:tc>
          <w:tcPr>
            <w:tcW w:type="dxa" w:w="1602"/>
          </w:tcPr>
          <w:p>
            <w:pPr>
              <w:pStyle w:val="Compact"/>
              <w:spacing w:before="20" w:after="20" w:line="240" w:lineRule="auto"/>
              <w:jc w:val="center"/>
              <w:keepNext/>
            </w:pPr>
            <w:r>
              <w:rPr>
                <w:sz w:val="16"/>
                <w:szCs w:val="16"/>
              </w:rPr>
              <w:t xml:space="preserve">(0.557)</w:t>
            </w:r>
          </w:p>
        </w:tc>
        <w:tc>
          <w:tcPr>
            <w:tcW w:type="dxa" w:w="890"/>
          </w:tcPr>
          <w:p>
            <w:pPr>
              <w:pStyle w:val="Compact"/>
              <w:spacing w:before="20" w:after="20" w:line="240" w:lineRule="auto"/>
              <w:jc w:val="center"/>
              <w:keepNext/>
            </w:pPr>
            <w:r>
              <w:rPr>
                <w:sz w:val="16"/>
                <w:szCs w:val="16"/>
              </w:rPr>
              <w:t xml:space="preserve">0.935</w:t>
            </w:r>
          </w:p>
        </w:tc>
        <w:tc>
          <w:tcPr>
            <w:tcW w:type="dxa" w:w="1335"/>
          </w:tcPr>
          <w:p>
            <w:pPr>
              <w:pStyle w:val="Compact"/>
              <w:spacing w:before="20" w:after="20" w:line="240" w:lineRule="auto"/>
              <w:jc w:val="center"/>
              <w:keepNext/>
            </w:pPr>
            <w:r>
              <w:rPr>
                <w:sz w:val="16"/>
                <w:szCs w:val="16"/>
              </w:rPr>
              <w:t xml:space="preserve">0.086***</w:t>
            </w:r>
          </w:p>
        </w:tc>
        <w:tc>
          <w:tcPr>
            <w:tcW w:type="dxa" w:w="1602"/>
          </w:tcPr>
          <w:p>
            <w:pPr>
              <w:pStyle w:val="Compact"/>
              <w:spacing w:before="20" w:after="20" w:line="240" w:lineRule="auto"/>
              <w:jc w:val="center"/>
              <w:keepNext/>
            </w:pPr>
            <w:r>
              <w:rPr>
                <w:sz w:val="16"/>
                <w:szCs w:val="16"/>
              </w:rPr>
              <w:t xml:space="preserve">(0.816)</w:t>
            </w:r>
          </w:p>
        </w:tc>
        <w:tc>
          <w:tcPr>
            <w:tcW w:type="dxa" w:w="890"/>
          </w:tcPr>
          <w:p>
            <w:pPr>
              <w:pStyle w:val="Compact"/>
              <w:spacing w:before="20" w:after="20" w:line="240" w:lineRule="auto"/>
              <w:jc w:val="center"/>
              <w:keepNext/>
            </w:pPr>
            <w:r>
              <w:rPr>
                <w:sz w:val="16"/>
                <w:szCs w:val="16"/>
              </w:rPr>
              <w:t xml:space="preserve">0.003</w:t>
            </w:r>
          </w:p>
        </w:tc>
      </w:tr>
      <w:tr>
        <w:trPr>
          <w:cantSplit/>
        </w:trPr>
        <w:tc>
          <w:tcPr>
            <w:tcW w:type="dxa" w:w="1780"/>
          </w:tcPr>
          <w:p>
            <w:pPr>
              <w:pStyle w:val="Compact"/>
              <w:spacing w:before="20" w:after="20" w:line="240" w:lineRule="auto"/>
              <w:keepNext/>
            </w:pPr>
            <w:r>
              <w:rPr>
                <w:sz w:val="16"/>
                <w:szCs w:val="16"/>
              </w:rPr>
              <w:t xml:space="preserve">EPO(EP)</w:t>
            </w:r>
          </w:p>
        </w:tc>
        <w:tc>
          <w:tcPr>
            <w:tcW w:type="dxa" w:w="970"/>
          </w:tcPr>
          <w:p>
            <w:pPr>
              <w:pStyle w:val="Compact"/>
              <w:spacing w:before="20" w:after="20" w:line="240" w:lineRule="auto"/>
              <w:jc w:val="center"/>
              <w:keepNext/>
            </w:pPr>
            <w:r>
              <w:rPr>
                <w:sz w:val="16"/>
                <w:szCs w:val="16"/>
              </w:rPr>
              <w:t xml:space="preserve">1.307</w:t>
            </w:r>
          </w:p>
        </w:tc>
        <w:tc>
          <w:tcPr>
            <w:tcW w:type="dxa" w:w="1602"/>
          </w:tcPr>
          <w:p>
            <w:pPr>
              <w:pStyle w:val="Compact"/>
              <w:spacing w:before="20" w:after="20" w:line="240" w:lineRule="auto"/>
              <w:jc w:val="center"/>
              <w:keepNext/>
            </w:pPr>
            <w:r>
              <w:rPr>
                <w:sz w:val="16"/>
                <w:szCs w:val="16"/>
              </w:rPr>
              <w:t xml:space="preserve">(0.291)</w:t>
            </w:r>
          </w:p>
        </w:tc>
        <w:tc>
          <w:tcPr>
            <w:tcW w:type="dxa" w:w="890"/>
          </w:tcPr>
          <w:p>
            <w:pPr>
              <w:pStyle w:val="Compact"/>
              <w:spacing w:before="20" w:after="20" w:line="240" w:lineRule="auto"/>
              <w:jc w:val="center"/>
              <w:keepNext/>
            </w:pPr>
            <w:r>
              <w:rPr>
                <w:sz w:val="16"/>
                <w:szCs w:val="16"/>
              </w:rPr>
              <w:t xml:space="preserve">0.358</w:t>
            </w:r>
          </w:p>
        </w:tc>
        <w:tc>
          <w:tcPr>
            <w:tcW w:type="dxa" w:w="1335"/>
          </w:tcPr>
          <w:p>
            <w:pPr>
              <w:pStyle w:val="Compact"/>
              <w:spacing w:before="20" w:after="20" w:line="240" w:lineRule="auto"/>
              <w:jc w:val="center"/>
              <w:keepNext/>
            </w:pPr>
            <w:r>
              <w:rPr>
                <w:sz w:val="16"/>
                <w:szCs w:val="16"/>
              </w:rPr>
              <w:t xml:space="preserve">0.858</w:t>
            </w:r>
          </w:p>
        </w:tc>
        <w:tc>
          <w:tcPr>
            <w:tcW w:type="dxa" w:w="1602"/>
          </w:tcPr>
          <w:p>
            <w:pPr>
              <w:pStyle w:val="Compact"/>
              <w:spacing w:before="20" w:after="20" w:line="240" w:lineRule="auto"/>
              <w:jc w:val="center"/>
              <w:keepNext/>
            </w:pPr>
            <w:r>
              <w:rPr>
                <w:sz w:val="16"/>
                <w:szCs w:val="16"/>
              </w:rPr>
              <w:t xml:space="preserve">(0.438)</w:t>
            </w:r>
          </w:p>
        </w:tc>
        <w:tc>
          <w:tcPr>
            <w:tcW w:type="dxa" w:w="890"/>
          </w:tcPr>
          <w:p>
            <w:pPr>
              <w:pStyle w:val="Compact"/>
              <w:spacing w:before="20" w:after="20" w:line="240" w:lineRule="auto"/>
              <w:jc w:val="center"/>
              <w:keepNext/>
            </w:pPr>
            <w:r>
              <w:rPr>
                <w:sz w:val="16"/>
                <w:szCs w:val="16"/>
              </w:rPr>
              <w:t xml:space="preserve">0.726</w:t>
            </w:r>
          </w:p>
        </w:tc>
      </w:tr>
      <w:tr>
        <w:trPr>
          <w:cantSplit/>
        </w:trPr>
        <w:tc>
          <w:tcPr>
            <w:tcW w:type="dxa" w:w="1780"/>
          </w:tcPr>
          <w:p>
            <w:pPr>
              <w:pStyle w:val="Compact"/>
              <w:spacing w:before="20" w:after="20" w:line="240" w:lineRule="auto"/>
              <w:keepNext/>
            </w:pPr>
            <w:r>
              <w:rPr>
                <w:sz w:val="16"/>
                <w:szCs w:val="16"/>
              </w:rPr>
              <w:t xml:space="preserve">PCT(WO)</w:t>
            </w:r>
          </w:p>
        </w:tc>
        <w:tc>
          <w:tcPr>
            <w:tcW w:type="dxa" w:w="970"/>
          </w:tcPr>
          <w:p>
            <w:pPr>
              <w:pStyle w:val="Compact"/>
              <w:spacing w:before="20" w:after="20" w:line="240" w:lineRule="auto"/>
              <w:jc w:val="center"/>
              <w:keepNext/>
            </w:pPr>
            <w:r>
              <w:rPr>
                <w:sz w:val="16"/>
                <w:szCs w:val="16"/>
              </w:rPr>
              <w:t xml:space="preserve">1.126</w:t>
            </w:r>
          </w:p>
        </w:tc>
        <w:tc>
          <w:tcPr>
            <w:tcW w:type="dxa" w:w="1602"/>
          </w:tcPr>
          <w:p>
            <w:pPr>
              <w:pStyle w:val="Compact"/>
              <w:spacing w:before="20" w:after="20" w:line="240" w:lineRule="auto"/>
              <w:jc w:val="center"/>
              <w:keepNext/>
            </w:pPr>
            <w:r>
              <w:rPr>
                <w:sz w:val="16"/>
                <w:szCs w:val="16"/>
              </w:rPr>
              <w:t xml:space="preserve">(0.268)</w:t>
            </w:r>
          </w:p>
        </w:tc>
        <w:tc>
          <w:tcPr>
            <w:tcW w:type="dxa" w:w="890"/>
          </w:tcPr>
          <w:p>
            <w:pPr>
              <w:pStyle w:val="Compact"/>
              <w:spacing w:before="20" w:after="20" w:line="240" w:lineRule="auto"/>
              <w:jc w:val="center"/>
              <w:keepNext/>
            </w:pPr>
            <w:r>
              <w:rPr>
                <w:sz w:val="16"/>
                <w:szCs w:val="16"/>
              </w:rPr>
              <w:t xml:space="preserve">0.659</w:t>
            </w:r>
          </w:p>
        </w:tc>
        <w:tc>
          <w:tcPr>
            <w:tcW w:type="dxa" w:w="1335"/>
          </w:tcPr>
          <w:p>
            <w:pPr>
              <w:pStyle w:val="Compact"/>
              <w:spacing w:before="20" w:after="20" w:line="240" w:lineRule="auto"/>
              <w:jc w:val="center"/>
              <w:keepNext/>
            </w:pPr>
            <w:r>
              <w:rPr>
                <w:sz w:val="16"/>
                <w:szCs w:val="16"/>
              </w:rPr>
              <w:t xml:space="preserve">1.997**</w:t>
            </w:r>
          </w:p>
        </w:tc>
        <w:tc>
          <w:tcPr>
            <w:tcW w:type="dxa" w:w="1602"/>
          </w:tcPr>
          <w:p>
            <w:pPr>
              <w:pStyle w:val="Compact"/>
              <w:spacing w:before="20" w:after="20" w:line="240" w:lineRule="auto"/>
              <w:jc w:val="center"/>
              <w:keepNext/>
            </w:pPr>
            <w:r>
              <w:rPr>
                <w:sz w:val="16"/>
                <w:szCs w:val="16"/>
              </w:rPr>
              <w:t xml:space="preserve">(0.323)</w:t>
            </w:r>
          </w:p>
        </w:tc>
        <w:tc>
          <w:tcPr>
            <w:tcW w:type="dxa" w:w="890"/>
          </w:tcPr>
          <w:p>
            <w:pPr>
              <w:pStyle w:val="Compact"/>
              <w:spacing w:before="20" w:after="20" w:line="240" w:lineRule="auto"/>
              <w:jc w:val="center"/>
              <w:keepNext/>
            </w:pPr>
            <w:r>
              <w:rPr>
                <w:sz w:val="16"/>
                <w:szCs w:val="16"/>
              </w:rPr>
              <w:t xml:space="preserve">0.032</w:t>
            </w:r>
          </w:p>
        </w:tc>
      </w:tr>
      <w:tr>
        <w:trPr>
          <w:cantSplit/>
        </w:trPr>
        <w:tc>
          <w:tcPr>
            <w:tcW w:type="dxa" w:w="1780"/>
          </w:tcPr>
          <w:p>
            <w:pPr>
              <w:pStyle w:val="Compact"/>
              <w:spacing w:before="20" w:after="20" w:line="240" w:lineRule="auto"/>
              <w:keepNext/>
            </w:pPr>
            <w:r>
              <w:rPr>
                <w:sz w:val="16"/>
                <w:szCs w:val="16"/>
              </w:rPr>
              <w:t xml:space="preserve">기타</w:t>
            </w:r>
          </w:p>
        </w:tc>
        <w:tc>
          <w:tcPr>
            <w:tcW w:type="dxa" w:w="970"/>
          </w:tcPr>
          <w:p>
            <w:pPr>
              <w:pStyle w:val="Compact"/>
              <w:spacing w:before="20" w:after="20" w:line="240" w:lineRule="auto"/>
              <w:jc w:val="center"/>
              <w:keepNext/>
            </w:pPr>
            <w:r>
              <w:rPr>
                <w:sz w:val="16"/>
                <w:szCs w:val="16"/>
              </w:rPr>
              <w:t xml:space="preserve">2.326</w:t>
            </w:r>
          </w:p>
        </w:tc>
        <w:tc>
          <w:tcPr>
            <w:tcW w:type="dxa" w:w="1602"/>
          </w:tcPr>
          <w:p>
            <w:pPr>
              <w:pStyle w:val="Compact"/>
              <w:spacing w:before="20" w:after="20" w:line="240" w:lineRule="auto"/>
              <w:jc w:val="center"/>
              <w:keepNext/>
            </w:pPr>
            <w:r>
              <w:rPr>
                <w:sz w:val="16"/>
                <w:szCs w:val="16"/>
              </w:rPr>
              <w:t xml:space="preserve">(0.681)</w:t>
            </w:r>
          </w:p>
        </w:tc>
        <w:tc>
          <w:tcPr>
            <w:tcW w:type="dxa" w:w="890"/>
          </w:tcPr>
          <w:p>
            <w:pPr>
              <w:pStyle w:val="Compact"/>
              <w:spacing w:before="20" w:after="20" w:line="240" w:lineRule="auto"/>
              <w:jc w:val="center"/>
              <w:keepNext/>
            </w:pPr>
            <w:r>
              <w:rPr>
                <w:sz w:val="16"/>
                <w:szCs w:val="16"/>
              </w:rPr>
              <w:t xml:space="preserve">0.215</w:t>
            </w:r>
          </w:p>
        </w:tc>
        <w:tc>
          <w:tcPr>
            <w:tcW w:type="dxa" w:w="1335"/>
          </w:tcPr>
          <w:p>
            <w:pPr>
              <w:pStyle w:val="Compact"/>
              <w:spacing w:before="20" w:after="20" w:line="240" w:lineRule="auto"/>
              <w:jc w:val="center"/>
              <w:keepNext/>
            </w:pPr>
            <w:r>
              <w:rPr>
                <w:sz w:val="16"/>
                <w:szCs w:val="16"/>
              </w:rPr>
              <w:t xml:space="preserve">1.901</w:t>
            </w:r>
          </w:p>
        </w:tc>
        <w:tc>
          <w:tcPr>
            <w:tcW w:type="dxa" w:w="1602"/>
          </w:tcPr>
          <w:p>
            <w:pPr>
              <w:pStyle w:val="Compact"/>
              <w:spacing w:before="20" w:after="20" w:line="240" w:lineRule="auto"/>
              <w:jc w:val="center"/>
              <w:keepNext/>
            </w:pPr>
            <w:r>
              <w:rPr>
                <w:sz w:val="16"/>
                <w:szCs w:val="16"/>
              </w:rPr>
              <w:t xml:space="preserve">(0.779)</w:t>
            </w:r>
          </w:p>
        </w:tc>
        <w:tc>
          <w:tcPr>
            <w:tcW w:type="dxa" w:w="890"/>
          </w:tcPr>
          <w:p>
            <w:pPr>
              <w:pStyle w:val="Compact"/>
              <w:spacing w:before="20" w:after="20" w:line="240" w:lineRule="auto"/>
              <w:jc w:val="center"/>
              <w:keepNext/>
            </w:pPr>
            <w:r>
              <w:rPr>
                <w:sz w:val="16"/>
                <w:szCs w:val="16"/>
              </w:rPr>
              <w:t xml:space="preserve">0.409</w:t>
            </w:r>
          </w:p>
        </w:tc>
      </w:tr>
    </w:tbl>
    <w:p>
      <w:pPr>
        <w:pStyle w:val="BodyText"/>
        <w:keepNext/>
      </w:pPr>
      <w:r>
        <w:drawing>
          <wp:inline>
            <wp:extent cx="5334000" cy="3048000"/>
            <wp:effectExtent b="0" l="0" r="0" t="0"/>
            <wp:docPr descr="" title="" id="38" name="Picture"/>
            <a:graphic>
              <a:graphicData uri="http://schemas.openxmlformats.org/drawingml/2006/picture">
                <pic:pic>
                  <pic:nvPicPr>
                    <pic:cNvPr descr="figures/fig6_predicted_process_only_ko.png" id="39" name="Picture"/>
                    <pic:cNvPicPr>
                      <a:picLocks noChangeArrowheads="1" noChangeAspect="1"/>
                    </pic:cNvPicPr>
                  </pic:nvPicPr>
                  <pic:blipFill>
                    <a:blip r:embed="rId37"/>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출원청별 공정 단독형의 평균 예측확률(다항 로짓; 다른 변수는 각 출원의 관측값에 둔 채 출원청만 바꾸어 표본 전체에서 평균한 값; 모수 추정치의 표본추출 분포에서 얻은 95% 신뢰구간; N = 928, 출원청별 N은 표 4. 일본(26건)과 기타(16건)는 구간이 넓어 해석하지 않는다).</w:t>
      </w:r>
    </w:p>
    <w:p>
      <w:pPr>
        <w:pStyle w:val="BodyText"/>
      </w:pPr>
      <w:r>
        <w:rPr>
          <w:b/>
          <w:bCs/>
        </w:rPr>
        <w:t xml:space="preserve">시기별 분포.</w:t>
      </w:r>
      <w:r>
        <w:t xml:space="preserve"> </w:t>
      </w:r>
      <w:r>
        <w:t xml:space="preserve">선형 연도 추세는 통합형 비중의 오르내림을 가린다. 표 8과 그림 6은 출원 집중도를 고려해 세 시기로 나눈 유형 분포다. 출원이 드문 1968–2014년을 한 시기로 묶고, 이후는 2015–2019년과 2020–2024년으로 나누었다. 공정 단독형의 비중은 2014년 이전 43.6%에서 2015–2019년 14.8%, 2020–2024년 10.4%로 계속 줄었다. 통합형은 31.3%에서 62.2%로 크게 늘었다가 44.3%로 낮아졌고, 조립 단독형은 25.1%와 23.0%에서 45.4%로 늘었다. 선형 연도 대신 기간 더미를 넣은 다항 로짓에서도 같은 그림이 나온다. 2014년 이전 대비 공정 단독형의 상대위험은 2015–2019년 0.273, 2020–2024년 0.101(모두 p &lt; 0.01)로 낮아지고, 통합형은 1.707(p = 0.09)로 올랐다가 0.762(비유의)로 내려온다. 2010년 이후 표본(N = 830)에서는 통합형의 연도 계수도 유의하게 음이다(RRR 0.934, p &lt; 0.05). 즉 공정 단독형의 감소는 전 기간에 걸쳐 일관되지만, 통합형은 2015–2019년에 정점을 찍고 최근에는 조립 단독형에 자리를 내주었다. 이 움직임은 가설로 예측한 것이 아니므로 제6.1절에서 탐색적 해석으로 다룬다.</w:t>
      </w:r>
    </w:p>
    <w:p>
      <w:pPr>
        <w:pStyle w:val="BodyText"/>
        <w:keepNext/>
      </w:pPr>
      <w:r>
        <w:rPr>
          <w:b/>
          <w:bCs/>
        </w:rPr>
        <w:t xml:space="preserve">표 8.</w:t>
      </w:r>
      <w:r>
        <w:t xml:space="preserve"> </w:t>
      </w:r>
      <w: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기간</w:t>
            </w:r>
          </w:p>
        </w:tc>
        <w:tc>
          <w:tcPr>
            <w:tcW w:type="dxa" w:w="1774"/>
            <w:tcBorders>
              <w:bottom w:val="single" w:sz="4" w:space="0" w:color="000000"/>
            </w:tcBorders>
          </w:tcPr>
          <w:p>
            <w:pPr>
              <w:pStyle w:val="Compact"/>
              <w:spacing w:before="20" w:after="20" w:line="240" w:lineRule="auto"/>
              <w:keepNext/>
            </w:pPr>
            <w:r>
              <w:rPr>
                <w:sz w:val="17"/>
                <w:szCs w:val="17"/>
              </w:rPr>
              <w:t xml:space="preserve">조립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200400"/>
            <wp:effectExtent b="0" l="0" r="0" t="0"/>
            <wp:docPr descr="" title="" id="41" name="Picture"/>
            <a:graphic>
              <a:graphicData uri="http://schemas.openxmlformats.org/drawingml/2006/picture">
                <pic:pic>
                  <pic:nvPicPr>
                    <pic:cNvPr descr="figures/fig7_period_shares_ko.png" id="42" name="Picture"/>
                    <pic:cNvPicPr>
                      <a:picLocks noChangeArrowheads="1" noChangeAspect="1"/>
                    </pic:cNvPicPr>
                  </pic:nvPicPr>
                  <pic:blipFill>
                    <a:blip r:embed="rId40"/>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세 출원 시기별 공동분류 유형의 구성비(N = 928; 첫 시기는 1968–2014년으로 이후 두 시기보다 길다).</w:t>
      </w:r>
    </w:p>
    <w:bookmarkEnd w:id="43"/>
    <w:bookmarkStart w:id="44" w:name="강건성과-민감도-분석"/>
    <w:p>
      <w:pPr>
        <w:pStyle w:val="Heading3"/>
      </w:pPr>
      <w:r>
        <w:t xml:space="preserve">5.4 강건성과 민감도 분석</w:t>
      </w:r>
    </w:p>
    <w:p>
      <w:pPr>
        <w:pStyle w:val="FirstParagraph"/>
      </w:pPr>
      <w:r>
        <w:t xml:space="preserve">결과가 표본과 변수 정의에 따라 달라지는지 확인하기 위해 원자료에서 표본과 변수를 바꾸어 다시 추정하였다. 표 9는 핵심 계수를 비교하고, 전체 계수는 부록 B에 실었다.</w:t>
      </w:r>
    </w:p>
    <w:p>
      <w:pPr>
        <w:pStyle w:val="BodyText"/>
        <w:keepNext/>
      </w:pPr>
      <w:r>
        <w:rPr>
          <w:b/>
          <w:bCs/>
        </w:rPr>
        <w:t xml:space="preserve">표 9.</w:t>
      </w:r>
      <w:r>
        <w:t xml:space="preserve"> </w:t>
      </w:r>
      <w:r>
        <w:t xml:space="preserve">핵심 계수의 재추정 결과 비교(다항 로짓 RRR, 기준 범주 = 조립 단독형; 출원청 기준 = 미국; 마지막 열은 음이항 IRR;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59"/>
        <w:gridCol w:w="480"/>
        <w:gridCol w:w="1143"/>
        <w:gridCol w:w="1583"/>
        <w:gridCol w:w="1583"/>
        <w:gridCol w:w="1319"/>
      </w:tblGrid>
      <w:tr>
        <w:trPr>
          <w:tblHeader w:val="on"/>
          <w:cantSplit/>
        </w:trPr>
        <w:tc>
          <w:tcPr>
            <w:tcW w:type="dxa" w:w="2959"/>
            <w:tcBorders>
              <w:bottom w:val="single" w:sz="4" w:space="0" w:color="000000"/>
            </w:tcBorders>
          </w:tcPr>
          <w:p>
            <w:pPr>
              <w:pStyle w:val="Compact"/>
              <w:spacing w:before="20" w:after="20" w:line="240" w:lineRule="auto"/>
              <w:keepNext/>
            </w:pPr>
            <w:r>
              <w:rPr>
                <w:sz w:val="14"/>
                <w:szCs w:val="14"/>
              </w:rPr>
              <w:t xml:space="preserve">표본·변수</w:t>
            </w:r>
          </w:p>
        </w:tc>
        <w:tc>
          <w:tcPr>
            <w:tcW w:type="dxa" w:w="480"/>
            <w:tcBorders>
              <w:bottom w:val="single" w:sz="4" w:space="0" w:color="000000"/>
            </w:tcBorders>
          </w:tcPr>
          <w:p>
            <w:pPr>
              <w:pStyle w:val="Compact"/>
              <w:spacing w:before="20" w:after="20" w:line="240" w:lineRule="auto"/>
              <w:jc w:val="right"/>
              <w:keepNext/>
            </w:pPr>
            <w:r>
              <w:rPr>
                <w:sz w:val="14"/>
                <w:szCs w:val="14"/>
              </w:rPr>
              <w:t xml:space="preserve">N</w:t>
            </w:r>
          </w:p>
        </w:tc>
        <w:tc>
          <w:tcPr>
            <w:tcW w:type="dxa" w:w="1143"/>
            <w:tcBorders>
              <w:bottom w:val="single" w:sz="4" w:space="0" w:color="000000"/>
            </w:tcBorders>
          </w:tcPr>
          <w:p>
            <w:pPr>
              <w:pStyle w:val="Compact"/>
              <w:spacing w:before="20" w:after="20" w:line="240" w:lineRule="auto"/>
              <w:keepNext/>
            </w:pPr>
            <w:r>
              <w:rPr>
                <w:sz w:val="14"/>
                <w:szCs w:val="14"/>
              </w:rPr>
              <w:t xml:space="preserve">범위 → 통합형</w:t>
            </w:r>
          </w:p>
        </w:tc>
        <w:tc>
          <w:tcPr>
            <w:tcW w:type="dxa" w:w="1583"/>
            <w:tcBorders>
              <w:bottom w:val="single" w:sz="4" w:space="0" w:color="000000"/>
            </w:tcBorders>
          </w:tcPr>
          <w:p>
            <w:pPr>
              <w:pStyle w:val="Compact"/>
              <w:spacing w:before="20" w:after="20" w:line="240" w:lineRule="auto"/>
              <w:keepNext/>
            </w:pPr>
            <w:r>
              <w:rPr>
                <w:sz w:val="14"/>
                <w:szCs w:val="14"/>
              </w:rPr>
              <w:t xml:space="preserve">연도 → 공정 단독형</w:t>
            </w:r>
          </w:p>
        </w:tc>
        <w:tc>
          <w:tcPr>
            <w:tcW w:type="dxa" w:w="1583"/>
            <w:tcBorders>
              <w:bottom w:val="single" w:sz="4" w:space="0" w:color="000000"/>
            </w:tcBorders>
          </w:tcPr>
          <w:p>
            <w:pPr>
              <w:pStyle w:val="Compact"/>
              <w:spacing w:before="20" w:after="20" w:line="240" w:lineRule="auto"/>
              <w:keepNext/>
            </w:pPr>
            <w:r>
              <w:rPr>
                <w:sz w:val="14"/>
                <w:szCs w:val="14"/>
              </w:rPr>
              <w:t xml:space="preserve">중국 → 공정 단독형</w:t>
            </w:r>
          </w:p>
        </w:tc>
        <w:tc>
          <w:tcPr>
            <w:tcW w:type="dxa" w:w="1319"/>
            <w:tcBorders>
              <w:bottom w:val="single" w:sz="4" w:space="0" w:color="000000"/>
            </w:tcBorders>
          </w:tcPr>
          <w:p>
            <w:pPr>
              <w:pStyle w:val="Compact"/>
              <w:spacing w:before="20" w:after="20" w:line="240" w:lineRule="auto"/>
              <w:keepNext/>
            </w:pPr>
            <w:r>
              <w:rPr>
                <w:sz w:val="14"/>
                <w:szCs w:val="14"/>
              </w:rPr>
              <w:t xml:space="preserve">중국 → 범위(IRR)</w:t>
            </w:r>
          </w:p>
        </w:tc>
      </w:tr>
      <w:tr>
        <w:trPr>
          <w:cantSplit/>
        </w:trPr>
        <w:tc>
          <w:tcPr>
            <w:tcW w:type="dxa" w:w="2959"/>
          </w:tcPr>
          <w:p>
            <w:pPr>
              <w:pStyle w:val="Compact"/>
              <w:spacing w:before="20" w:after="20" w:line="240" w:lineRule="auto"/>
              <w:keepNext/>
            </w:pPr>
            <w:r>
              <w:rPr>
                <w:sz w:val="14"/>
                <w:szCs w:val="14"/>
              </w:rPr>
              <w:t xml:space="preserve">기준(표 5·7)</w:t>
            </w:r>
          </w:p>
        </w:tc>
        <w:tc>
          <w:tcPr>
            <w:tcW w:type="dxa" w:w="480"/>
          </w:tcPr>
          <w:p>
            <w:pPr>
              <w:pStyle w:val="Compact"/>
              <w:spacing w:before="20" w:after="20" w:line="240" w:lineRule="auto"/>
              <w:jc w:val="right"/>
              <w:keepNext/>
            </w:pPr>
            <w:r>
              <w:rPr>
                <w:sz w:val="14"/>
                <w:szCs w:val="14"/>
              </w:rPr>
              <w:t xml:space="preserve">928</w:t>
            </w:r>
          </w:p>
        </w:tc>
        <w:tc>
          <w:tcPr>
            <w:tcW w:type="dxa" w:w="1143"/>
          </w:tcPr>
          <w:p>
            <w:pPr>
              <w:pStyle w:val="Compact"/>
              <w:spacing w:before="20" w:after="20" w:line="240" w:lineRule="auto"/>
              <w:keepNext/>
            </w:pPr>
            <w:r>
              <w:rPr>
                <w:sz w:val="14"/>
                <w:szCs w:val="14"/>
              </w:rPr>
              <w:t xml:space="preserve">1.403***</w:t>
            </w:r>
          </w:p>
        </w:tc>
        <w:tc>
          <w:tcPr>
            <w:tcW w:type="dxa" w:w="1583"/>
          </w:tcPr>
          <w:p>
            <w:pPr>
              <w:pStyle w:val="Compact"/>
              <w:spacing w:before="20" w:after="20" w:line="240" w:lineRule="auto"/>
              <w:keepNext/>
            </w:pPr>
            <w:r>
              <w:rPr>
                <w:sz w:val="14"/>
                <w:szCs w:val="14"/>
              </w:rPr>
              <w:t xml:space="preserve">0.913***</w:t>
            </w:r>
          </w:p>
        </w:tc>
        <w:tc>
          <w:tcPr>
            <w:tcW w:type="dxa" w:w="1583"/>
          </w:tcPr>
          <w:p>
            <w:pPr>
              <w:pStyle w:val="Compact"/>
              <w:spacing w:before="20" w:after="20" w:line="240" w:lineRule="auto"/>
              <w:keepNext/>
            </w:pPr>
            <w:r>
              <w:rPr>
                <w:sz w:val="14"/>
                <w:szCs w:val="14"/>
              </w:rPr>
              <w:t xml:space="preserve">2.687***</w:t>
            </w:r>
          </w:p>
        </w:tc>
        <w:tc>
          <w:tcPr>
            <w:tcW w:type="dxa" w:w="1319"/>
          </w:tcPr>
          <w:p>
            <w:pPr>
              <w:pStyle w:val="Compact"/>
              <w:spacing w:before="20" w:after="20" w:line="240" w:lineRule="auto"/>
              <w:keepNext/>
            </w:pPr>
            <w:r>
              <w:rPr>
                <w:sz w:val="14"/>
                <w:szCs w:val="14"/>
              </w:rPr>
              <w:t xml:space="preserve">0.785***</w:t>
            </w:r>
          </w:p>
        </w:tc>
      </w:tr>
      <w:tr>
        <w:trPr>
          <w:cantSplit/>
        </w:trPr>
        <w:tc>
          <w:tcPr>
            <w:tcW w:type="dxa" w:w="2959"/>
          </w:tcPr>
          <w:p>
            <w:pPr>
              <w:pStyle w:val="Compact"/>
              <w:spacing w:before="20" w:after="20" w:line="240" w:lineRule="auto"/>
              <w:keepNext/>
            </w:pPr>
            <w:r>
              <w:rPr>
                <w:sz w:val="14"/>
                <w:szCs w:val="14"/>
              </w:rPr>
              <w:t xml:space="preserve">기준 + 동일 제목 군집 표준오차</w:t>
            </w:r>
          </w:p>
        </w:tc>
        <w:tc>
          <w:tcPr>
            <w:tcW w:type="dxa" w:w="480"/>
          </w:tcPr>
          <w:p>
            <w:pPr>
              <w:pStyle w:val="Compact"/>
              <w:spacing w:before="20" w:after="20" w:line="240" w:lineRule="auto"/>
              <w:jc w:val="right"/>
              <w:keepNext/>
            </w:pPr>
            <w:r>
              <w:rPr>
                <w:sz w:val="14"/>
                <w:szCs w:val="14"/>
              </w:rPr>
              <w:t xml:space="preserve">928</w:t>
            </w:r>
          </w:p>
        </w:tc>
        <w:tc>
          <w:tcPr>
            <w:tcW w:type="dxa" w:w="1143"/>
          </w:tcPr>
          <w:p>
            <w:pPr>
              <w:pStyle w:val="Compact"/>
              <w:spacing w:before="20" w:after="20" w:line="240" w:lineRule="auto"/>
              <w:keepNext/>
            </w:pPr>
            <w:r>
              <w:rPr>
                <w:sz w:val="14"/>
                <w:szCs w:val="14"/>
              </w:rPr>
              <w:t xml:space="preserve">1.403***</w:t>
            </w:r>
          </w:p>
        </w:tc>
        <w:tc>
          <w:tcPr>
            <w:tcW w:type="dxa" w:w="1583"/>
          </w:tcPr>
          <w:p>
            <w:pPr>
              <w:pStyle w:val="Compact"/>
              <w:spacing w:before="20" w:after="20" w:line="240" w:lineRule="auto"/>
              <w:keepNext/>
            </w:pPr>
            <w:r>
              <w:rPr>
                <w:sz w:val="14"/>
                <w:szCs w:val="14"/>
              </w:rPr>
              <w:t xml:space="preserve">0.913***</w:t>
            </w:r>
          </w:p>
        </w:tc>
        <w:tc>
          <w:tcPr>
            <w:tcW w:type="dxa" w:w="1583"/>
          </w:tcPr>
          <w:p>
            <w:pPr>
              <w:pStyle w:val="Compact"/>
              <w:spacing w:before="20" w:after="20" w:line="240" w:lineRule="auto"/>
              <w:keepNext/>
            </w:pPr>
            <w:r>
              <w:rPr>
                <w:sz w:val="14"/>
                <w:szCs w:val="14"/>
              </w:rPr>
              <w:t xml:space="preserve">2.687***</w:t>
            </w:r>
          </w:p>
        </w:tc>
        <w:tc>
          <w:tcPr>
            <w:tcW w:type="dxa" w:w="1319"/>
          </w:tcPr>
          <w:p>
            <w:pPr>
              <w:pStyle w:val="Compact"/>
              <w:spacing w:before="20" w:after="20" w:line="240" w:lineRule="auto"/>
              <w:keepNext/>
            </w:pPr>
            <w:r>
              <w:rPr>
                <w:sz w:val="14"/>
                <w:szCs w:val="14"/>
              </w:rPr>
              <w:t xml:space="preserve">0.785***</w:t>
            </w:r>
          </w:p>
        </w:tc>
      </w:tr>
      <w:tr>
        <w:trPr>
          <w:cantSplit/>
        </w:trPr>
        <w:tc>
          <w:tcPr>
            <w:tcW w:type="dxa" w:w="2959"/>
          </w:tcPr>
          <w:p>
            <w:pPr>
              <w:pStyle w:val="Compact"/>
              <w:spacing w:before="20" w:after="20" w:line="240" w:lineRule="auto"/>
              <w:keepNext/>
            </w:pPr>
            <w:r>
              <w:rPr>
                <w:sz w:val="14"/>
                <w:szCs w:val="14"/>
              </w:rPr>
              <w:t xml:space="preserve">동일 제목 중복 제거(제목당 1건)</w:t>
            </w:r>
          </w:p>
        </w:tc>
        <w:tc>
          <w:tcPr>
            <w:tcW w:type="dxa" w:w="480"/>
          </w:tcPr>
          <w:p>
            <w:pPr>
              <w:pStyle w:val="Compact"/>
              <w:spacing w:before="20" w:after="20" w:line="240" w:lineRule="auto"/>
              <w:jc w:val="right"/>
              <w:keepNext/>
            </w:pPr>
            <w:r>
              <w:rPr>
                <w:sz w:val="14"/>
                <w:szCs w:val="14"/>
              </w:rPr>
              <w:t xml:space="preserve">473</w:t>
            </w:r>
          </w:p>
        </w:tc>
        <w:tc>
          <w:tcPr>
            <w:tcW w:type="dxa" w:w="1143"/>
          </w:tcPr>
          <w:p>
            <w:pPr>
              <w:pStyle w:val="Compact"/>
              <w:spacing w:before="20" w:after="20" w:line="240" w:lineRule="auto"/>
              <w:keepNext/>
            </w:pPr>
            <w:r>
              <w:rPr>
                <w:sz w:val="14"/>
                <w:szCs w:val="14"/>
              </w:rPr>
              <w:t xml:space="preserve">1.295***</w:t>
            </w:r>
          </w:p>
        </w:tc>
        <w:tc>
          <w:tcPr>
            <w:tcW w:type="dxa" w:w="1583"/>
          </w:tcPr>
          <w:p>
            <w:pPr>
              <w:pStyle w:val="Compact"/>
              <w:spacing w:before="20" w:after="20" w:line="240" w:lineRule="auto"/>
              <w:keepNext/>
            </w:pPr>
            <w:r>
              <w:rPr>
                <w:sz w:val="14"/>
                <w:szCs w:val="14"/>
              </w:rPr>
              <w:t xml:space="preserve">0.935***</w:t>
            </w:r>
          </w:p>
        </w:tc>
        <w:tc>
          <w:tcPr>
            <w:tcW w:type="dxa" w:w="1583"/>
          </w:tcPr>
          <w:p>
            <w:pPr>
              <w:pStyle w:val="Compact"/>
              <w:spacing w:before="20" w:after="20" w:line="240" w:lineRule="auto"/>
              <w:keepNext/>
            </w:pPr>
            <w:r>
              <w:rPr>
                <w:sz w:val="14"/>
                <w:szCs w:val="14"/>
              </w:rPr>
              <w:t xml:space="preserve">2.721***</w:t>
            </w:r>
          </w:p>
        </w:tc>
        <w:tc>
          <w:tcPr>
            <w:tcW w:type="dxa" w:w="1319"/>
          </w:tcPr>
          <w:p>
            <w:pPr>
              <w:pStyle w:val="Compact"/>
              <w:spacing w:before="20" w:after="20" w:line="240" w:lineRule="auto"/>
              <w:keepNext/>
            </w:pPr>
            <w:r>
              <w:rPr>
                <w:sz w:val="14"/>
                <w:szCs w:val="14"/>
              </w:rPr>
              <w:t xml:space="preserve">0.792***</w:t>
            </w:r>
          </w:p>
        </w:tc>
      </w:tr>
      <w:tr>
        <w:trPr>
          <w:cantSplit/>
        </w:trPr>
        <w:tc>
          <w:tcPr>
            <w:tcW w:type="dxa" w:w="2959"/>
          </w:tcPr>
          <w:p>
            <w:pPr>
              <w:pStyle w:val="Compact"/>
              <w:spacing w:before="20" w:after="20" w:line="240" w:lineRule="auto"/>
              <w:keepNext/>
            </w:pPr>
            <w:r>
              <w:rPr>
                <w:sz w:val="14"/>
                <w:szCs w:val="14"/>
              </w:rPr>
              <w:t xml:space="preserve">좁은 전공정 정의(조립 단계 공정 제외)</w:t>
            </w:r>
          </w:p>
        </w:tc>
        <w:tc>
          <w:tcPr>
            <w:tcW w:type="dxa" w:w="480"/>
          </w:tcPr>
          <w:p>
            <w:pPr>
              <w:pStyle w:val="Compact"/>
              <w:spacing w:before="20" w:after="20" w:line="240" w:lineRule="auto"/>
              <w:jc w:val="right"/>
              <w:keepNext/>
            </w:pPr>
            <w:r>
              <w:rPr>
                <w:sz w:val="14"/>
                <w:szCs w:val="14"/>
              </w:rPr>
              <w:t xml:space="preserve">908</w:t>
            </w:r>
          </w:p>
        </w:tc>
        <w:tc>
          <w:tcPr>
            <w:tcW w:type="dxa" w:w="1143"/>
          </w:tcPr>
          <w:p>
            <w:pPr>
              <w:pStyle w:val="Compact"/>
              <w:spacing w:before="20" w:after="20" w:line="240" w:lineRule="auto"/>
              <w:keepNext/>
            </w:pPr>
            <w:r>
              <w:rPr>
                <w:sz w:val="14"/>
                <w:szCs w:val="14"/>
              </w:rPr>
              <w:t xml:space="preserve">1.352***</w:t>
            </w:r>
          </w:p>
        </w:tc>
        <w:tc>
          <w:tcPr>
            <w:tcW w:type="dxa" w:w="1583"/>
          </w:tcPr>
          <w:p>
            <w:pPr>
              <w:pStyle w:val="Compact"/>
              <w:spacing w:before="20" w:after="20" w:line="240" w:lineRule="auto"/>
              <w:keepNext/>
            </w:pPr>
            <w:r>
              <w:rPr>
                <w:sz w:val="14"/>
                <w:szCs w:val="14"/>
              </w:rPr>
              <w:t xml:space="preserve">0.898***</w:t>
            </w:r>
          </w:p>
        </w:tc>
        <w:tc>
          <w:tcPr>
            <w:tcW w:type="dxa" w:w="1583"/>
          </w:tcPr>
          <w:p>
            <w:pPr>
              <w:pStyle w:val="Compact"/>
              <w:spacing w:before="20" w:after="20" w:line="240" w:lineRule="auto"/>
              <w:keepNext/>
            </w:pPr>
            <w:r>
              <w:rPr>
                <w:sz w:val="14"/>
                <w:szCs w:val="14"/>
              </w:rPr>
              <w:t xml:space="preserve">3.299***</w:t>
            </w:r>
          </w:p>
        </w:tc>
        <w:tc>
          <w:tcPr>
            <w:tcW w:type="dxa" w:w="1319"/>
          </w:tcPr>
          <w:p>
            <w:pPr>
              <w:pStyle w:val="Compact"/>
              <w:spacing w:before="20" w:after="20" w:line="240" w:lineRule="auto"/>
              <w:keepNext/>
            </w:pPr>
            <w:r>
              <w:rPr>
                <w:sz w:val="14"/>
                <w:szCs w:val="14"/>
              </w:rPr>
              <w:t xml:space="preserve">—</w:t>
            </w:r>
          </w:p>
        </w:tc>
      </w:tr>
      <w:tr>
        <w:trPr>
          <w:cantSplit/>
        </w:trPr>
        <w:tc>
          <w:tcPr>
            <w:tcW w:type="dxa" w:w="2959"/>
          </w:tcPr>
          <w:p>
            <w:pPr>
              <w:pStyle w:val="Compact"/>
              <w:spacing w:before="20" w:after="20" w:line="240" w:lineRule="auto"/>
              <w:keepNext/>
            </w:pPr>
            <w:r>
              <w:rPr>
                <w:sz w:val="14"/>
                <w:szCs w:val="14"/>
              </w:rPr>
              <w:t xml:space="preserve">무관 용법 68건 제외</w:t>
            </w:r>
          </w:p>
        </w:tc>
        <w:tc>
          <w:tcPr>
            <w:tcW w:type="dxa" w:w="480"/>
          </w:tcPr>
          <w:p>
            <w:pPr>
              <w:pStyle w:val="Compact"/>
              <w:spacing w:before="20" w:after="20" w:line="240" w:lineRule="auto"/>
              <w:jc w:val="right"/>
              <w:keepNext/>
            </w:pPr>
            <w:r>
              <w:rPr>
                <w:sz w:val="14"/>
                <w:szCs w:val="14"/>
              </w:rPr>
              <w:t xml:space="preserve">860</w:t>
            </w:r>
          </w:p>
        </w:tc>
        <w:tc>
          <w:tcPr>
            <w:tcW w:type="dxa" w:w="1143"/>
          </w:tcPr>
          <w:p>
            <w:pPr>
              <w:pStyle w:val="Compact"/>
              <w:spacing w:before="20" w:after="20" w:line="240" w:lineRule="auto"/>
              <w:keepNext/>
            </w:pPr>
            <w:r>
              <w:rPr>
                <w:sz w:val="14"/>
                <w:szCs w:val="14"/>
              </w:rPr>
              <w:t xml:space="preserve">1.384***</w:t>
            </w:r>
          </w:p>
        </w:tc>
        <w:tc>
          <w:tcPr>
            <w:tcW w:type="dxa" w:w="1583"/>
          </w:tcPr>
          <w:p>
            <w:pPr>
              <w:pStyle w:val="Compact"/>
              <w:spacing w:before="20" w:after="20" w:line="240" w:lineRule="auto"/>
              <w:keepNext/>
            </w:pPr>
            <w:r>
              <w:rPr>
                <w:sz w:val="14"/>
                <w:szCs w:val="14"/>
              </w:rPr>
              <w:t xml:space="preserve">0.820***</w:t>
            </w:r>
          </w:p>
        </w:tc>
        <w:tc>
          <w:tcPr>
            <w:tcW w:type="dxa" w:w="1583"/>
          </w:tcPr>
          <w:p>
            <w:pPr>
              <w:pStyle w:val="Compact"/>
              <w:spacing w:before="20" w:after="20" w:line="240" w:lineRule="auto"/>
              <w:keepNext/>
            </w:pPr>
            <w:r>
              <w:rPr>
                <w:sz w:val="14"/>
                <w:szCs w:val="14"/>
              </w:rPr>
              <w:t xml:space="preserve">3.235***</w:t>
            </w:r>
          </w:p>
        </w:tc>
        <w:tc>
          <w:tcPr>
            <w:tcW w:type="dxa" w:w="1319"/>
          </w:tcPr>
          <w:p>
            <w:pPr>
              <w:pStyle w:val="Compact"/>
              <w:spacing w:before="20" w:after="20" w:line="240" w:lineRule="auto"/>
              <w:keepNext/>
            </w:pPr>
            <w:r>
              <w:rPr>
                <w:sz w:val="14"/>
                <w:szCs w:val="14"/>
              </w:rPr>
              <w:t xml:space="preserve">0.785***</w:t>
            </w:r>
          </w:p>
        </w:tc>
      </w:tr>
      <w:tr>
        <w:trPr>
          <w:cantSplit/>
        </w:trPr>
        <w:tc>
          <w:tcPr>
            <w:tcW w:type="dxa" w:w="2959"/>
          </w:tcPr>
          <w:p>
            <w:pPr>
              <w:pStyle w:val="Compact"/>
              <w:spacing w:before="20" w:after="20" w:line="240" w:lineRule="auto"/>
              <w:keepNext/>
            </w:pPr>
            <w:r>
              <w:rPr>
                <w:sz w:val="14"/>
                <w:szCs w:val="14"/>
              </w:rPr>
              <w:t xml:space="preserve">핵심 표본(제목에 hybrid bonding)</w:t>
            </w:r>
          </w:p>
        </w:tc>
        <w:tc>
          <w:tcPr>
            <w:tcW w:type="dxa" w:w="480"/>
          </w:tcPr>
          <w:p>
            <w:pPr>
              <w:pStyle w:val="Compact"/>
              <w:spacing w:before="20" w:after="20" w:line="240" w:lineRule="auto"/>
              <w:jc w:val="right"/>
              <w:keepNext/>
            </w:pPr>
            <w:r>
              <w:rPr>
                <w:sz w:val="14"/>
                <w:szCs w:val="14"/>
              </w:rPr>
              <w:t xml:space="preserve">467</w:t>
            </w:r>
          </w:p>
        </w:tc>
        <w:tc>
          <w:tcPr>
            <w:tcW w:type="dxa" w:w="1143"/>
          </w:tcPr>
          <w:p>
            <w:pPr>
              <w:pStyle w:val="Compact"/>
              <w:spacing w:before="20" w:after="20" w:line="240" w:lineRule="auto"/>
              <w:keepNext/>
            </w:pPr>
            <w:r>
              <w:rPr>
                <w:sz w:val="14"/>
                <w:szCs w:val="14"/>
              </w:rPr>
              <w:t xml:space="preserve">1.485***</w:t>
            </w:r>
          </w:p>
        </w:tc>
        <w:tc>
          <w:tcPr>
            <w:tcW w:type="dxa" w:w="1583"/>
          </w:tcPr>
          <w:p>
            <w:pPr>
              <w:pStyle w:val="Compact"/>
              <w:spacing w:before="20" w:after="20" w:line="240" w:lineRule="auto"/>
              <w:keepNext/>
            </w:pPr>
            <w:r>
              <w:rPr>
                <w:sz w:val="14"/>
                <w:szCs w:val="14"/>
              </w:rPr>
              <w:t xml:space="preserve">1.029</w:t>
            </w:r>
          </w:p>
        </w:tc>
        <w:tc>
          <w:tcPr>
            <w:tcW w:type="dxa" w:w="1583"/>
          </w:tcPr>
          <w:p>
            <w:pPr>
              <w:pStyle w:val="Compact"/>
              <w:spacing w:before="20" w:after="20" w:line="240" w:lineRule="auto"/>
              <w:keepNext/>
            </w:pPr>
            <w:r>
              <w:rPr>
                <w:sz w:val="14"/>
                <w:szCs w:val="14"/>
              </w:rPr>
              <w:t xml:space="preserve">7.211***</w:t>
            </w:r>
          </w:p>
        </w:tc>
        <w:tc>
          <w:tcPr>
            <w:tcW w:type="dxa" w:w="1319"/>
          </w:tcPr>
          <w:p>
            <w:pPr>
              <w:pStyle w:val="Compact"/>
              <w:spacing w:before="20" w:after="20" w:line="240" w:lineRule="auto"/>
              <w:keepNext/>
            </w:pPr>
            <w:r>
              <w:rPr>
                <w:sz w:val="14"/>
                <w:szCs w:val="14"/>
              </w:rPr>
              <w:t xml:space="preserve">0.786***</w:t>
            </w:r>
          </w:p>
        </w:tc>
      </w:tr>
      <w:tr>
        <w:trPr>
          <w:cantSplit/>
        </w:trPr>
        <w:tc>
          <w:tcPr>
            <w:tcW w:type="dxa" w:w="2959"/>
          </w:tcPr>
          <w:p>
            <w:pPr>
              <w:pStyle w:val="Compact"/>
              <w:spacing w:before="20" w:after="20" w:line="240" w:lineRule="auto"/>
              <w:keepNext/>
            </w:pPr>
            <w:r>
              <w:rPr>
                <w:sz w:val="14"/>
                <w:szCs w:val="14"/>
              </w:rPr>
              <w:t xml:space="preserve">2023–2024년 제외</w:t>
            </w:r>
          </w:p>
        </w:tc>
        <w:tc>
          <w:tcPr>
            <w:tcW w:type="dxa" w:w="480"/>
          </w:tcPr>
          <w:p>
            <w:pPr>
              <w:pStyle w:val="Compact"/>
              <w:spacing w:before="20" w:after="20" w:line="240" w:lineRule="auto"/>
              <w:jc w:val="right"/>
              <w:keepNext/>
            </w:pPr>
            <w:r>
              <w:rPr>
                <w:sz w:val="14"/>
                <w:szCs w:val="14"/>
              </w:rPr>
              <w:t xml:space="preserve">753</w:t>
            </w:r>
          </w:p>
        </w:tc>
        <w:tc>
          <w:tcPr>
            <w:tcW w:type="dxa" w:w="1143"/>
          </w:tcPr>
          <w:p>
            <w:pPr>
              <w:pStyle w:val="Compact"/>
              <w:spacing w:before="20" w:after="20" w:line="240" w:lineRule="auto"/>
              <w:keepNext/>
            </w:pPr>
            <w:r>
              <w:rPr>
                <w:sz w:val="14"/>
                <w:szCs w:val="14"/>
              </w:rPr>
              <w:t xml:space="preserve">1.418***</w:t>
            </w:r>
          </w:p>
        </w:tc>
        <w:tc>
          <w:tcPr>
            <w:tcW w:type="dxa" w:w="1583"/>
          </w:tcPr>
          <w:p>
            <w:pPr>
              <w:pStyle w:val="Compact"/>
              <w:spacing w:before="20" w:after="20" w:line="240" w:lineRule="auto"/>
              <w:keepNext/>
            </w:pPr>
            <w:r>
              <w:rPr>
                <w:sz w:val="14"/>
                <w:szCs w:val="14"/>
              </w:rPr>
              <w:t xml:space="preserve">0.909***</w:t>
            </w:r>
          </w:p>
        </w:tc>
        <w:tc>
          <w:tcPr>
            <w:tcW w:type="dxa" w:w="1583"/>
          </w:tcPr>
          <w:p>
            <w:pPr>
              <w:pStyle w:val="Compact"/>
              <w:spacing w:before="20" w:after="20" w:line="240" w:lineRule="auto"/>
              <w:keepNext/>
            </w:pPr>
            <w:r>
              <w:rPr>
                <w:sz w:val="14"/>
                <w:szCs w:val="14"/>
              </w:rPr>
              <w:t xml:space="preserve">1.651</w:t>
            </w:r>
          </w:p>
        </w:tc>
        <w:tc>
          <w:tcPr>
            <w:tcW w:type="dxa" w:w="1319"/>
          </w:tcPr>
          <w:p>
            <w:pPr>
              <w:pStyle w:val="Compact"/>
              <w:spacing w:before="20" w:after="20" w:line="240" w:lineRule="auto"/>
              <w:keepNext/>
            </w:pPr>
            <w:r>
              <w:rPr>
                <w:sz w:val="14"/>
                <w:szCs w:val="14"/>
              </w:rPr>
              <w:t xml:space="preserve">0.808***</w:t>
            </w:r>
          </w:p>
        </w:tc>
      </w:tr>
    </w:tbl>
    <w:p>
      <w:pPr>
        <w:pStyle w:val="BodyText"/>
      </w:pPr>
      <w:r>
        <w:rPr>
          <w:i/>
          <w:iCs/>
        </w:rPr>
        <w:t xml:space="preserve">주:</w:t>
      </w:r>
      <w:r>
        <w:t xml:space="preserve"> </w:t>
      </w:r>
      <w:r>
        <w:t xml:space="preserve">군집 표준오차 행은 점추정치가 기준과 같고 유의성만 동일 제목 군집 기준이다. 좁은 전공정 정의는 기술범위 변수를 바꾸지 않으므로 마지막 열은 기준과 같다. 표준오차와 나머지 계수, 그리고 각 클래스의 첫 기호를 뺀 조정 범위의 탐색적 결과는 부록 B에 있다.</w:t>
      </w:r>
    </w:p>
    <w:p>
      <w:pPr>
        <w:pStyle w:val="BodyText"/>
      </w:pPr>
      <w:r>
        <w:rPr>
          <w:b/>
          <w:bCs/>
        </w:rPr>
        <w:t xml:space="preserve">관측치의 독립성.</w:t>
      </w:r>
      <w:r>
        <w:t xml:space="preserve"> </w:t>
      </w:r>
      <w:r>
        <w:t xml:space="preserve">같은 제목의 출원을 한 군집으로 묶은 표준오차에서도 표 9의 네 계수는 모두 1% 수준에서 유지된다. 다만 범위 → 공정 단독형(RRR 0.905)은 p = 0.29로, 일본 → 공정 단독형은 p = 0.06으로 유의성을 잃는다.</w:t>
      </w:r>
    </w:p>
    <w:p>
      <w:pPr>
        <w:pStyle w:val="BodyText"/>
      </w:pPr>
      <w:r>
        <w:rPr>
          <w:b/>
          <w:bCs/>
        </w:rPr>
        <w:t xml:space="preserve">범위의 기계적 부분.</w:t>
      </w:r>
      <w:r>
        <w:t xml:space="preserve"> </w:t>
      </w:r>
      <w:r>
        <w:t xml:space="preserve">통합형은 정의상 두 클래스의 기호를 하나씩은 가지므로 범위가 2 이상이다. 이 최소 기호 수의 차이를 탐색하기 위해 각 보유 클래스의 첫 기호를 뺀 조정 지표로 다시 추정하면 통합형의 RRR은 1.403에서 1.262로 줄지만 정적 연관은 유지된다(부록 B). 그러나 이 지표 역시 유형 정보를 이용해 만들어지므로 기계적 연관을 완전히 제거한 독립적 검정은 아니다. 따라서 이 결과는 H1의 결정적 증거로 쓰지 않으며, H1은 인과효과가 아니라 통합형 특허의 구성적 특성으로 해석한다.</w:t>
      </w:r>
    </w:p>
    <w:p>
      <w:pPr>
        <w:pStyle w:val="BodyText"/>
      </w:pPr>
      <w:r>
        <w:rPr>
          <w:b/>
          <w:bCs/>
        </w:rPr>
        <w:t xml:space="preserve">동일 제목 중복.</w:t>
      </w:r>
      <w:r>
        <w:t xml:space="preserve"> </w:t>
      </w:r>
      <w:r>
        <w:t xml:space="preserve">제목이 같은 출원 가운데 가장 이른 출원 1건만 남기면 표본은 473건이 된다. 네 가설의 핵심 계수는 모두 1% 수준에서 유지된다. 같은 제목의 미국–중국 출원 쌍 37개를 보면 기술범위는 34쌍, 유형은 36쌍에서 같다. 따라서 출원청 간 차이는 같은 발명의 분류가 관할권마다 달라서가 아니라, 어떤 발명이 어느 출원청에 진입했는가의 선택 차이를 반영할 가능성이 크다.</w:t>
      </w:r>
    </w:p>
    <w:p>
      <w:pPr>
        <w:pStyle w:val="BodyText"/>
      </w:pPr>
      <w:r>
        <w:rPr>
          <w:b/>
          <w:bCs/>
        </w:rPr>
        <w:t xml:space="preserve">전공정의 정의.</w:t>
      </w:r>
      <w:r>
        <w:t xml:space="preserve"> </w:t>
      </w:r>
      <w:r>
        <w:t xml:space="preserve">제4.2절에서 밝혔듯이 H01L21에는 조립 단계의 제조공정도 들어 있다. 이를 제조공정으로 세지 않는 좁은 정의를 쓰면(어느 기호도 남지 않는 20건 제외, N = 908) 제조공정 기호를 가진 출원은 52.0%로 낮아지고, 유형 분포는 조립 단독형 46.8%, 통합형 37.2%, 공정 단독형 16.0%로 바뀌어 조립 단독형이 가장 많아진다. 즉 통합형이 최다 유형이라는 기술통계는 정의에 따라 달라지지만, 보수적 정의에서도 출원의 3분의 1 이상이 두 영역의 기호를 함께 가지며, 네 가설의 계수는 부호와 유의성이 그대로다.</w:t>
      </w:r>
    </w:p>
    <w:p>
      <w:pPr>
        <w:pStyle w:val="BodyText"/>
      </w:pPr>
      <w:r>
        <w:rPr>
          <w:b/>
          <w:bCs/>
        </w:rPr>
        <w:t xml:space="preserve">검색어의 정밀도.</w:t>
      </w:r>
      <w:r>
        <w:t xml:space="preserve"> </w:t>
      </w:r>
      <w:r>
        <w:t xml:space="preserve">무관한 용법 68건을 뺀 표본(N = 860)에서 유형 분포는 통합형 47.4%, 조립 단독형 35.4%, 공정 단독형 17.2%이며 핵심 계수는 모두 유지된다. 제목에</w:t>
      </w:r>
      <w:r>
        <w:t xml:space="preserve"> </w:t>
      </w:r>
      <w:r>
        <w:rPr>
          <w:i/>
          <w:iCs/>
        </w:rPr>
        <w:t xml:space="preserve">hybrid bonding</w:t>
      </w:r>
      <w:r>
        <w:t xml:space="preserve">이 들어 있는 핵심 표본(N = 467)에서는 통합형 49.5%, 조립 단독형 38.3%, 공정 단독형 12.2%이며, 범위 → 통합형(1.485), 중국 → 공정 단독형(7.211), 중국 → 범위(IRR 0.786)는 모두 1% 수준에서 유지된다. 다만 이 표본은 2015년 이전 출원이 30건뿐이어서 연도 계수는 유의하지 않다(1.029). 공정 단독형의 감소는 상당 부분</w:t>
      </w:r>
      <w:r>
        <w:t xml:space="preserve"> </w:t>
      </w:r>
      <w:r>
        <w:rPr>
          <w:i/>
          <w:iCs/>
        </w:rPr>
        <w:t xml:space="preserve">direct bonding</w:t>
      </w:r>
      <w:r>
        <w:t xml:space="preserve"> </w:t>
      </w:r>
      <w:r>
        <w:t xml:space="preserve">시기의 웨이퍼 접합 공정 출원에서</w:t>
      </w:r>
      <w:r>
        <w:t xml:space="preserve"> </w:t>
      </w:r>
      <w:r>
        <w:rPr>
          <w:i/>
          <w:iCs/>
        </w:rPr>
        <w:t xml:space="preserve">hybrid bonding</w:t>
      </w:r>
      <w:r>
        <w:t xml:space="preserve"> </w:t>
      </w:r>
      <w:r>
        <w:t xml:space="preserve">시기의 구조 출원으로 넘어온 변화이며, 핵심 표본만으로는 그 이전 시기를 관찰할 수 없기 때문이다.</w:t>
      </w:r>
    </w:p>
    <w:p>
      <w:pPr>
        <w:pStyle w:val="BodyText"/>
      </w:pPr>
      <w:r>
        <w:rPr>
          <w:b/>
          <w:bCs/>
        </w:rPr>
        <w:t xml:space="preserve">최근 출원의 공개 시차.</w:t>
      </w:r>
      <w:r>
        <w:t xml:space="preserve"> </w:t>
      </w:r>
      <w:r>
        <w:t xml:space="preserve">2023–2024년 출원은 아직 공개되지 않은 건이 많으므로 이 두 해를 뺀 표본(N = 753)으로 다시 추정하였다. 범위와 연도의 계수는 유지되고 중국 출원청의 범위가 좁다는 결과도 유지되지만(IRR 0.808, p &lt; 0.01), 중국 출원청의 공정 단독형 RRR은 1.651(p = 0.12)로 유의성을 잃는다. 2023–2024년 중국 출원청 출원 39건 중 18건이 공정 단독형인 반면 미국 출원청은 65건 중 3건에 그치기 때문이다. 따라서 H3b는 최근 출원 구성에 민감한 제한적 증거이며 제한적 지지로 판정한다.</w:t>
      </w:r>
    </w:p>
    <w:bookmarkEnd w:id="44"/>
    <w:bookmarkStart w:id="45" w:name="가설-판정"/>
    <w:p>
      <w:pPr>
        <w:pStyle w:val="Heading3"/>
      </w:pPr>
      <w:r>
        <w:t xml:space="preserve">5.5 가설 판정</w:t>
      </w:r>
    </w:p>
    <w:p>
      <w:pPr>
        <w:pStyle w:val="FirstParagraph"/>
      </w:pPr>
      <w:r>
        <w:t xml:space="preserve">표 10은 기준 모형(표 5·7)과 제5.4절의 재추정 결과를 함께 고려한 가설 판정이다.</w:t>
      </w:r>
    </w:p>
    <w:p>
      <w:pPr>
        <w:pStyle w:val="BodyText"/>
        <w:keepNext/>
      </w:pPr>
      <w:r>
        <w:rPr>
          <w:b/>
          <w:bCs/>
        </w:rPr>
        <w:t xml:space="preserve">표 10.</w:t>
      </w:r>
      <w:r>
        <w:t xml:space="preserve"> </w:t>
      </w:r>
      <w:r>
        <w:t xml:space="preserve">가설과 결과 요약(*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99"/>
        <w:gridCol w:w="2698"/>
        <w:gridCol w:w="3298"/>
        <w:gridCol w:w="2473"/>
      </w:tblGrid>
      <w:tr>
        <w:trPr>
          <w:tblHeader w:val="on"/>
          <w:cantSplit/>
        </w:trPr>
        <w:tc>
          <w:tcPr>
            <w:tcW w:type="dxa" w:w="599"/>
            <w:tcBorders>
              <w:bottom w:val="single" w:sz="4" w:space="0" w:color="000000"/>
            </w:tcBorders>
          </w:tcPr>
          <w:p>
            <w:pPr>
              <w:pStyle w:val="Compact"/>
              <w:spacing w:before="20" w:after="20" w:line="240" w:lineRule="auto"/>
              <w:keepNext/>
            </w:pPr>
            <w:r>
              <w:rPr>
                <w:sz w:val="15"/>
                <w:szCs w:val="15"/>
              </w:rPr>
              <w:t xml:space="preserve">가설</w:t>
            </w:r>
          </w:p>
        </w:tc>
        <w:tc>
          <w:tcPr>
            <w:tcW w:type="dxa" w:w="2698"/>
            <w:tcBorders>
              <w:bottom w:val="single" w:sz="4" w:space="0" w:color="000000"/>
            </w:tcBorders>
          </w:tcPr>
          <w:p>
            <w:pPr>
              <w:pStyle w:val="Compact"/>
              <w:spacing w:before="20" w:after="20" w:line="240" w:lineRule="auto"/>
              <w:keepNext/>
            </w:pPr>
            <w:r>
              <w:rPr>
                <w:sz w:val="15"/>
                <w:szCs w:val="15"/>
              </w:rPr>
              <w:t xml:space="preserve">예측</w:t>
            </w:r>
          </w:p>
        </w:tc>
        <w:tc>
          <w:tcPr>
            <w:tcW w:type="dxa" w:w="3298"/>
            <w:tcBorders>
              <w:bottom w:val="single" w:sz="4" w:space="0" w:color="000000"/>
            </w:tcBorders>
          </w:tcPr>
          <w:p>
            <w:pPr>
              <w:pStyle w:val="Compact"/>
              <w:spacing w:before="20" w:after="20" w:line="240" w:lineRule="auto"/>
              <w:keepNext/>
            </w:pPr>
            <w:r>
              <w:rPr>
                <w:sz w:val="15"/>
                <w:szCs w:val="15"/>
              </w:rPr>
              <w:t xml:space="preserve">주요 증거</w:t>
            </w:r>
          </w:p>
        </w:tc>
        <w:tc>
          <w:tcPr>
            <w:tcW w:type="dxa" w:w="2473"/>
            <w:tcBorders>
              <w:bottom w:val="single" w:sz="4" w:space="0" w:color="000000"/>
            </w:tcBorders>
          </w:tcPr>
          <w:p>
            <w:pPr>
              <w:pStyle w:val="Compact"/>
              <w:spacing w:before="20" w:after="20" w:line="240" w:lineRule="auto"/>
              <w:keepNext/>
            </w:pPr>
            <w:r>
              <w:rPr>
                <w:sz w:val="15"/>
                <w:szCs w:val="15"/>
              </w:rPr>
              <w:t xml:space="preserve">판정</w:t>
            </w:r>
          </w:p>
        </w:tc>
      </w:tr>
      <w:tr>
        <w:trPr>
          <w:cantSplit/>
        </w:trPr>
        <w:tc>
          <w:tcPr>
            <w:tcW w:type="dxa" w:w="599"/>
          </w:tcPr>
          <w:p>
            <w:pPr>
              <w:pStyle w:val="Compact"/>
              <w:spacing w:before="20" w:after="20" w:line="240" w:lineRule="auto"/>
              <w:keepNext/>
            </w:pPr>
            <w:r>
              <w:rPr>
                <w:sz w:val="15"/>
                <w:szCs w:val="15"/>
              </w:rPr>
              <w:t xml:space="preserve">H1</w:t>
            </w:r>
          </w:p>
        </w:tc>
        <w:tc>
          <w:tcPr>
            <w:tcW w:type="dxa" w:w="2698"/>
          </w:tcPr>
          <w:p>
            <w:pPr>
              <w:pStyle w:val="Compact"/>
              <w:spacing w:before="20" w:after="20" w:line="240" w:lineRule="auto"/>
              <w:keepNext/>
            </w:pPr>
            <w:r>
              <w:rPr>
                <w:sz w:val="15"/>
                <w:szCs w:val="15"/>
              </w:rPr>
              <w:t xml:space="preserve">세부 기술이 다양할수록 통합형</w:t>
            </w:r>
          </w:p>
        </w:tc>
        <w:tc>
          <w:tcPr>
            <w:tcW w:type="dxa" w:w="3298"/>
          </w:tcPr>
          <w:p>
            <w:pPr>
              <w:pStyle w:val="Compact"/>
              <w:spacing w:before="20" w:after="20" w:line="240" w:lineRule="auto"/>
              <w:keepNext/>
            </w:pPr>
            <w:r>
              <w:rPr>
                <w:sz w:val="15"/>
                <w:szCs w:val="15"/>
              </w:rPr>
              <w:t xml:space="preserve">RRR 1.403***(표 7); 모든 재추정에서 1.295–1.485***(표 9)</w:t>
            </w:r>
          </w:p>
        </w:tc>
        <w:tc>
          <w:tcPr>
            <w:tcW w:type="dxa" w:w="2473"/>
          </w:tcPr>
          <w:p>
            <w:pPr>
              <w:pStyle w:val="Compact"/>
              <w:spacing w:before="20" w:after="20" w:line="240" w:lineRule="auto"/>
              <w:keepNext/>
            </w:pPr>
            <w:r>
              <w:rPr>
                <w:sz w:val="15"/>
                <w:szCs w:val="15"/>
              </w:rPr>
              <w:t xml:space="preserve">지지(구성적 연관)</w:t>
            </w:r>
          </w:p>
        </w:tc>
      </w:tr>
      <w:tr>
        <w:trPr>
          <w:cantSplit/>
        </w:trPr>
        <w:tc>
          <w:tcPr>
            <w:tcW w:type="dxa" w:w="599"/>
          </w:tcPr>
          <w:p>
            <w:pPr>
              <w:pStyle w:val="Compact"/>
              <w:spacing w:before="20" w:after="20" w:line="240" w:lineRule="auto"/>
              <w:keepNext/>
            </w:pPr>
            <w:r>
              <w:rPr>
                <w:sz w:val="15"/>
                <w:szCs w:val="15"/>
              </w:rPr>
              <w:t xml:space="preserve">H2</w:t>
            </w:r>
          </w:p>
        </w:tc>
        <w:tc>
          <w:tcPr>
            <w:tcW w:type="dxa" w:w="2698"/>
          </w:tcPr>
          <w:p>
            <w:pPr>
              <w:pStyle w:val="Compact"/>
              <w:spacing w:before="20" w:after="20" w:line="240" w:lineRule="auto"/>
              <w:keepNext/>
            </w:pPr>
            <w:r>
              <w:rPr>
                <w:sz w:val="15"/>
                <w:szCs w:val="15"/>
              </w:rPr>
              <w:t xml:space="preserve">최근 출원일수록 공정 단독형이 드묾</w:t>
            </w:r>
          </w:p>
        </w:tc>
        <w:tc>
          <w:tcPr>
            <w:tcW w:type="dxa" w:w="3298"/>
          </w:tcPr>
          <w:p>
            <w:pPr>
              <w:pStyle w:val="Compact"/>
              <w:spacing w:before="20" w:after="20" w:line="240" w:lineRule="auto"/>
              <w:keepNext/>
            </w:pPr>
            <w:r>
              <w:rPr>
                <w:sz w:val="15"/>
                <w:szCs w:val="15"/>
              </w:rPr>
              <w:t xml:space="preserve">RRR 0.913***(표 7); 기간 더미 0.273***/0.101***; 재추정에서 0.820–0.935***(표 9); 다만 2015년 이전 출원이 30건뿐인 핵심 표본에서는 시간 추세가 식별되지 않음</w:t>
            </w:r>
          </w:p>
        </w:tc>
        <w:tc>
          <w:tcPr>
            <w:tcW w:type="dxa" w:w="2473"/>
          </w:tcPr>
          <w:p>
            <w:pPr>
              <w:pStyle w:val="Compact"/>
              <w:spacing w:before="20" w:after="20" w:line="240" w:lineRule="auto"/>
              <w:keepNext/>
            </w:pPr>
            <w:r>
              <w:rPr>
                <w:sz w:val="15"/>
                <w:szCs w:val="15"/>
              </w:rPr>
              <w:t xml:space="preserve">지지</w:t>
            </w:r>
          </w:p>
        </w:tc>
      </w:tr>
      <w:tr>
        <w:trPr>
          <w:cantSplit/>
        </w:trPr>
        <w:tc>
          <w:tcPr>
            <w:tcW w:type="dxa" w:w="599"/>
          </w:tcPr>
          <w:p>
            <w:pPr>
              <w:pStyle w:val="Compact"/>
              <w:spacing w:before="20" w:after="20" w:line="240" w:lineRule="auto"/>
              <w:keepNext/>
            </w:pPr>
            <w:r>
              <w:rPr>
                <w:sz w:val="15"/>
                <w:szCs w:val="15"/>
              </w:rPr>
              <w:t xml:space="preserve">H3a</w:t>
            </w:r>
          </w:p>
        </w:tc>
        <w:tc>
          <w:tcPr>
            <w:tcW w:type="dxa" w:w="2698"/>
          </w:tcPr>
          <w:p>
            <w:pPr>
              <w:pStyle w:val="Compact"/>
              <w:spacing w:before="20" w:after="20" w:line="240" w:lineRule="auto"/>
              <w:keepNext/>
            </w:pPr>
            <w:r>
              <w:rPr>
                <w:sz w:val="15"/>
                <w:szCs w:val="15"/>
              </w:rPr>
              <w:t xml:space="preserve">중국 출원청 출원은 범위가 좁음</w:t>
            </w:r>
          </w:p>
        </w:tc>
        <w:tc>
          <w:tcPr>
            <w:tcW w:type="dxa" w:w="3298"/>
          </w:tcPr>
          <w:p>
            <w:pPr>
              <w:pStyle w:val="Compact"/>
              <w:spacing w:before="20" w:after="20" w:line="240" w:lineRule="auto"/>
              <w:keepNext/>
            </w:pPr>
            <w:r>
              <w:rPr>
                <w:sz w:val="15"/>
                <w:szCs w:val="15"/>
              </w:rPr>
              <w:t xml:space="preserve">IRR 0.785***(표 5); 모든 재추정에서 0.785–0.808***(표 9)</w:t>
            </w:r>
          </w:p>
        </w:tc>
        <w:tc>
          <w:tcPr>
            <w:tcW w:type="dxa" w:w="2473"/>
          </w:tcPr>
          <w:p>
            <w:pPr>
              <w:pStyle w:val="Compact"/>
              <w:spacing w:before="20" w:after="20" w:line="240" w:lineRule="auto"/>
              <w:keepNext/>
            </w:pPr>
            <w:r>
              <w:rPr>
                <w:sz w:val="15"/>
                <w:szCs w:val="15"/>
              </w:rPr>
              <w:t xml:space="preserve">지지</w:t>
            </w:r>
          </w:p>
        </w:tc>
      </w:tr>
      <w:tr>
        <w:trPr>
          <w:cantSplit/>
        </w:trPr>
        <w:tc>
          <w:tcPr>
            <w:tcW w:type="dxa" w:w="599"/>
          </w:tcPr>
          <w:p>
            <w:pPr>
              <w:pStyle w:val="Compact"/>
              <w:spacing w:before="20" w:after="20" w:line="240" w:lineRule="auto"/>
              <w:keepNext/>
            </w:pPr>
            <w:r>
              <w:rPr>
                <w:sz w:val="15"/>
                <w:szCs w:val="15"/>
              </w:rPr>
              <w:t xml:space="preserve">H3b</w:t>
            </w:r>
          </w:p>
        </w:tc>
        <w:tc>
          <w:tcPr>
            <w:tcW w:type="dxa" w:w="2698"/>
          </w:tcPr>
          <w:p>
            <w:pPr>
              <w:pStyle w:val="Compact"/>
              <w:spacing w:before="20" w:after="20" w:line="240" w:lineRule="auto"/>
              <w:keepNext/>
            </w:pPr>
            <w:r>
              <w:rPr>
                <w:sz w:val="15"/>
                <w:szCs w:val="15"/>
              </w:rPr>
              <w:t xml:space="preserve">중국 출원청 출원은 공정 단독형이 많음</w:t>
            </w:r>
          </w:p>
        </w:tc>
        <w:tc>
          <w:tcPr>
            <w:tcW w:type="dxa" w:w="3298"/>
          </w:tcPr>
          <w:p>
            <w:pPr>
              <w:pStyle w:val="Compact"/>
              <w:spacing w:before="20" w:after="20" w:line="240" w:lineRule="auto"/>
              <w:keepNext/>
            </w:pPr>
            <w:r>
              <w:rPr>
                <w:sz w:val="15"/>
                <w:szCs w:val="15"/>
              </w:rPr>
              <w:t xml:space="preserve">RRR 2.687***(표 7); 재추정에서 2.721–7.211***(표 9); 다만 2023–2024년 제외 시 1.651(비유의)</w:t>
            </w:r>
          </w:p>
        </w:tc>
        <w:tc>
          <w:tcPr>
            <w:tcW w:type="dxa" w:w="2473"/>
          </w:tcPr>
          <w:p>
            <w:pPr>
              <w:pStyle w:val="Compact"/>
              <w:spacing w:before="20" w:after="20" w:line="240" w:lineRule="auto"/>
              <w:keepNext/>
            </w:pPr>
            <w:r>
              <w:rPr>
                <w:sz w:val="15"/>
                <w:szCs w:val="15"/>
              </w:rPr>
              <w:t xml:space="preserve">제한적 지지(최근 출원 구성에 민감)</w:t>
            </w:r>
          </w:p>
        </w:tc>
      </w:tr>
    </w:tbl>
    <w:bookmarkEnd w:id="45"/>
    <w:bookmarkEnd w:id="46"/>
    <w:bookmarkStart w:id="50" w:name="논의"/>
    <w:p>
      <w:pPr>
        <w:pStyle w:val="Heading2"/>
      </w:pPr>
      <w:r>
        <w:t xml:space="preserve">6. 논의</w:t>
      </w:r>
    </w:p>
    <w:bookmarkStart w:id="47" w:name="이론적-함의"/>
    <w:p>
      <w:pPr>
        <w:pStyle w:val="Heading3"/>
      </w:pPr>
      <w:r>
        <w:t xml:space="preserve">6.1 이론적 함의</w:t>
      </w:r>
    </w:p>
    <w:p>
      <w:pPr>
        <w:pStyle w:val="FirstParagraph"/>
      </w:pPr>
      <w:r>
        <w:rPr>
          <w:b/>
          <w:bCs/>
        </w:rPr>
        <w:t xml:space="preserve">산업 안에서 일어나는 융합.</w:t>
      </w:r>
      <w:r>
        <w:t xml:space="preserve"> </w:t>
      </w:r>
      <w:r>
        <w:t xml:space="preserve">기존 문헌은 융합을 주로 산업과 산업, 기술 분야와 기술 분야 사이의 일로 다루어 왔다(Hacklin et al., 2010; Curran and Leker, 2011). 본 연구의 결과는 같은 개념이 한 산업을 가로지르는 경계, 곧 반도체 제조의 제조공정 영역과 접합 영역 사이에도 적용되며, 그 경계 넘기를 개별 특허에서 관찰할 수 있음을 보여준다. 하이브리드 본딩 관련 특허의 45.8%는 두 영역의 기호를 함께 가지며, 보수적 정의에서도 37.2%가 그렇다. 본 연구는 산업 아키텍처의 변화를 직접 검정하지 않는다. 다만 Jacobides et al.(2006)의 말대로 산업 아키텍처가 분업의 틀이라면, 단계 사이의 인터페이스가 흔들릴 때 발명이 그 양쪽을 함께 담기 시작하는 것은 그 틀이 다시 짜이는 데 선행할 수 있는 기술적 상호의존의 확대이며, 본 연구는 이를 특허 공동분류로 포착한다. Kapoor(2013)가 보인 것이 분업 속에서도 조직적 통합이 이어졌다는 사실이라면, 본 연구에서 관찰된 것은 그 통합의 기술적 바탕, 곧 두 영역의 지식이 개별 발명 안에서 결합되고 있다는 사실이다. 융합의 단계 논리(Hacklin et al., 2010)에 따르면 기술의 결합이 조직의 결합에 앞서므로, 경계를 넘는 특허의 분포는 조직 경계의 변화에 앞서 나타나는 지표가 될 수 있다는 가설을 후속 연구에 남긴다.</w:t>
      </w:r>
    </w:p>
    <w:p>
      <w:pPr>
        <w:pStyle w:val="BodyText"/>
      </w:pPr>
      <w:r>
        <w:rPr>
          <w:b/>
          <w:bCs/>
        </w:rPr>
        <w:t xml:space="preserve">융합의 미시 메커니즘으로서의 다양성.</w:t>
      </w:r>
      <w:r>
        <w:t xml:space="preserve"> </w:t>
      </w:r>
      <w:r>
        <w:t xml:space="preserve">Kodama(1992)의 융합은 기업의 연구개발 조직 수준에서, 융합 지수는 분야 수준에서 정의되었다. 본 연구의 특허 수준 증거는 그 메커니즘을 개별 발명의 기술적 다양성에 놓는다. 더 많은 세부 기술에 걸치는 출원이 제조공정과 접합 기호를 함께 가지는 출원이고, 좁은 출원은 한 영역에 머문다. 두 변수가 같은 CPC 정보에서 만들어지므로 이는 결정요인이 아니라 통합형 특허의 구성적 특징이다(제5.4절). 이는 범위가 가치를 지닌다는 Lerner(1994)의 발견, 잘게 나뉜 기술 시장에서 넓은 포트폴리오가 유리하다는 Ziedonis(2004)의 설명과 맞닿아 있다. 수율이 이웃 단계의 역량에 달린 기술에서 넓은 기술적 다양성은 보호 전략일 뿐 아니라 융합이 분류 속에서 취하는 형태다.</w:t>
      </w:r>
    </w:p>
    <w:p>
      <w:pPr>
        <w:pStyle w:val="BodyText"/>
      </w:pPr>
      <w:r>
        <w:rPr>
          <w:b/>
          <w:bCs/>
        </w:rPr>
        <w:t xml:space="preserve">축적이 아닌 재구성.</w:t>
      </w:r>
      <w:r>
        <w:t xml:space="preserve"> </w:t>
      </w:r>
      <w:r>
        <w:t xml:space="preserve">융합을 단순하게 생각하면 경계를 넘는 특허의 비중이 시간이 갈수록 계속 늘 것으로 기대하게 된다. 결과는 그렇지 않았다(표 8). 2014년 이전에서 2015–2019년으로 가면서 공정 단독형은 43.6%에서 14.8%로 줄고 통합형은 31.3%에서 62.2%로 늘었다. 초기에 중요했던 평탄화, 표면 활성화, 어닐링 같은 공정 발명이 성숙기에는 홀로 분류되기보다 접합 구조와 함께 분류되기 시작한 것이다. 2020–2024년에는 통합형이 44.3%로 낮아지고 조립 단독형이 45.4%로 늘었다. 기간별 기호 수도 같은 방향이다. 출원당 접합 계열(H01L24) 기호는 2014년 이전 3.03개에서 2015–2019년 4.73개로 늘었다가 2020–2024년 3.91개로 줄었고, 제조공정 계열(H01L21) 기호는 2.12개와 2.23개에서 1.46개로 줄었다. 적용이 웨이퍼 단위에서 다이 단위 접합으로 넓어지고 HBM과 칩렛이 양산에 가까워지면서, 발명의 중심이 접합 구조와 적층 자체로 이동한 것으로 읽을 수 있다. 융합은 더 많은 특허가 경계를 넘는 방식이 아니라, 경계를 넘는 내용이 단계마다 형태를 바꾸는 방식으로 진행된 셈이다. 이는 Hacklin et al.(2009)의 공진화 논리를 하나의 기술 안에서 관찰한 것에 해당한다. 다만 이 해석은 가설로 미리 세운 것이 아니며, 접합 코드를 부여하는 심사 관행이 넓어졌을 가능성과 최근 출원의 분류가 아직 끝나지 않았을 가능성을 본 연구의 자료로는 배제할 수 없으므로 탐색적 해석으로 제시한다.</w:t>
      </w:r>
    </w:p>
    <w:p>
      <w:pPr>
        <w:pStyle w:val="BodyText"/>
      </w:pPr>
      <w:r>
        <w:rPr>
          <w:b/>
          <w:bCs/>
        </w:rPr>
        <w:t xml:space="preserve">관할권이 분류에 남기는 흔적.</w:t>
      </w:r>
      <w:r>
        <w:t xml:space="preserve"> </w:t>
      </w:r>
      <w:r>
        <w:t xml:space="preserve">출원청 간 차이는 통합형이 아니라 공정 단독형과 기술범위에서 나타났다. 중국 출원청에 진입한 발명 포트폴리오는 범위가 좁고, 특정 제조공정에 집중된 출원이 상대적으로 많다. 이 패턴은 적층 전체를 포괄하기 전에 특정 제조 단계를 먼저 확보하는 추격 단계의 출원 양상과 정합적이며(Lee and Lim, 2001), 중국 특허의 양적 팽창과 보조금 정책에 관한 증거(Hu and Jefferson, 2009; Dang and Motohashi, 2015)와도 일관된다. 그러나 출원청 계수는 관할권의 인과효과가 아니라 각 출원청에 제출된 발명 포트폴리오의 조건부 구성 차이이며, 출원인과 패밀리 정보를 통제하지 못하므로 추격 전략의 직접적인 증거로 볼 수는 없다. 출원청 효과에는 출원인의 국적과 유형, 같은 발명의 해외 출원 여부, 심사 기준과 분류 관행이 함께 섞여 있고, 공정 단독형 편중은 최근 출원 구성에 민감한 제한적 결과다. 확실한 것은 범위와 시점을 통제하면 통합형의 비중 자체는 출원청 간에 다르지 않다는 점이다. 본 표본에서 출원청별 차이는 공동분류형보다 한 영역에만 분류된 출원에서 더 두드러지게 관찰되었다. 한국과 대만은 범위와 통합형에서 미국과 비슷하며, 이는 미국 출원인과 정면으로 경쟁하는 메모리 제조사와 파운드리의 위치를 생각하면 자연스럽다.</w:t>
      </w:r>
    </w:p>
    <w:bookmarkEnd w:id="47"/>
    <w:bookmarkStart w:id="48" w:name="실무적정책적-함의"/>
    <w:p>
      <w:pPr>
        <w:pStyle w:val="Heading3"/>
      </w:pPr>
      <w:r>
        <w:t xml:space="preserve">6.2 실무적·정책적 함의</w:t>
      </w:r>
    </w:p>
    <w:p>
      <w:pPr>
        <w:pStyle w:val="FirstParagraph"/>
      </w:pPr>
      <w:r>
        <w:t xml:space="preserve">자료가 출원인의 유형을 구분하지 않으므로 실무적 함의는 가능성의 수준에서 제시한다. 본 연구는 조립·테스트 전문업체의 성과나 특허 경쟁력을 직접 비교하지 않는다. 다만 상당수 출원이 제조공정과 접합 기술을 함께 포함한다는 결과는, 하이브리드 본딩에서는 접합 장비의 운용만으로는 충분하지 않고 표면 평탄화, 오염 제어, 표면 화학, 정렬을 포함한 인접 공정 지식이 중요해질 수 있음을 시사한다. 독립적 산업 분석이 파운드리, 종합반도체기업, 라이선싱 기업을 특허 활동을 주도하는 출원인으로 꼽는 점(KnowMade, 2024)도 같은 방향이다. 결과는 파운드리와 종합반도체기업의 패키징 내재화를 직접 입증하지 않지만, 제조공정과 접합 기술의 공동분류가 빈번하다는 사실은 두 공정 영역을 잇는 지식 범위가 하이브리드 본딩 관련 특허 활동에서 중요하다는 점을 보여주며, 이는 Kapoor와 Adner(2012)가 말한 지식 경계의 논리와 정합적이다.</w:t>
      </w:r>
    </w:p>
    <w:p>
      <w:pPr>
        <w:pStyle w:val="BodyText"/>
      </w:pPr>
      <w:r>
        <w:t xml:space="preserve">정책에 대해서는 관할권 비교가 시사적이다. 중국 출원청 표본의 좁은 클래스 내 CPC 범위는 견고하게 관찰되었지만, 그 원인이 보조금 정책(Dang and Motohashi, 2015), 출원인 구성, 기술 단계, 출원 선택 가운데 무엇인지는 본 자료로 구분할 수 없다. 한국 출원청의 계수는 기준 모형에서 유의하지 않으므로, 한국에 대한 함의는 표본 전체의 패턴에서 끌어낸 것이다. 차세대 HBM을 하이브리드 본딩에 기대고 있는 한국의 메모리 산업에 결과가 시사하는 바는, 패키징 경쟁력이 패키징 노하우만이 아니라 평탄화, 표면 화학, 정렬 계측 같은 제조공정 역량과 이를 하나의 특허출원에서 통합적으로 보호하는 능력에 달려 있을 수 있다는 점이다.</w:t>
      </w:r>
    </w:p>
    <w:bookmarkEnd w:id="48"/>
    <w:bookmarkStart w:id="49" w:name="한계와-향후-연구"/>
    <w:p>
      <w:pPr>
        <w:pStyle w:val="Heading3"/>
      </w:pPr>
      <w:r>
        <w:t xml:space="preserve">6.3 한계와 향후 연구</w:t>
      </w:r>
    </w:p>
    <w:p>
      <w:pPr>
        <w:pStyle w:val="FirstParagraph"/>
      </w:pPr>
      <w:r>
        <w:t xml:space="preserve">본 연구의 한계는 여섯 가지로 정리된다. 첫째, 구성타당성이다. H01L21–H01L24 공동분류는 공정 단계 간 기술융합의 대리측정치이며, H01L21에는 조립 단계의 제조공정도 들어 있고, 기술범위는 유형과 같은 CPC 정보에서 만들어진다. 좁은 정의로도 회귀 결과는 유지되지만 통합형의 비중 같은 기술통계는 정의에 따라 달라진다. 둘째, 표본 선택이다. 제목 키워드 검색은 정밀하지만 제목에 관련어가 없는 출원을 놓치고,</w:t>
      </w:r>
      <w:r>
        <w:t xml:space="preserve"> </w:t>
      </w:r>
      <w:r>
        <w:rPr>
          <w:i/>
          <w:iCs/>
        </w:rPr>
        <w:t xml:space="preserve">direct bonding</w:t>
      </w:r>
      <w:r>
        <w:t xml:space="preserve">은 뜻이 넓어 무관한 용법 68건을 따로 걸러야 했다. 셋째, 관측단위와 중복이다. 분석단위는 출원이며 공식 패밀리 식별자가 없어 동일 제목으로 근사 조정했으므로, 관측치의 독립성은 완전히 보장되지 않는다. 넷째, 누락변수다. 출원인과 기업 유형, 국적, 응용처, 웨이퍼 단위와 다이 단위 접합의 구분, 두 클래스 밖의 CPC 기호가 자료에 없다. 이 때문에 중국 출원청의 프로필이 어떤 출원인 집단에서 비롯되는지는 가리지 못하며, PATSTAT의 출원인 정보와 정식 패밀리 식별자, 전체 CPC 기호를 결합하는 것이 다음 단계다. 다섯째, 시간과 공개 시차다. 초기 출원은 드물고, 연도 효과는 선형으로 가정했으며, 2023–2024년 출원은 불완전하게 관측된다. 또한 CPC는 주기적으로 개정되며 과거 출원도 소급 재분류될 수 있다. 본 연구는 사용된 PATSTAT 판본의 분류 스냅샷을 이용했으므로, 관찰된 시간 패턴의 일부는 기술 변화뿐 아니라 분류 관행의 변화도 반영할 수 있다. 여섯째, 인과성이다. 다양성과 유형은 함께 결정될 가능성이 높고 적절한 도구변수가 없으므로 인과관계는 주장하지 않으며, 출원청 계수는 관할권의 효과가 아니고, 산업 아키텍처와 기업 전략은 직접 검정하지 않는다. 끝으로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명확한 본 연구에서는 재현가능성을 택했다.</w:t>
      </w:r>
    </w:p>
    <w:p>
      <w:pPr>
        <w:pStyle w:val="BodyText"/>
      </w:pPr>
      <w:r>
        <w:t xml:space="preserve">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이산선택 모형으로 살필 수 있다. 여러 사례를 비교하면 여기서 본 재구성의 움직임이 일반적인지 알 수 있을 것이다. 또한 각 특허가 여러 기호의 집합이라는 점을 살려 고차 공출현을 보존하는 표현이나 일반성 지수(Petralia, 2020)를 쓰면, 하이브리드 본딩이 로직, 메모리, 이미지센서로 퍼져 가는 범용기술적 성격을 직접 검정할 수 있다.</w:t>
      </w:r>
    </w:p>
    <w:bookmarkEnd w:id="49"/>
    <w:bookmarkEnd w:id="50"/>
    <w:bookmarkStart w:id="51" w:name="결론"/>
    <w:p>
      <w:pPr>
        <w:pStyle w:val="Heading2"/>
      </w:pPr>
      <w:r>
        <w:t xml:space="preserve">7. 결론</w:t>
      </w:r>
    </w:p>
    <w:p>
      <w:pPr>
        <w:pStyle w:val="FirstParagraph"/>
      </w:pPr>
      <w:r>
        <w:t xml:space="preserve">기술융합은 그동안 주로 산업과 산업의 만남으로 연구되어 왔다. 본 연구는 융합이 한 산업의 공정 단계 사이에서도 일어나는지를 개별 출원 수준에서 물었다. 하이브리드 본딩 관련 출원 928건에 부여된 CPC 기호를 기준으로 각 출원을 조립 단독형, 공정 단독형, 통합형으로 나누고, 어떤 특성의 출원이 두 영역의 분류를 함께 가지는지를 추정하였다.</w:t>
      </w:r>
    </w:p>
    <w:p>
      <w:pPr>
        <w:pStyle w:val="BodyText"/>
      </w:pPr>
      <w:r>
        <w:t xml:space="preserve">결과는 견고성에 따라 세 층으로 나뉜다. 가장 견고한 결과는 세 가지다. 본 연구의 검색식으로 식별된 하이브리드 본딩 관련 출원에서 제조공정과 접합 기술의 공동분류는 45.8%, 보수적 정의에서도 37.2%로 예외적인 현상이 아니다. 공정 단독형의 상대위험은 표본과 정의를 바꾼 모든 분석에서 최근 출원일수록 낮았다. 중국 출원청 출원은 미국 출원청 출원보다 두 클래스 안의 CPC 범위가 좁았고, 이 차이도 모든 표본에서 유지되었다.</w:t>
      </w:r>
    </w:p>
    <w:p>
      <w:pPr>
        <w:pStyle w:val="BodyText"/>
      </w:pPr>
      <w:r>
        <w:t xml:space="preserve">보조 결과는 통합형과 높은 기술적 다양성의 연관, 그리고 통합형 비중이 늘었다가 줄어든 시기별 움직임이며, 전자는 통합형의 구성적 특징으로, 후자는 탐색적 해석으로 제시한다. 제한적 결과는 중국 출원청의 공정 단독형 편중으로, 최근 출원 구성에 민감하다. 출원인과 공식 패밀리 정보가 없는 본 자료에서 출원청별 차이는 관할권의 인과효과가 아니라 각 출원청에 진입한 발명 포트폴리오의 구성 차이로 해석하며, 산업 아키텍처의 변화는 직접 검정하지 않았다.</w:t>
      </w:r>
    </w:p>
    <w:p>
      <w:pPr>
        <w:pStyle w:val="BodyText"/>
      </w:pPr>
      <w:r>
        <w:t xml:space="preserve">본 연구의 핵심 기여는 새로운 융합지수를 제안한 데 있지 않다. 공동분류를 개별 특허의 유형으로 재구성하여 특허 수준의 이질성과 관련 요인을 추정할 수 있게 하고, 이를 산업 내 공정 단계 간 융합이라는 새로운 사례에 적용한 데 있다.</w:t>
      </w:r>
    </w:p>
    <w:p>
      <w:r>
        <w:pict>
          <v:rect style="width:0;height:1.5pt" o:hralign="center" o:hrstd="t" o:hr="t"/>
        </w:pict>
      </w:r>
    </w:p>
    <w:bookmarkEnd w:id="51"/>
    <w:bookmarkStart w:id="52" w:name="참고문헌-references"/>
    <w:p>
      <w:pPr>
        <w:pStyle w:val="Heading2"/>
      </w:pPr>
      <w:r>
        <w:t xml:space="preserve">참고문헌 (References)</w:t>
      </w:r>
    </w:p>
    <w:p>
      <w:pPr>
        <w:pStyle w:val="FirstParagraph"/>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Brown, C., Linden, G., 2009. Chips and Change: How Crisis Reshapes the Semiconductor Industry. MIT Press, Cambridge, MA.</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Cameron, A.C., Trivedi, P.K., 2013. Regression Analysis of Count Data, 2nd ed. Cambridge University Press, Cambridge.</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Dang, J., Motohashi, K., 2015. Patent statistics: A good indicator for innovation in China? Patent subsidy program impacts on patent quality. China Economic Review 35, 137–155. https://doi.org/10.1016/j.chieco.2015.03.012</w:t>
      </w:r>
    </w:p>
    <w:p>
      <w:pPr>
        <w:pStyle w:val="BodyText"/>
      </w:pPr>
      <w:r>
        <w:t xml:space="preserve">European Patent Office, 2025. PATSTAT Global (2025 edition) [Database]. EPO, Vienna.</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Grimes, S., Du, D., 2022. China’s emerging role in the global semiconductor value chain. Telecommunications Policy 46 (2), 101959. https://doi.org/10.1016/j.telpol.2020.101959</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Hu, A.G., Jefferson, G.H., 2009. A great wall of patents: What is behind China’s recent patent explosion? Journal of Development Economics 90 (1), 57–68. https://doi.org/10.1016/j.jdeveco.2008.11.004</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K., Lim, C., 2001. Technological regimes, catching-up and leapfrogging: Findings from the Korean industries. Research Policy 30 (3), 459–483. https://doi.org/10.1016/S0048-7333(00)00088-3</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p>
      <w:r>
        <w:pict>
          <v:rect style="width:0;height:1.5pt" o:hralign="center" o:hrstd="t" o:hr="t"/>
        </w:pict>
      </w:r>
    </w:p>
    <w:bookmarkEnd w:id="52"/>
    <w:bookmarkStart w:id="56" w:name="부록"/>
    <w:p>
      <w:pPr>
        <w:pStyle w:val="Heading2"/>
      </w:pPr>
      <w:r>
        <w:t xml:space="preserve">부록</w:t>
      </w:r>
    </w:p>
    <w:bookmarkStart w:id="53" w:name="부록-a.-기술범위-모형의-비교"/>
    <w:p>
      <w:pPr>
        <w:pStyle w:val="Heading3"/>
      </w:pPr>
      <w:r>
        <w:t xml:space="preserve">부록 A. 기술범위 모형의 비교</w:t>
      </w:r>
    </w:p>
    <w:p>
      <w:pPr>
        <w:pStyle w:val="FirstParagraph"/>
      </w:pPr>
      <w:r>
        <w:t xml:space="preserve">표 A1은 본문의 음이항 모형을 선형 회귀(OLS) 및 Poisson 모형과 나란히 보인 것이다. 부호와 유의성은 세 모형에서 같다. 다만 기술범위는 분산이 평균보다 훨씬 큰 카운트 변수여서(음이항의 과산포 모수 α = 0.268, 표준오차 0.020; Poisson 대비 우도비 검정 χ² = 596.3, p &lt; 0.001), Poisson의 표준오차는 실제보다 작게 추정된다. 예컨대 일본 계수의 표준오차는 Poisson에서 0.080, 음이항에서 0.133이다. 이 때문에 본문에서는 음이항을 쓴다.</w:t>
      </w:r>
    </w:p>
    <w:p>
      <w:pPr>
        <w:pStyle w:val="BodyText"/>
      </w:pPr>
      <w:r>
        <w:rPr>
          <w:b/>
          <w:bCs/>
        </w:rPr>
        <w:t xml:space="preserve">표 A1.</w:t>
      </w:r>
      <w:r>
        <w:t xml:space="preserve"> </w:t>
      </w:r>
      <w:r>
        <w:t xml:space="preserve">기술범위의 관련 요인: 모형 비교(N = 928; 출원청 기준 = 미국; 괄호 안은 표준오차; Poisson·음이항 계수의 지수가 IRR;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937"/>
        <w:gridCol w:w="2377"/>
        <w:gridCol w:w="2377"/>
        <w:gridCol w:w="2377"/>
      </w:tblGrid>
      <w:tr>
        <w:trPr>
          <w:tblHeader w:val="on"/>
          <w:cantSplit/>
        </w:trPr>
        <w:tc>
          <w:tcPr>
            <w:tcW w:type="dxa" w:w="1937"/>
            <w:tcBorders>
              <w:bottom w:val="single" w:sz="4" w:space="0" w:color="000000"/>
            </w:tcBorders>
          </w:tcPr>
          <w:p>
            <w:pPr>
              <w:pStyle w:val="Compact"/>
              <w:spacing w:before="20" w:after="20" w:line="240" w:lineRule="auto"/>
              <w:keepNext/>
            </w:pPr>
          </w:p>
        </w:tc>
        <w:tc>
          <w:tcPr>
            <w:tcW w:type="dxa" w:w="2377"/>
            <w:tcBorders>
              <w:bottom w:val="single" w:sz="4" w:space="0" w:color="000000"/>
            </w:tcBorders>
          </w:tcPr>
          <w:p>
            <w:pPr>
              <w:pStyle w:val="Compact"/>
              <w:spacing w:before="20" w:after="20" w:line="240" w:lineRule="auto"/>
              <w:jc w:val="center"/>
              <w:keepNext/>
            </w:pPr>
            <w:r>
              <w:rPr>
                <w:sz w:val="18"/>
                <w:szCs w:val="18"/>
              </w:rPr>
              <w:t xml:space="preserve">OLS</w:t>
            </w:r>
          </w:p>
        </w:tc>
        <w:tc>
          <w:tcPr>
            <w:tcW w:type="dxa" w:w="2377"/>
            <w:tcBorders>
              <w:bottom w:val="single" w:sz="4" w:space="0" w:color="000000"/>
            </w:tcBorders>
          </w:tcPr>
          <w:p>
            <w:pPr>
              <w:pStyle w:val="Compact"/>
              <w:spacing w:before="20" w:after="20" w:line="240" w:lineRule="auto"/>
              <w:jc w:val="center"/>
              <w:keepNext/>
            </w:pPr>
            <w:r>
              <w:rPr>
                <w:sz w:val="18"/>
                <w:szCs w:val="18"/>
              </w:rPr>
              <w:t xml:space="preserve">Poisson</w:t>
            </w:r>
          </w:p>
        </w:tc>
        <w:tc>
          <w:tcPr>
            <w:tcW w:type="dxa" w:w="2377"/>
            <w:tcBorders>
              <w:bottom w:val="single" w:sz="4" w:space="0" w:color="000000"/>
            </w:tcBorders>
          </w:tcPr>
          <w:p>
            <w:pPr>
              <w:pStyle w:val="Compact"/>
              <w:spacing w:before="20" w:after="20" w:line="240" w:lineRule="auto"/>
              <w:jc w:val="center"/>
              <w:keepNext/>
            </w:pPr>
            <w:r>
              <w:rPr>
                <w:sz w:val="18"/>
                <w:szCs w:val="18"/>
              </w:rPr>
              <w:t xml:space="preserve">음이항</w:t>
            </w:r>
          </w:p>
        </w:tc>
      </w:tr>
      <w:tr>
        <w:trPr>
          <w:cantSplit/>
        </w:trPr>
        <w:tc>
          <w:tcPr>
            <w:tcW w:type="dxa" w:w="1937"/>
          </w:tcPr>
          <w:p>
            <w:pPr>
              <w:pStyle w:val="Compact"/>
              <w:spacing w:before="20" w:after="20" w:line="240" w:lineRule="auto"/>
              <w:keepNext/>
            </w:pPr>
            <w:r>
              <w:rPr>
                <w:sz w:val="18"/>
                <w:szCs w:val="18"/>
              </w:rPr>
              <w:t xml:space="preserve">출원연도(yc)</w:t>
            </w:r>
          </w:p>
        </w:tc>
        <w:tc>
          <w:tcPr>
            <w:tcW w:type="dxa" w:w="2377"/>
          </w:tcPr>
          <w:p>
            <w:pPr>
              <w:pStyle w:val="Compact"/>
              <w:spacing w:before="20" w:after="20" w:line="240" w:lineRule="auto"/>
              <w:jc w:val="center"/>
              <w:keepNext/>
            </w:pPr>
            <w:r>
              <w:rPr>
                <w:sz w:val="18"/>
                <w:szCs w:val="18"/>
              </w:rPr>
              <w:t xml:space="preserve">0.070*** (0.019)</w:t>
            </w:r>
          </w:p>
        </w:tc>
        <w:tc>
          <w:tcPr>
            <w:tcW w:type="dxa" w:w="2377"/>
          </w:tcPr>
          <w:p>
            <w:pPr>
              <w:pStyle w:val="Compact"/>
              <w:spacing w:before="20" w:after="20" w:line="240" w:lineRule="auto"/>
              <w:jc w:val="center"/>
              <w:keepNext/>
            </w:pPr>
            <w:r>
              <w:rPr>
                <w:sz w:val="18"/>
                <w:szCs w:val="18"/>
              </w:rPr>
              <w:t xml:space="preserve">0.013*** (0.002)</w:t>
            </w:r>
          </w:p>
        </w:tc>
        <w:tc>
          <w:tcPr>
            <w:tcW w:type="dxa" w:w="2377"/>
          </w:tcPr>
          <w:p>
            <w:pPr>
              <w:pStyle w:val="Compact"/>
              <w:spacing w:before="20" w:after="20" w:line="240" w:lineRule="auto"/>
              <w:jc w:val="center"/>
              <w:keepNext/>
            </w:pPr>
            <w:r>
              <w:rPr>
                <w:sz w:val="18"/>
                <w:szCs w:val="18"/>
              </w:rPr>
              <w:t xml:space="preserve">0.014*** (0.003)</w:t>
            </w:r>
          </w:p>
        </w:tc>
      </w:tr>
      <w:tr>
        <w:trPr>
          <w:cantSplit/>
        </w:trPr>
        <w:tc>
          <w:tcPr>
            <w:tcW w:type="dxa" w:w="1937"/>
          </w:tcPr>
          <w:p>
            <w:pPr>
              <w:pStyle w:val="Compact"/>
              <w:spacing w:before="20" w:after="20" w:line="240" w:lineRule="auto"/>
              <w:keepNext/>
            </w:pPr>
            <w:r>
              <w:rPr>
                <w:sz w:val="18"/>
                <w:szCs w:val="18"/>
              </w:rPr>
              <w:t xml:space="preserve">중국(CN)</w:t>
            </w:r>
          </w:p>
        </w:tc>
        <w:tc>
          <w:tcPr>
            <w:tcW w:type="dxa" w:w="2377"/>
          </w:tcPr>
          <w:p>
            <w:pPr>
              <w:pStyle w:val="Compact"/>
              <w:spacing w:before="20" w:after="20" w:line="240" w:lineRule="auto"/>
              <w:jc w:val="center"/>
              <w:keepNext/>
            </w:pPr>
            <w:r>
              <w:rPr>
                <w:sz w:val="18"/>
                <w:szCs w:val="18"/>
              </w:rPr>
              <w:t xml:space="preserve">−1.321*** (0.370)</w:t>
            </w:r>
          </w:p>
        </w:tc>
        <w:tc>
          <w:tcPr>
            <w:tcW w:type="dxa" w:w="2377"/>
          </w:tcPr>
          <w:p>
            <w:pPr>
              <w:pStyle w:val="Compact"/>
              <w:spacing w:before="20" w:after="20" w:line="240" w:lineRule="auto"/>
              <w:jc w:val="center"/>
              <w:keepNext/>
            </w:pPr>
            <w:r>
              <w:rPr>
                <w:sz w:val="18"/>
                <w:szCs w:val="18"/>
              </w:rPr>
              <w:t xml:space="preserve">−0.241*** (0.040)</w:t>
            </w:r>
          </w:p>
        </w:tc>
        <w:tc>
          <w:tcPr>
            <w:tcW w:type="dxa" w:w="2377"/>
          </w:tcPr>
          <w:p>
            <w:pPr>
              <w:pStyle w:val="Compact"/>
              <w:spacing w:before="20" w:after="20" w:line="240" w:lineRule="auto"/>
              <w:jc w:val="center"/>
              <w:keepNext/>
            </w:pPr>
            <w:r>
              <w:rPr>
                <w:sz w:val="18"/>
                <w:szCs w:val="18"/>
              </w:rPr>
              <w:t xml:space="preserve">−0.242*** (0.062)</w:t>
            </w:r>
          </w:p>
        </w:tc>
      </w:tr>
      <w:tr>
        <w:trPr>
          <w:cantSplit/>
        </w:trPr>
        <w:tc>
          <w:tcPr>
            <w:tcW w:type="dxa" w:w="1937"/>
          </w:tcPr>
          <w:p>
            <w:pPr>
              <w:pStyle w:val="Compact"/>
              <w:spacing w:before="20" w:after="20" w:line="240" w:lineRule="auto"/>
              <w:keepNext/>
            </w:pPr>
            <w:r>
              <w:rPr>
                <w:sz w:val="18"/>
                <w:szCs w:val="18"/>
              </w:rPr>
              <w:t xml:space="preserve">한국(KR)</w:t>
            </w:r>
          </w:p>
        </w:tc>
        <w:tc>
          <w:tcPr>
            <w:tcW w:type="dxa" w:w="2377"/>
          </w:tcPr>
          <w:p>
            <w:pPr>
              <w:pStyle w:val="Compact"/>
              <w:spacing w:before="20" w:after="20" w:line="240" w:lineRule="auto"/>
              <w:jc w:val="center"/>
              <w:keepNext/>
            </w:pPr>
            <w:r>
              <w:rPr>
                <w:sz w:val="18"/>
                <w:szCs w:val="18"/>
              </w:rPr>
              <w:t xml:space="preserve">0.089 (0.570)</w:t>
            </w:r>
          </w:p>
        </w:tc>
        <w:tc>
          <w:tcPr>
            <w:tcW w:type="dxa" w:w="2377"/>
          </w:tcPr>
          <w:p>
            <w:pPr>
              <w:pStyle w:val="Compact"/>
              <w:spacing w:before="20" w:after="20" w:line="240" w:lineRule="auto"/>
              <w:jc w:val="center"/>
              <w:keepNext/>
            </w:pPr>
            <w:r>
              <w:rPr>
                <w:sz w:val="18"/>
                <w:szCs w:val="18"/>
              </w:rPr>
              <w:t xml:space="preserve">0.017 (0.059)</w:t>
            </w:r>
          </w:p>
        </w:tc>
        <w:tc>
          <w:tcPr>
            <w:tcW w:type="dxa" w:w="2377"/>
          </w:tcPr>
          <w:p>
            <w:pPr>
              <w:pStyle w:val="Compact"/>
              <w:spacing w:before="20" w:after="20" w:line="240" w:lineRule="auto"/>
              <w:jc w:val="center"/>
              <w:keepNext/>
            </w:pPr>
            <w:r>
              <w:rPr>
                <w:sz w:val="18"/>
                <w:szCs w:val="18"/>
              </w:rPr>
              <w:t xml:space="preserve">0.017 (0.094)</w:t>
            </w:r>
          </w:p>
        </w:tc>
      </w:tr>
      <w:tr>
        <w:trPr>
          <w:cantSplit/>
        </w:trPr>
        <w:tc>
          <w:tcPr>
            <w:tcW w:type="dxa" w:w="1937"/>
          </w:tcPr>
          <w:p>
            <w:pPr>
              <w:pStyle w:val="Compact"/>
              <w:spacing w:before="20" w:after="20" w:line="240" w:lineRule="auto"/>
              <w:keepNext/>
            </w:pPr>
            <w:r>
              <w:rPr>
                <w:sz w:val="18"/>
                <w:szCs w:val="18"/>
              </w:rPr>
              <w:t xml:space="preserve">대만(TW)</w:t>
            </w:r>
          </w:p>
        </w:tc>
        <w:tc>
          <w:tcPr>
            <w:tcW w:type="dxa" w:w="2377"/>
          </w:tcPr>
          <w:p>
            <w:pPr>
              <w:pStyle w:val="Compact"/>
              <w:spacing w:before="20" w:after="20" w:line="240" w:lineRule="auto"/>
              <w:jc w:val="center"/>
              <w:keepNext/>
            </w:pPr>
            <w:r>
              <w:rPr>
                <w:sz w:val="18"/>
                <w:szCs w:val="18"/>
              </w:rPr>
              <w:t xml:space="preserve">0.102 (0.510)</w:t>
            </w:r>
          </w:p>
        </w:tc>
        <w:tc>
          <w:tcPr>
            <w:tcW w:type="dxa" w:w="2377"/>
          </w:tcPr>
          <w:p>
            <w:pPr>
              <w:pStyle w:val="Compact"/>
              <w:spacing w:before="20" w:after="20" w:line="240" w:lineRule="auto"/>
              <w:jc w:val="center"/>
              <w:keepNext/>
            </w:pPr>
            <w:r>
              <w:rPr>
                <w:sz w:val="18"/>
                <w:szCs w:val="18"/>
              </w:rPr>
              <w:t xml:space="preserve">0.016 (0.051)</w:t>
            </w:r>
          </w:p>
        </w:tc>
        <w:tc>
          <w:tcPr>
            <w:tcW w:type="dxa" w:w="2377"/>
          </w:tcPr>
          <w:p>
            <w:pPr>
              <w:pStyle w:val="Compact"/>
              <w:spacing w:before="20" w:after="20" w:line="240" w:lineRule="auto"/>
              <w:jc w:val="center"/>
              <w:keepNext/>
            </w:pPr>
            <w:r>
              <w:rPr>
                <w:sz w:val="18"/>
                <w:szCs w:val="18"/>
              </w:rPr>
              <w:t xml:space="preserve">0.021 (0.083)</w:t>
            </w:r>
          </w:p>
        </w:tc>
      </w:tr>
      <w:tr>
        <w:trPr>
          <w:cantSplit/>
        </w:trPr>
        <w:tc>
          <w:tcPr>
            <w:tcW w:type="dxa" w:w="1937"/>
          </w:tcPr>
          <w:p>
            <w:pPr>
              <w:pStyle w:val="Compact"/>
              <w:spacing w:before="20" w:after="20" w:line="240" w:lineRule="auto"/>
              <w:keepNext/>
            </w:pPr>
            <w:r>
              <w:rPr>
                <w:sz w:val="18"/>
                <w:szCs w:val="18"/>
              </w:rPr>
              <w:t xml:space="preserve">일본(JP)</w:t>
            </w:r>
          </w:p>
        </w:tc>
        <w:tc>
          <w:tcPr>
            <w:tcW w:type="dxa" w:w="2377"/>
          </w:tcPr>
          <w:p>
            <w:pPr>
              <w:pStyle w:val="Compact"/>
              <w:spacing w:before="20" w:after="20" w:line="240" w:lineRule="auto"/>
              <w:jc w:val="center"/>
              <w:keepNext/>
            </w:pPr>
            <w:r>
              <w:rPr>
                <w:sz w:val="18"/>
                <w:szCs w:val="18"/>
              </w:rPr>
              <w:t xml:space="preserve">1.737** (0.845)</w:t>
            </w:r>
          </w:p>
        </w:tc>
        <w:tc>
          <w:tcPr>
            <w:tcW w:type="dxa" w:w="2377"/>
          </w:tcPr>
          <w:p>
            <w:pPr>
              <w:pStyle w:val="Compact"/>
              <w:spacing w:before="20" w:after="20" w:line="240" w:lineRule="auto"/>
              <w:jc w:val="center"/>
              <w:keepNext/>
            </w:pPr>
            <w:r>
              <w:rPr>
                <w:sz w:val="18"/>
                <w:szCs w:val="18"/>
              </w:rPr>
              <w:t xml:space="preserve">0.280*** (0.080)</w:t>
            </w:r>
          </w:p>
        </w:tc>
        <w:tc>
          <w:tcPr>
            <w:tcW w:type="dxa" w:w="2377"/>
          </w:tcPr>
          <w:p>
            <w:pPr>
              <w:pStyle w:val="Compact"/>
              <w:spacing w:before="20" w:after="20" w:line="240" w:lineRule="auto"/>
              <w:jc w:val="center"/>
              <w:keepNext/>
            </w:pPr>
            <w:r>
              <w:rPr>
                <w:sz w:val="18"/>
                <w:szCs w:val="18"/>
              </w:rPr>
              <w:t xml:space="preserve">0.239* (0.133)</w:t>
            </w:r>
          </w:p>
        </w:tc>
      </w:tr>
      <w:tr>
        <w:trPr>
          <w:cantSplit/>
        </w:trPr>
        <w:tc>
          <w:tcPr>
            <w:tcW w:type="dxa" w:w="1937"/>
          </w:tcPr>
          <w:p>
            <w:pPr>
              <w:pStyle w:val="Compact"/>
              <w:spacing w:before="20" w:after="20" w:line="240" w:lineRule="auto"/>
              <w:keepNext/>
            </w:pPr>
            <w:r>
              <w:rPr>
                <w:sz w:val="18"/>
                <w:szCs w:val="18"/>
              </w:rPr>
              <w:t xml:space="preserve">EPO(EP)</w:t>
            </w:r>
          </w:p>
        </w:tc>
        <w:tc>
          <w:tcPr>
            <w:tcW w:type="dxa" w:w="2377"/>
          </w:tcPr>
          <w:p>
            <w:pPr>
              <w:pStyle w:val="Compact"/>
              <w:spacing w:before="20" w:after="20" w:line="240" w:lineRule="auto"/>
              <w:jc w:val="center"/>
              <w:keepNext/>
            </w:pPr>
            <w:r>
              <w:rPr>
                <w:sz w:val="18"/>
                <w:szCs w:val="18"/>
              </w:rPr>
              <w:t xml:space="preserve">−0.032 (0.487)</w:t>
            </w:r>
          </w:p>
        </w:tc>
        <w:tc>
          <w:tcPr>
            <w:tcW w:type="dxa" w:w="2377"/>
          </w:tcPr>
          <w:p>
            <w:pPr>
              <w:pStyle w:val="Compact"/>
              <w:spacing w:before="20" w:after="20" w:line="240" w:lineRule="auto"/>
              <w:jc w:val="center"/>
              <w:keepNext/>
            </w:pPr>
            <w:r>
              <w:rPr>
                <w:sz w:val="18"/>
                <w:szCs w:val="18"/>
              </w:rPr>
              <w:t xml:space="preserve">−0.005 (0.050)</w:t>
            </w:r>
          </w:p>
        </w:tc>
        <w:tc>
          <w:tcPr>
            <w:tcW w:type="dxa" w:w="2377"/>
          </w:tcPr>
          <w:p>
            <w:pPr>
              <w:pStyle w:val="Compact"/>
              <w:spacing w:before="20" w:after="20" w:line="240" w:lineRule="auto"/>
              <w:jc w:val="center"/>
              <w:keepNext/>
            </w:pPr>
            <w:r>
              <w:rPr>
                <w:sz w:val="18"/>
                <w:szCs w:val="18"/>
              </w:rPr>
              <w:t xml:space="preserve">−0.007 (0.080)</w:t>
            </w:r>
          </w:p>
        </w:tc>
      </w:tr>
      <w:tr>
        <w:trPr>
          <w:cantSplit/>
        </w:trPr>
        <w:tc>
          <w:tcPr>
            <w:tcW w:type="dxa" w:w="1937"/>
          </w:tcPr>
          <w:p>
            <w:pPr>
              <w:pStyle w:val="Compact"/>
              <w:spacing w:before="20" w:after="20" w:line="240" w:lineRule="auto"/>
              <w:keepNext/>
            </w:pPr>
            <w:r>
              <w:rPr>
                <w:sz w:val="18"/>
                <w:szCs w:val="18"/>
              </w:rPr>
              <w:t xml:space="preserve">PCT(WO)</w:t>
            </w:r>
          </w:p>
        </w:tc>
        <w:tc>
          <w:tcPr>
            <w:tcW w:type="dxa" w:w="2377"/>
          </w:tcPr>
          <w:p>
            <w:pPr>
              <w:pStyle w:val="Compact"/>
              <w:spacing w:before="20" w:after="20" w:line="240" w:lineRule="auto"/>
              <w:jc w:val="center"/>
              <w:keepNext/>
            </w:pPr>
            <w:r>
              <w:rPr>
                <w:sz w:val="18"/>
                <w:szCs w:val="18"/>
              </w:rPr>
              <w:t xml:space="preserve">−1.071** (0.432)</w:t>
            </w:r>
          </w:p>
        </w:tc>
        <w:tc>
          <w:tcPr>
            <w:tcW w:type="dxa" w:w="2377"/>
          </w:tcPr>
          <w:p>
            <w:pPr>
              <w:pStyle w:val="Compact"/>
              <w:spacing w:before="20" w:after="20" w:line="240" w:lineRule="auto"/>
              <w:jc w:val="center"/>
              <w:keepNext/>
            </w:pPr>
            <w:r>
              <w:rPr>
                <w:sz w:val="18"/>
                <w:szCs w:val="18"/>
              </w:rPr>
              <w:t xml:space="preserve">−0.193*** (0.047)</w:t>
            </w:r>
          </w:p>
        </w:tc>
        <w:tc>
          <w:tcPr>
            <w:tcW w:type="dxa" w:w="2377"/>
          </w:tcPr>
          <w:p>
            <w:pPr>
              <w:pStyle w:val="Compact"/>
              <w:spacing w:before="20" w:after="20" w:line="240" w:lineRule="auto"/>
              <w:jc w:val="center"/>
              <w:keepNext/>
            </w:pPr>
            <w:r>
              <w:rPr>
                <w:sz w:val="18"/>
                <w:szCs w:val="18"/>
              </w:rPr>
              <w:t xml:space="preserve">−0.191*** (0.073)</w:t>
            </w:r>
          </w:p>
        </w:tc>
      </w:tr>
      <w:tr>
        <w:trPr>
          <w:cantSplit/>
        </w:trPr>
        <w:tc>
          <w:tcPr>
            <w:tcW w:type="dxa" w:w="1937"/>
          </w:tcPr>
          <w:p>
            <w:pPr>
              <w:pStyle w:val="Compact"/>
              <w:spacing w:before="20" w:after="20" w:line="240" w:lineRule="auto"/>
              <w:keepNext/>
            </w:pPr>
            <w:r>
              <w:rPr>
                <w:sz w:val="18"/>
                <w:szCs w:val="18"/>
              </w:rPr>
              <w:t xml:space="preserve">기타</w:t>
            </w:r>
          </w:p>
        </w:tc>
        <w:tc>
          <w:tcPr>
            <w:tcW w:type="dxa" w:w="2377"/>
          </w:tcPr>
          <w:p>
            <w:pPr>
              <w:pStyle w:val="Compact"/>
              <w:spacing w:before="20" w:after="20" w:line="240" w:lineRule="auto"/>
              <w:jc w:val="center"/>
              <w:keepNext/>
            </w:pPr>
            <w:r>
              <w:rPr>
                <w:sz w:val="18"/>
                <w:szCs w:val="18"/>
              </w:rPr>
              <w:t xml:space="preserve">0.124 (1.029)</w:t>
            </w:r>
          </w:p>
        </w:tc>
        <w:tc>
          <w:tcPr>
            <w:tcW w:type="dxa" w:w="2377"/>
          </w:tcPr>
          <w:p>
            <w:pPr>
              <w:pStyle w:val="Compact"/>
              <w:spacing w:before="20" w:after="20" w:line="240" w:lineRule="auto"/>
              <w:jc w:val="center"/>
              <w:keepNext/>
            </w:pPr>
            <w:r>
              <w:rPr>
                <w:sz w:val="18"/>
                <w:szCs w:val="18"/>
              </w:rPr>
              <w:t xml:space="preserve">0.024 (0.106)</w:t>
            </w:r>
          </w:p>
        </w:tc>
        <w:tc>
          <w:tcPr>
            <w:tcW w:type="dxa" w:w="2377"/>
          </w:tcPr>
          <w:p>
            <w:pPr>
              <w:pStyle w:val="Compact"/>
              <w:spacing w:before="20" w:after="20" w:line="240" w:lineRule="auto"/>
              <w:jc w:val="center"/>
              <w:keepNext/>
            </w:pPr>
            <w:r>
              <w:rPr>
                <w:sz w:val="18"/>
                <w:szCs w:val="18"/>
              </w:rPr>
              <w:t xml:space="preserve">0.056 (0.171)</w:t>
            </w:r>
          </w:p>
        </w:tc>
      </w:tr>
      <w:tr>
        <w:trPr>
          <w:cantSplit/>
        </w:trPr>
        <w:tc>
          <w:tcPr>
            <w:tcW w:type="dxa" w:w="1937"/>
          </w:tcPr>
          <w:p>
            <w:pPr>
              <w:pStyle w:val="Compact"/>
              <w:spacing w:before="20" w:after="20" w:line="240" w:lineRule="auto"/>
              <w:keepNext/>
            </w:pPr>
            <w:r>
              <w:rPr>
                <w:sz w:val="18"/>
                <w:szCs w:val="18"/>
              </w:rPr>
              <w:t xml:space="preserve">상수</w:t>
            </w:r>
          </w:p>
        </w:tc>
        <w:tc>
          <w:tcPr>
            <w:tcW w:type="dxa" w:w="2377"/>
          </w:tcPr>
          <w:p>
            <w:pPr>
              <w:pStyle w:val="Compact"/>
              <w:spacing w:before="20" w:after="20" w:line="240" w:lineRule="auto"/>
              <w:jc w:val="center"/>
              <w:keepNext/>
            </w:pPr>
            <w:r>
              <w:rPr>
                <w:sz w:val="18"/>
                <w:szCs w:val="18"/>
              </w:rPr>
              <w:t xml:space="preserve">2.506*** (0.944)</w:t>
            </w:r>
          </w:p>
        </w:tc>
        <w:tc>
          <w:tcPr>
            <w:tcW w:type="dxa" w:w="2377"/>
          </w:tcPr>
          <w:p>
            <w:pPr>
              <w:pStyle w:val="Compact"/>
              <w:spacing w:before="20" w:after="20" w:line="240" w:lineRule="auto"/>
              <w:jc w:val="center"/>
              <w:keepNext/>
            </w:pPr>
            <w:r>
              <w:rPr>
                <w:sz w:val="18"/>
                <w:szCs w:val="18"/>
              </w:rPr>
              <w:t xml:space="preserve">1.143*** (0.107)</w:t>
            </w:r>
          </w:p>
        </w:tc>
        <w:tc>
          <w:tcPr>
            <w:tcW w:type="dxa" w:w="2377"/>
          </w:tcPr>
          <w:p>
            <w:pPr>
              <w:pStyle w:val="Compact"/>
              <w:spacing w:before="20" w:after="20" w:line="240" w:lineRule="auto"/>
              <w:jc w:val="center"/>
              <w:keepNext/>
            </w:pPr>
            <w:r>
              <w:rPr>
                <w:sz w:val="18"/>
                <w:szCs w:val="18"/>
              </w:rPr>
              <w:t xml:space="preserve">1.069*** (0.175)</w:t>
            </w:r>
          </w:p>
        </w:tc>
      </w:tr>
      <w:tr>
        <w:trPr>
          <w:cantSplit/>
        </w:trPr>
        <w:tc>
          <w:tcPr>
            <w:tcW w:type="dxa" w:w="1937"/>
          </w:tcPr>
          <w:p>
            <w:pPr>
              <w:pStyle w:val="Compact"/>
              <w:spacing w:before="20" w:after="20" w:line="240" w:lineRule="auto"/>
              <w:keepNext/>
            </w:pPr>
            <w:r>
              <w:rPr>
                <w:sz w:val="18"/>
                <w:szCs w:val="18"/>
              </w:rPr>
              <w:t xml:space="preserve">R²</w:t>
            </w:r>
          </w:p>
        </w:tc>
        <w:tc>
          <w:tcPr>
            <w:tcW w:type="dxa" w:w="2377"/>
          </w:tcPr>
          <w:p>
            <w:pPr>
              <w:pStyle w:val="Compact"/>
              <w:spacing w:before="20" w:after="20" w:line="240" w:lineRule="auto"/>
              <w:jc w:val="center"/>
              <w:keepNext/>
            </w:pPr>
            <w:r>
              <w:rPr>
                <w:sz w:val="18"/>
                <w:szCs w:val="18"/>
              </w:rPr>
              <w:t xml:space="preserve">0.033</w:t>
            </w:r>
          </w:p>
        </w:tc>
        <w:tc>
          <w:tcPr>
            <w:tcW w:type="dxa" w:w="2377"/>
          </w:tcPr>
          <w:p>
            <w:pPr>
              <w:pStyle w:val="Compact"/>
              <w:spacing w:before="20" w:after="20" w:line="240" w:lineRule="auto"/>
              <w:jc w:val="center"/>
              <w:keepNext/>
            </w:pPr>
            <w:r>
              <w:rPr>
                <w:sz w:val="18"/>
                <w:szCs w:val="18"/>
              </w:rPr>
              <w:t xml:space="preserve">—</w:t>
            </w:r>
          </w:p>
        </w:tc>
        <w:tc>
          <w:tcPr>
            <w:tcW w:type="dxa" w:w="2377"/>
          </w:tcPr>
          <w:p>
            <w:pPr>
              <w:pStyle w:val="Compact"/>
              <w:spacing w:before="20" w:after="20" w:line="240" w:lineRule="auto"/>
              <w:jc w:val="center"/>
              <w:keepNext/>
            </w:pPr>
            <w:r>
              <w:rPr>
                <w:sz w:val="18"/>
                <w:szCs w:val="18"/>
              </w:rPr>
              <w:t xml:space="preserve">—</w:t>
            </w:r>
          </w:p>
        </w:tc>
      </w:tr>
      <w:tr>
        <w:trPr>
          <w:cantSplit/>
        </w:trPr>
        <w:tc>
          <w:tcPr>
            <w:tcW w:type="dxa" w:w="1937"/>
          </w:tcPr>
          <w:p>
            <w:pPr>
              <w:pStyle w:val="Compact"/>
              <w:spacing w:before="20" w:after="20" w:line="240" w:lineRule="auto"/>
              <w:keepNext/>
            </w:pPr>
            <w:r>
              <w:rPr>
                <w:sz w:val="18"/>
                <w:szCs w:val="18"/>
              </w:rPr>
              <w:t xml:space="preserve">AIC</w:t>
            </w:r>
          </w:p>
        </w:tc>
        <w:tc>
          <w:tcPr>
            <w:tcW w:type="dxa" w:w="2377"/>
          </w:tcPr>
          <w:p>
            <w:pPr>
              <w:pStyle w:val="Compact"/>
              <w:spacing w:before="20" w:after="20" w:line="240" w:lineRule="auto"/>
              <w:jc w:val="center"/>
              <w:keepNext/>
            </w:pPr>
            <w:r>
              <w:rPr>
                <w:sz w:val="18"/>
                <w:szCs w:val="18"/>
              </w:rPr>
              <w:t xml:space="preserve">5,224.9</w:t>
            </w:r>
          </w:p>
        </w:tc>
        <w:tc>
          <w:tcPr>
            <w:tcW w:type="dxa" w:w="2377"/>
          </w:tcPr>
          <w:p>
            <w:pPr>
              <w:pStyle w:val="Compact"/>
              <w:spacing w:before="20" w:after="20" w:line="240" w:lineRule="auto"/>
              <w:jc w:val="center"/>
              <w:keepNext/>
            </w:pPr>
            <w:r>
              <w:rPr>
                <w:sz w:val="18"/>
                <w:szCs w:val="18"/>
              </w:rPr>
              <w:t xml:space="preserve">5,477.2</w:t>
            </w:r>
          </w:p>
        </w:tc>
        <w:tc>
          <w:tcPr>
            <w:tcW w:type="dxa" w:w="2377"/>
          </w:tcPr>
          <w:p>
            <w:pPr>
              <w:pStyle w:val="Compact"/>
              <w:spacing w:before="20" w:after="20" w:line="240" w:lineRule="auto"/>
              <w:jc w:val="center"/>
              <w:keepNext/>
            </w:pPr>
            <w:r>
              <w:rPr>
                <w:sz w:val="18"/>
                <w:szCs w:val="18"/>
              </w:rPr>
              <w:t xml:space="preserve">4,883.0</w:t>
            </w:r>
          </w:p>
        </w:tc>
      </w:tr>
    </w:tbl>
    <w:bookmarkEnd w:id="53"/>
    <w:bookmarkStart w:id="54" w:name="부록-b.-재추정-결과-전체"/>
    <w:p>
      <w:pPr>
        <w:pStyle w:val="Heading3"/>
      </w:pPr>
      <w:r>
        <w:t xml:space="preserve">부록 B. 재추정 결과 전체</w:t>
      </w:r>
    </w:p>
    <w:p>
      <w:pPr>
        <w:pStyle w:val="FirstParagraph"/>
      </w:pPr>
      <w:r>
        <w:t xml:space="preserve">표 B1과 B2는 본문의 강건성 요약표에 실은 재추정의 전체 계수다. 각 열은 표본 또는 변수 정의를 하나씩 바꾼 다항 로짓이며, 기준 열은 본문의 다항 로짓 표와 같다. 조정 범위는 각 클래스의 첫 기호를 뺀 기술범위를, 동일 제목 중복 제거는 같은 제목의 출원 가운데 가장 이른 1건만 남긴 표본을, 좁은 전공정 정의는 H01L21의 조립 단계 공정 기호를 제조공정으로 세지 않은 변수를, 무관 용법 제외는 부록 C의 68건을 뺀 표본을, 핵심 표본은 제목에 hybrid bonding이 들어 있는 출원만 남긴 표본을, 2023–2024년 제외는 공개 시차의 영향을 받는 두 해를 뺀 표본을 뜻한다. 2010년 이후 표본은 본문 제5.1절과 제5.4절(일본)에서 언급한 것이다.</w:t>
      </w:r>
    </w:p>
    <w:p>
      <w:pPr>
        <w:pStyle w:val="BodyText"/>
      </w:pPr>
      <w:r>
        <w:rPr>
          <w:b/>
          <w:bCs/>
        </w:rPr>
        <w:t xml:space="preserve">표 B1.</w:t>
      </w:r>
      <w:r>
        <w:t xml:space="preserve"> </w:t>
      </w:r>
      <w:r>
        <w:t xml:space="preserve">다항 로짓의 통합형 방정식: 표본·변수별 상대위험비(기준 범주 = 조립 단독형; 출원청 기준 = 미국; 괄호 안은 로그 계수의 표준오차;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980"/>
        <w:gridCol w:w="980"/>
        <w:gridCol w:w="980"/>
        <w:gridCol w:w="980"/>
        <w:gridCol w:w="980"/>
        <w:gridCol w:w="980"/>
        <w:gridCol w:w="1106"/>
        <w:gridCol w:w="980"/>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980"/>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106"/>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980"/>
          </w:tcPr>
          <w:p>
            <w:pPr>
              <w:pStyle w:val="Compact"/>
              <w:spacing w:before="20" w:after="20" w:line="240" w:lineRule="auto"/>
              <w:jc w:val="center"/>
              <w:keepNext/>
            </w:pPr>
            <w:r>
              <w:rPr>
                <w:sz w:val="13"/>
                <w:szCs w:val="13"/>
              </w:rPr>
              <w:t xml:space="preserve">0.993 (0.015)</w:t>
            </w:r>
          </w:p>
        </w:tc>
        <w:tc>
          <w:tcPr>
            <w:tcW w:type="dxa" w:w="980"/>
          </w:tcPr>
          <w:p>
            <w:pPr>
              <w:pStyle w:val="Compact"/>
              <w:spacing w:before="20" w:after="20" w:line="240" w:lineRule="auto"/>
              <w:jc w:val="center"/>
              <w:keepNext/>
            </w:pPr>
            <w:r>
              <w:rPr>
                <w:sz w:val="13"/>
                <w:szCs w:val="13"/>
              </w:rPr>
              <w:t xml:space="preserve">1.002 (0.014)</w:t>
            </w:r>
          </w:p>
        </w:tc>
        <w:tc>
          <w:tcPr>
            <w:tcW w:type="dxa" w:w="980"/>
          </w:tcPr>
          <w:p>
            <w:pPr>
              <w:pStyle w:val="Compact"/>
              <w:spacing w:before="20" w:after="20" w:line="240" w:lineRule="auto"/>
              <w:jc w:val="center"/>
              <w:keepNext/>
            </w:pPr>
            <w:r>
              <w:rPr>
                <w:sz w:val="13"/>
                <w:szCs w:val="13"/>
              </w:rPr>
              <w:t xml:space="preserve">0.997 (0.018)</w:t>
            </w:r>
          </w:p>
        </w:tc>
        <w:tc>
          <w:tcPr>
            <w:tcW w:type="dxa" w:w="980"/>
          </w:tcPr>
          <w:p>
            <w:pPr>
              <w:pStyle w:val="Compact"/>
              <w:spacing w:before="20" w:after="20" w:line="240" w:lineRule="auto"/>
              <w:jc w:val="center"/>
              <w:keepNext/>
            </w:pPr>
            <w:r>
              <w:rPr>
                <w:sz w:val="13"/>
                <w:szCs w:val="13"/>
              </w:rPr>
              <w:t xml:space="preserve">0.967** (0.015)</w:t>
            </w:r>
          </w:p>
        </w:tc>
        <w:tc>
          <w:tcPr>
            <w:tcW w:type="dxa" w:w="980"/>
          </w:tcPr>
          <w:p>
            <w:pPr>
              <w:pStyle w:val="Compact"/>
              <w:spacing w:before="20" w:after="20" w:line="240" w:lineRule="auto"/>
              <w:jc w:val="center"/>
              <w:keepNext/>
            </w:pPr>
            <w:r>
              <w:rPr>
                <w:sz w:val="13"/>
                <w:szCs w:val="13"/>
              </w:rPr>
              <w:t xml:space="preserve">0.949** (0.022)</w:t>
            </w:r>
          </w:p>
        </w:tc>
        <w:tc>
          <w:tcPr>
            <w:tcW w:type="dxa" w:w="980"/>
          </w:tcPr>
          <w:p>
            <w:pPr>
              <w:pStyle w:val="Compact"/>
              <w:spacing w:before="20" w:after="20" w:line="240" w:lineRule="auto"/>
              <w:jc w:val="center"/>
              <w:keepNext/>
            </w:pPr>
            <w:r>
              <w:rPr>
                <w:sz w:val="13"/>
                <w:szCs w:val="13"/>
              </w:rPr>
              <w:t xml:space="preserve">0.965 (0.033)</w:t>
            </w:r>
          </w:p>
        </w:tc>
        <w:tc>
          <w:tcPr>
            <w:tcW w:type="dxa" w:w="1106"/>
          </w:tcPr>
          <w:p>
            <w:pPr>
              <w:pStyle w:val="Compact"/>
              <w:spacing w:before="20" w:after="20" w:line="240" w:lineRule="auto"/>
              <w:jc w:val="center"/>
              <w:keepNext/>
            </w:pPr>
            <w:r>
              <w:rPr>
                <w:sz w:val="13"/>
                <w:szCs w:val="13"/>
              </w:rPr>
              <w:t xml:space="preserve">0.989 (0.018)</w:t>
            </w:r>
          </w:p>
        </w:tc>
        <w:tc>
          <w:tcPr>
            <w:tcW w:type="dxa" w:w="980"/>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980"/>
          </w:tcPr>
          <w:p>
            <w:pPr>
              <w:pStyle w:val="Compact"/>
              <w:spacing w:before="20" w:after="20" w:line="240" w:lineRule="auto"/>
              <w:jc w:val="center"/>
              <w:keepNext/>
            </w:pPr>
            <w:r>
              <w:rPr>
                <w:sz w:val="13"/>
                <w:szCs w:val="13"/>
              </w:rPr>
              <w:t xml:space="preserve">1.403*** (0.031)</w:t>
            </w:r>
          </w:p>
        </w:tc>
        <w:tc>
          <w:tcPr>
            <w:tcW w:type="dxa" w:w="980"/>
          </w:tcPr>
          <w:p>
            <w:pPr>
              <w:pStyle w:val="Compact"/>
              <w:spacing w:before="20" w:after="20" w:line="240" w:lineRule="auto"/>
              <w:jc w:val="center"/>
              <w:keepNext/>
            </w:pPr>
            <w:r>
              <w:rPr>
                <w:sz w:val="13"/>
                <w:szCs w:val="13"/>
              </w:rPr>
              <w:t xml:space="preserve">1.262*** (0.027)</w:t>
            </w:r>
          </w:p>
        </w:tc>
        <w:tc>
          <w:tcPr>
            <w:tcW w:type="dxa" w:w="980"/>
          </w:tcPr>
          <w:p>
            <w:pPr>
              <w:pStyle w:val="Compact"/>
              <w:spacing w:before="20" w:after="20" w:line="240" w:lineRule="auto"/>
              <w:jc w:val="center"/>
              <w:keepNext/>
            </w:pPr>
            <w:r>
              <w:rPr>
                <w:sz w:val="13"/>
                <w:szCs w:val="13"/>
              </w:rPr>
              <w:t xml:space="preserve">1.295*** (0.039)</w:t>
            </w:r>
          </w:p>
        </w:tc>
        <w:tc>
          <w:tcPr>
            <w:tcW w:type="dxa" w:w="980"/>
          </w:tcPr>
          <w:p>
            <w:pPr>
              <w:pStyle w:val="Compact"/>
              <w:spacing w:before="20" w:after="20" w:line="240" w:lineRule="auto"/>
              <w:jc w:val="center"/>
              <w:keepNext/>
            </w:pPr>
            <w:r>
              <w:rPr>
                <w:sz w:val="13"/>
                <w:szCs w:val="13"/>
              </w:rPr>
              <w:t xml:space="preserve">1.352*** (0.028)</w:t>
            </w:r>
          </w:p>
        </w:tc>
        <w:tc>
          <w:tcPr>
            <w:tcW w:type="dxa" w:w="980"/>
          </w:tcPr>
          <w:p>
            <w:pPr>
              <w:pStyle w:val="Compact"/>
              <w:spacing w:before="20" w:after="20" w:line="240" w:lineRule="auto"/>
              <w:jc w:val="center"/>
              <w:keepNext/>
            </w:pPr>
            <w:r>
              <w:rPr>
                <w:sz w:val="13"/>
                <w:szCs w:val="13"/>
              </w:rPr>
              <w:t xml:space="preserve">1.384*** (0.031)</w:t>
            </w:r>
          </w:p>
        </w:tc>
        <w:tc>
          <w:tcPr>
            <w:tcW w:type="dxa" w:w="980"/>
          </w:tcPr>
          <w:p>
            <w:pPr>
              <w:pStyle w:val="Compact"/>
              <w:spacing w:before="20" w:after="20" w:line="240" w:lineRule="auto"/>
              <w:jc w:val="center"/>
              <w:keepNext/>
            </w:pPr>
            <w:r>
              <w:rPr>
                <w:sz w:val="13"/>
                <w:szCs w:val="13"/>
              </w:rPr>
              <w:t xml:space="preserve">1.485*** (0.044)</w:t>
            </w:r>
          </w:p>
        </w:tc>
        <w:tc>
          <w:tcPr>
            <w:tcW w:type="dxa" w:w="1106"/>
          </w:tcPr>
          <w:p>
            <w:pPr>
              <w:pStyle w:val="Compact"/>
              <w:spacing w:before="20" w:after="20" w:line="240" w:lineRule="auto"/>
              <w:jc w:val="center"/>
              <w:keepNext/>
            </w:pPr>
            <w:r>
              <w:rPr>
                <w:sz w:val="13"/>
                <w:szCs w:val="13"/>
              </w:rPr>
              <w:t xml:space="preserve">1.418*** (0.034)</w:t>
            </w:r>
          </w:p>
        </w:tc>
        <w:tc>
          <w:tcPr>
            <w:tcW w:type="dxa" w:w="980"/>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중국(CN)</w:t>
            </w:r>
          </w:p>
        </w:tc>
        <w:tc>
          <w:tcPr>
            <w:tcW w:type="dxa" w:w="980"/>
          </w:tcPr>
          <w:p>
            <w:pPr>
              <w:pStyle w:val="Compact"/>
              <w:spacing w:before="20" w:after="20" w:line="240" w:lineRule="auto"/>
              <w:jc w:val="center"/>
              <w:keepNext/>
            </w:pPr>
            <w:r>
              <w:rPr>
                <w:sz w:val="13"/>
                <w:szCs w:val="13"/>
              </w:rPr>
              <w:t xml:space="preserve">1.205 (0.233)</w:t>
            </w:r>
          </w:p>
        </w:tc>
        <w:tc>
          <w:tcPr>
            <w:tcW w:type="dxa" w:w="980"/>
          </w:tcPr>
          <w:p>
            <w:pPr>
              <w:pStyle w:val="Compact"/>
              <w:spacing w:before="20" w:after="20" w:line="240" w:lineRule="auto"/>
              <w:jc w:val="center"/>
              <w:keepNext/>
            </w:pPr>
            <w:r>
              <w:rPr>
                <w:sz w:val="13"/>
                <w:szCs w:val="13"/>
              </w:rPr>
              <w:t xml:space="preserve">1.096 (0.220)</w:t>
            </w:r>
          </w:p>
        </w:tc>
        <w:tc>
          <w:tcPr>
            <w:tcW w:type="dxa" w:w="980"/>
          </w:tcPr>
          <w:p>
            <w:pPr>
              <w:pStyle w:val="Compact"/>
              <w:spacing w:before="20" w:after="20" w:line="240" w:lineRule="auto"/>
              <w:jc w:val="center"/>
              <w:keepNext/>
            </w:pPr>
            <w:r>
              <w:rPr>
                <w:sz w:val="13"/>
                <w:szCs w:val="13"/>
              </w:rPr>
              <w:t xml:space="preserve">1.366 (0.288)</w:t>
            </w:r>
          </w:p>
        </w:tc>
        <w:tc>
          <w:tcPr>
            <w:tcW w:type="dxa" w:w="980"/>
          </w:tcPr>
          <w:p>
            <w:pPr>
              <w:pStyle w:val="Compact"/>
              <w:spacing w:before="20" w:after="20" w:line="240" w:lineRule="auto"/>
              <w:jc w:val="center"/>
              <w:keepNext/>
            </w:pPr>
            <w:r>
              <w:rPr>
                <w:sz w:val="13"/>
                <w:szCs w:val="13"/>
              </w:rPr>
              <w:t xml:space="preserve">1.401 (0.235)</w:t>
            </w:r>
          </w:p>
        </w:tc>
        <w:tc>
          <w:tcPr>
            <w:tcW w:type="dxa" w:w="980"/>
          </w:tcPr>
          <w:p>
            <w:pPr>
              <w:pStyle w:val="Compact"/>
              <w:spacing w:before="20" w:after="20" w:line="240" w:lineRule="auto"/>
              <w:jc w:val="center"/>
              <w:keepNext/>
            </w:pPr>
            <w:r>
              <w:rPr>
                <w:sz w:val="13"/>
                <w:szCs w:val="13"/>
              </w:rPr>
              <w:t xml:space="preserve">1.350 (0.241)</w:t>
            </w:r>
          </w:p>
        </w:tc>
        <w:tc>
          <w:tcPr>
            <w:tcW w:type="dxa" w:w="980"/>
          </w:tcPr>
          <w:p>
            <w:pPr>
              <w:pStyle w:val="Compact"/>
              <w:spacing w:before="20" w:after="20" w:line="240" w:lineRule="auto"/>
              <w:jc w:val="center"/>
              <w:keepNext/>
            </w:pPr>
            <w:r>
              <w:rPr>
                <w:sz w:val="13"/>
                <w:szCs w:val="13"/>
              </w:rPr>
              <w:t xml:space="preserve">1.690 (0.329)</w:t>
            </w:r>
          </w:p>
        </w:tc>
        <w:tc>
          <w:tcPr>
            <w:tcW w:type="dxa" w:w="1106"/>
          </w:tcPr>
          <w:p>
            <w:pPr>
              <w:pStyle w:val="Compact"/>
              <w:spacing w:before="20" w:after="20" w:line="240" w:lineRule="auto"/>
              <w:jc w:val="center"/>
              <w:keepNext/>
            </w:pPr>
            <w:r>
              <w:rPr>
                <w:sz w:val="13"/>
                <w:szCs w:val="13"/>
              </w:rPr>
              <w:t xml:space="preserve">1.231 (0.258)</w:t>
            </w:r>
          </w:p>
        </w:tc>
        <w:tc>
          <w:tcPr>
            <w:tcW w:type="dxa" w:w="980"/>
          </w:tcPr>
          <w:p>
            <w:pPr>
              <w:pStyle w:val="Compact"/>
              <w:spacing w:before="20" w:after="20" w:line="240" w:lineRule="auto"/>
              <w:jc w:val="center"/>
              <w:keepNext/>
            </w:pPr>
            <w:r>
              <w:rPr>
                <w:sz w:val="13"/>
                <w:szCs w:val="13"/>
              </w:rPr>
              <w:t xml:space="preserve">1.240 (0.234)</w:t>
            </w:r>
          </w:p>
        </w:tc>
      </w:tr>
      <w:tr>
        <w:trPr>
          <w:cantSplit/>
        </w:trPr>
        <w:tc>
          <w:tcPr>
            <w:tcW w:type="dxa" w:w="1106"/>
          </w:tcPr>
          <w:p>
            <w:pPr>
              <w:pStyle w:val="Compact"/>
              <w:spacing w:before="20" w:after="20" w:line="240" w:lineRule="auto"/>
              <w:keepNext/>
            </w:pPr>
            <w:r>
              <w:rPr>
                <w:sz w:val="13"/>
                <w:szCs w:val="13"/>
              </w:rPr>
              <w:t xml:space="preserve">한국(KR)</w:t>
            </w:r>
          </w:p>
        </w:tc>
        <w:tc>
          <w:tcPr>
            <w:tcW w:type="dxa" w:w="980"/>
          </w:tcPr>
          <w:p>
            <w:pPr>
              <w:pStyle w:val="Compact"/>
              <w:spacing w:before="20" w:after="20" w:line="240" w:lineRule="auto"/>
              <w:jc w:val="center"/>
              <w:keepNext/>
            </w:pPr>
            <w:r>
              <w:rPr>
                <w:sz w:val="13"/>
                <w:szCs w:val="13"/>
              </w:rPr>
              <w:t xml:space="preserve">1.166 (0.381)</w:t>
            </w:r>
          </w:p>
        </w:tc>
        <w:tc>
          <w:tcPr>
            <w:tcW w:type="dxa" w:w="980"/>
          </w:tcPr>
          <w:p>
            <w:pPr>
              <w:pStyle w:val="Compact"/>
              <w:spacing w:before="20" w:after="20" w:line="240" w:lineRule="auto"/>
              <w:jc w:val="center"/>
              <w:keepNext/>
            </w:pPr>
            <w:r>
              <w:rPr>
                <w:sz w:val="13"/>
                <w:szCs w:val="13"/>
              </w:rPr>
              <w:t xml:space="preserve">1.161 (0.360)</w:t>
            </w:r>
          </w:p>
        </w:tc>
        <w:tc>
          <w:tcPr>
            <w:tcW w:type="dxa" w:w="980"/>
          </w:tcPr>
          <w:p>
            <w:pPr>
              <w:pStyle w:val="Compact"/>
              <w:spacing w:before="20" w:after="20" w:line="240" w:lineRule="auto"/>
              <w:jc w:val="center"/>
              <w:keepNext/>
            </w:pPr>
            <w:r>
              <w:rPr>
                <w:sz w:val="13"/>
                <w:szCs w:val="13"/>
              </w:rPr>
              <w:t xml:space="preserve">1.429 (0.485)</w:t>
            </w:r>
          </w:p>
        </w:tc>
        <w:tc>
          <w:tcPr>
            <w:tcW w:type="dxa" w:w="980"/>
          </w:tcPr>
          <w:p>
            <w:pPr>
              <w:pStyle w:val="Compact"/>
              <w:spacing w:before="20" w:after="20" w:line="240" w:lineRule="auto"/>
              <w:jc w:val="center"/>
              <w:keepNext/>
            </w:pPr>
            <w:r>
              <w:rPr>
                <w:sz w:val="13"/>
                <w:szCs w:val="13"/>
              </w:rPr>
              <w:t xml:space="preserve">1.684 (0.371)</w:t>
            </w:r>
          </w:p>
        </w:tc>
        <w:tc>
          <w:tcPr>
            <w:tcW w:type="dxa" w:w="980"/>
          </w:tcPr>
          <w:p>
            <w:pPr>
              <w:pStyle w:val="Compact"/>
              <w:spacing w:before="20" w:after="20" w:line="240" w:lineRule="auto"/>
              <w:jc w:val="center"/>
              <w:keepNext/>
            </w:pPr>
            <w:r>
              <w:rPr>
                <w:sz w:val="13"/>
                <w:szCs w:val="13"/>
              </w:rPr>
              <w:t xml:space="preserve">1.128 (0.385)</w:t>
            </w:r>
          </w:p>
        </w:tc>
        <w:tc>
          <w:tcPr>
            <w:tcW w:type="dxa" w:w="980"/>
          </w:tcPr>
          <w:p>
            <w:pPr>
              <w:pStyle w:val="Compact"/>
              <w:spacing w:before="20" w:after="20" w:line="240" w:lineRule="auto"/>
              <w:jc w:val="center"/>
              <w:keepNext/>
            </w:pPr>
            <w:r>
              <w:rPr>
                <w:sz w:val="13"/>
                <w:szCs w:val="13"/>
              </w:rPr>
              <w:t xml:space="preserve">1.334 (0.541)</w:t>
            </w:r>
          </w:p>
        </w:tc>
        <w:tc>
          <w:tcPr>
            <w:tcW w:type="dxa" w:w="1106"/>
          </w:tcPr>
          <w:p>
            <w:pPr>
              <w:pStyle w:val="Compact"/>
              <w:spacing w:before="20" w:after="20" w:line="240" w:lineRule="auto"/>
              <w:jc w:val="center"/>
              <w:keepNext/>
            </w:pPr>
            <w:r>
              <w:rPr>
                <w:sz w:val="13"/>
                <w:szCs w:val="13"/>
              </w:rPr>
              <w:t xml:space="preserve">1.095 (0.396)</w:t>
            </w:r>
          </w:p>
        </w:tc>
        <w:tc>
          <w:tcPr>
            <w:tcW w:type="dxa" w:w="980"/>
          </w:tcPr>
          <w:p>
            <w:pPr>
              <w:pStyle w:val="Compact"/>
              <w:spacing w:before="20" w:after="20" w:line="240" w:lineRule="auto"/>
              <w:jc w:val="center"/>
              <w:keepNext/>
            </w:pPr>
            <w:r>
              <w:rPr>
                <w:sz w:val="13"/>
                <w:szCs w:val="13"/>
              </w:rPr>
              <w:t xml:space="preserve">0.958 (0.394)</w:t>
            </w:r>
          </w:p>
        </w:tc>
      </w:tr>
      <w:tr>
        <w:trPr>
          <w:cantSplit/>
        </w:trPr>
        <w:tc>
          <w:tcPr>
            <w:tcW w:type="dxa" w:w="1106"/>
          </w:tcPr>
          <w:p>
            <w:pPr>
              <w:pStyle w:val="Compact"/>
              <w:spacing w:before="20" w:after="20" w:line="240" w:lineRule="auto"/>
              <w:keepNext/>
            </w:pPr>
            <w:r>
              <w:rPr>
                <w:sz w:val="13"/>
                <w:szCs w:val="13"/>
              </w:rPr>
              <w:t xml:space="preserve">대만(TW)</w:t>
            </w:r>
          </w:p>
        </w:tc>
        <w:tc>
          <w:tcPr>
            <w:tcW w:type="dxa" w:w="980"/>
          </w:tcPr>
          <w:p>
            <w:pPr>
              <w:pStyle w:val="Compact"/>
              <w:spacing w:before="20" w:after="20" w:line="240" w:lineRule="auto"/>
              <w:jc w:val="center"/>
              <w:keepNext/>
            </w:pPr>
            <w:r>
              <w:rPr>
                <w:sz w:val="13"/>
                <w:szCs w:val="13"/>
              </w:rPr>
              <w:t xml:space="preserve">1.312 (0.322)</w:t>
            </w:r>
          </w:p>
        </w:tc>
        <w:tc>
          <w:tcPr>
            <w:tcW w:type="dxa" w:w="980"/>
          </w:tcPr>
          <w:p>
            <w:pPr>
              <w:pStyle w:val="Compact"/>
              <w:spacing w:before="20" w:after="20" w:line="240" w:lineRule="auto"/>
              <w:jc w:val="center"/>
              <w:keepNext/>
            </w:pPr>
            <w:r>
              <w:rPr>
                <w:sz w:val="13"/>
                <w:szCs w:val="13"/>
              </w:rPr>
              <w:t xml:space="preserve">1.297 (0.302)</w:t>
            </w:r>
          </w:p>
        </w:tc>
        <w:tc>
          <w:tcPr>
            <w:tcW w:type="dxa" w:w="980"/>
          </w:tcPr>
          <w:p>
            <w:pPr>
              <w:pStyle w:val="Compact"/>
              <w:spacing w:before="20" w:after="20" w:line="240" w:lineRule="auto"/>
              <w:jc w:val="center"/>
              <w:keepNext/>
            </w:pPr>
            <w:r>
              <w:rPr>
                <w:sz w:val="13"/>
                <w:szCs w:val="13"/>
              </w:rPr>
              <w:t xml:space="preserve">1.267 (0.633)</w:t>
            </w:r>
          </w:p>
        </w:tc>
        <w:tc>
          <w:tcPr>
            <w:tcW w:type="dxa" w:w="980"/>
          </w:tcPr>
          <w:p>
            <w:pPr>
              <w:pStyle w:val="Compact"/>
              <w:spacing w:before="20" w:after="20" w:line="240" w:lineRule="auto"/>
              <w:jc w:val="center"/>
              <w:keepNext/>
            </w:pPr>
            <w:r>
              <w:rPr>
                <w:sz w:val="13"/>
                <w:szCs w:val="13"/>
              </w:rPr>
              <w:t xml:space="preserve">1.763* (0.315)</w:t>
            </w:r>
          </w:p>
        </w:tc>
        <w:tc>
          <w:tcPr>
            <w:tcW w:type="dxa" w:w="980"/>
          </w:tcPr>
          <w:p>
            <w:pPr>
              <w:pStyle w:val="Compact"/>
              <w:spacing w:before="20" w:after="20" w:line="240" w:lineRule="auto"/>
              <w:jc w:val="center"/>
              <w:keepNext/>
            </w:pPr>
            <w:r>
              <w:rPr>
                <w:sz w:val="13"/>
                <w:szCs w:val="13"/>
              </w:rPr>
              <w:t xml:space="preserve">1.402 (0.323)</w:t>
            </w:r>
          </w:p>
        </w:tc>
        <w:tc>
          <w:tcPr>
            <w:tcW w:type="dxa" w:w="980"/>
          </w:tcPr>
          <w:p>
            <w:pPr>
              <w:pStyle w:val="Compact"/>
              <w:spacing w:before="20" w:after="20" w:line="240" w:lineRule="auto"/>
              <w:jc w:val="center"/>
              <w:keepNext/>
            </w:pPr>
            <w:r>
              <w:rPr>
                <w:sz w:val="13"/>
                <w:szCs w:val="13"/>
              </w:rPr>
              <w:t xml:space="preserve">1.950 (0.447)</w:t>
            </w:r>
          </w:p>
        </w:tc>
        <w:tc>
          <w:tcPr>
            <w:tcW w:type="dxa" w:w="1106"/>
          </w:tcPr>
          <w:p>
            <w:pPr>
              <w:pStyle w:val="Compact"/>
              <w:spacing w:before="20" w:after="20" w:line="240" w:lineRule="auto"/>
              <w:jc w:val="center"/>
              <w:keepNext/>
            </w:pPr>
            <w:r>
              <w:rPr>
                <w:sz w:val="13"/>
                <w:szCs w:val="13"/>
              </w:rPr>
              <w:t xml:space="preserve">1.480 (0.381)</w:t>
            </w:r>
          </w:p>
        </w:tc>
        <w:tc>
          <w:tcPr>
            <w:tcW w:type="dxa" w:w="980"/>
          </w:tcPr>
          <w:p>
            <w:pPr>
              <w:pStyle w:val="Compact"/>
              <w:spacing w:before="20" w:after="20" w:line="240" w:lineRule="auto"/>
              <w:jc w:val="center"/>
              <w:keepNext/>
            </w:pPr>
            <w:r>
              <w:rPr>
                <w:sz w:val="13"/>
                <w:szCs w:val="13"/>
              </w:rPr>
              <w:t xml:space="preserve">1.400 (0.323)</w:t>
            </w:r>
          </w:p>
        </w:tc>
      </w:tr>
      <w:tr>
        <w:trPr>
          <w:cantSplit/>
        </w:trPr>
        <w:tc>
          <w:tcPr>
            <w:tcW w:type="dxa" w:w="1106"/>
          </w:tcPr>
          <w:p>
            <w:pPr>
              <w:pStyle w:val="Compact"/>
              <w:spacing w:before="20" w:after="20" w:line="240" w:lineRule="auto"/>
              <w:keepNext/>
            </w:pPr>
            <w:r>
              <w:rPr>
                <w:sz w:val="13"/>
                <w:szCs w:val="13"/>
              </w:rPr>
              <w:t xml:space="preserve">일본(JP)</w:t>
            </w:r>
          </w:p>
        </w:tc>
        <w:tc>
          <w:tcPr>
            <w:tcW w:type="dxa" w:w="980"/>
          </w:tcPr>
          <w:p>
            <w:pPr>
              <w:pStyle w:val="Compact"/>
              <w:spacing w:before="20" w:after="20" w:line="240" w:lineRule="auto"/>
              <w:jc w:val="center"/>
              <w:keepNext/>
            </w:pPr>
            <w:r>
              <w:rPr>
                <w:sz w:val="13"/>
                <w:szCs w:val="13"/>
              </w:rPr>
              <w:t xml:space="preserve">1.046 (0.557)</w:t>
            </w:r>
          </w:p>
        </w:tc>
        <w:tc>
          <w:tcPr>
            <w:tcW w:type="dxa" w:w="980"/>
          </w:tcPr>
          <w:p>
            <w:pPr>
              <w:pStyle w:val="Compact"/>
              <w:spacing w:before="20" w:after="20" w:line="240" w:lineRule="auto"/>
              <w:jc w:val="center"/>
              <w:keepNext/>
            </w:pPr>
            <w:r>
              <w:rPr>
                <w:sz w:val="13"/>
                <w:szCs w:val="13"/>
              </w:rPr>
              <w:t xml:space="preserve">1.053 (0.526)</w:t>
            </w:r>
          </w:p>
        </w:tc>
        <w:tc>
          <w:tcPr>
            <w:tcW w:type="dxa" w:w="980"/>
          </w:tcPr>
          <w:p>
            <w:pPr>
              <w:pStyle w:val="Compact"/>
              <w:spacing w:before="20" w:after="20" w:line="240" w:lineRule="auto"/>
              <w:jc w:val="center"/>
              <w:keepNext/>
            </w:pPr>
            <w:r>
              <w:rPr>
                <w:sz w:val="13"/>
                <w:szCs w:val="13"/>
              </w:rPr>
              <w:t xml:space="preserve">1.572 (0.673)</w:t>
            </w:r>
          </w:p>
        </w:tc>
        <w:tc>
          <w:tcPr>
            <w:tcW w:type="dxa" w:w="980"/>
          </w:tcPr>
          <w:p>
            <w:pPr>
              <w:pStyle w:val="Compact"/>
              <w:spacing w:before="20" w:after="20" w:line="240" w:lineRule="auto"/>
              <w:jc w:val="center"/>
              <w:keepNext/>
            </w:pPr>
            <w:r>
              <w:rPr>
                <w:sz w:val="13"/>
                <w:szCs w:val="13"/>
              </w:rPr>
              <w:t xml:space="preserve">1.401 (0.536)</w:t>
            </w:r>
          </w:p>
        </w:tc>
        <w:tc>
          <w:tcPr>
            <w:tcW w:type="dxa" w:w="980"/>
          </w:tcPr>
          <w:p>
            <w:pPr>
              <w:pStyle w:val="Compact"/>
              <w:spacing w:before="20" w:after="20" w:line="240" w:lineRule="auto"/>
              <w:jc w:val="center"/>
              <w:keepNext/>
            </w:pPr>
            <w:r>
              <w:rPr>
                <w:sz w:val="13"/>
                <w:szCs w:val="13"/>
              </w:rPr>
              <w:t xml:space="preserve">1.643 (0.654)</w:t>
            </w:r>
          </w:p>
        </w:tc>
        <w:tc>
          <w:tcPr>
            <w:tcW w:type="dxa" w:w="980"/>
          </w:tcPr>
          <w:p>
            <w:pPr>
              <w:pStyle w:val="Compact"/>
              <w:spacing w:before="20" w:after="20" w:line="240" w:lineRule="auto"/>
              <w:jc w:val="center"/>
              <w:keepNext/>
            </w:pPr>
            <w:r>
              <w:rPr>
                <w:sz w:val="13"/>
                <w:szCs w:val="13"/>
              </w:rPr>
              <w:t xml:space="preserve">1.833 (1.325)</w:t>
            </w:r>
          </w:p>
        </w:tc>
        <w:tc>
          <w:tcPr>
            <w:tcW w:type="dxa" w:w="1106"/>
          </w:tcPr>
          <w:p>
            <w:pPr>
              <w:pStyle w:val="Compact"/>
              <w:spacing w:before="20" w:after="20" w:line="240" w:lineRule="auto"/>
              <w:jc w:val="center"/>
              <w:keepNext/>
            </w:pPr>
            <w:r>
              <w:rPr>
                <w:sz w:val="13"/>
                <w:szCs w:val="13"/>
              </w:rPr>
              <w:t xml:space="preserve">0.400 (0.748)</w:t>
            </w:r>
          </w:p>
        </w:tc>
        <w:tc>
          <w:tcPr>
            <w:tcW w:type="dxa" w:w="980"/>
          </w:tcPr>
          <w:p>
            <w:pPr>
              <w:pStyle w:val="Compact"/>
              <w:spacing w:before="20" w:after="20" w:line="240" w:lineRule="auto"/>
              <w:jc w:val="center"/>
              <w:keepNext/>
            </w:pPr>
            <w:r>
              <w:rPr>
                <w:sz w:val="13"/>
                <w:szCs w:val="13"/>
              </w:rPr>
              <w:t xml:space="preserve">6.795* (1.085)</w:t>
            </w:r>
          </w:p>
        </w:tc>
      </w:tr>
      <w:tr>
        <w:trPr>
          <w:cantSplit/>
        </w:trPr>
        <w:tc>
          <w:tcPr>
            <w:tcW w:type="dxa" w:w="1106"/>
          </w:tcPr>
          <w:p>
            <w:pPr>
              <w:pStyle w:val="Compact"/>
              <w:spacing w:before="20" w:after="20" w:line="240" w:lineRule="auto"/>
              <w:keepNext/>
            </w:pPr>
            <w:r>
              <w:rPr>
                <w:sz w:val="13"/>
                <w:szCs w:val="13"/>
              </w:rPr>
              <w:t xml:space="preserve">EPO(EP)</w:t>
            </w:r>
          </w:p>
        </w:tc>
        <w:tc>
          <w:tcPr>
            <w:tcW w:type="dxa" w:w="980"/>
          </w:tcPr>
          <w:p>
            <w:pPr>
              <w:pStyle w:val="Compact"/>
              <w:spacing w:before="20" w:after="20" w:line="240" w:lineRule="auto"/>
              <w:jc w:val="center"/>
              <w:keepNext/>
            </w:pPr>
            <w:r>
              <w:rPr>
                <w:sz w:val="13"/>
                <w:szCs w:val="13"/>
              </w:rPr>
              <w:t xml:space="preserve">1.307 (0.291)</w:t>
            </w:r>
          </w:p>
        </w:tc>
        <w:tc>
          <w:tcPr>
            <w:tcW w:type="dxa" w:w="980"/>
          </w:tcPr>
          <w:p>
            <w:pPr>
              <w:pStyle w:val="Compact"/>
              <w:spacing w:before="20" w:after="20" w:line="240" w:lineRule="auto"/>
              <w:jc w:val="center"/>
              <w:keepNext/>
            </w:pPr>
            <w:r>
              <w:rPr>
                <w:sz w:val="13"/>
                <w:szCs w:val="13"/>
              </w:rPr>
              <w:t xml:space="preserve">1.302 (0.278)</w:t>
            </w:r>
          </w:p>
        </w:tc>
        <w:tc>
          <w:tcPr>
            <w:tcW w:type="dxa" w:w="980"/>
          </w:tcPr>
          <w:p>
            <w:pPr>
              <w:pStyle w:val="Compact"/>
              <w:spacing w:before="20" w:after="20" w:line="240" w:lineRule="auto"/>
              <w:jc w:val="center"/>
              <w:keepNext/>
            </w:pPr>
            <w:r>
              <w:rPr>
                <w:sz w:val="13"/>
                <w:szCs w:val="13"/>
              </w:rPr>
              <w:t xml:space="preserve">2.412* (0.480)</w:t>
            </w:r>
          </w:p>
        </w:tc>
        <w:tc>
          <w:tcPr>
            <w:tcW w:type="dxa" w:w="980"/>
          </w:tcPr>
          <w:p>
            <w:pPr>
              <w:pStyle w:val="Compact"/>
              <w:spacing w:before="20" w:after="20" w:line="240" w:lineRule="auto"/>
              <w:jc w:val="center"/>
              <w:keepNext/>
            </w:pPr>
            <w:r>
              <w:rPr>
                <w:sz w:val="13"/>
                <w:szCs w:val="13"/>
              </w:rPr>
              <w:t xml:space="preserve">1.215 (0.288)</w:t>
            </w:r>
          </w:p>
        </w:tc>
        <w:tc>
          <w:tcPr>
            <w:tcW w:type="dxa" w:w="980"/>
          </w:tcPr>
          <w:p>
            <w:pPr>
              <w:pStyle w:val="Compact"/>
              <w:spacing w:before="20" w:after="20" w:line="240" w:lineRule="auto"/>
              <w:jc w:val="center"/>
              <w:keepNext/>
            </w:pPr>
            <w:r>
              <w:rPr>
                <w:sz w:val="13"/>
                <w:szCs w:val="13"/>
              </w:rPr>
              <w:t xml:space="preserve">1.522 (0.306)</w:t>
            </w:r>
          </w:p>
        </w:tc>
        <w:tc>
          <w:tcPr>
            <w:tcW w:type="dxa" w:w="980"/>
          </w:tcPr>
          <w:p>
            <w:pPr>
              <w:pStyle w:val="Compact"/>
              <w:spacing w:before="20" w:after="20" w:line="240" w:lineRule="auto"/>
              <w:jc w:val="center"/>
              <w:keepNext/>
            </w:pPr>
            <w:r>
              <w:rPr>
                <w:sz w:val="13"/>
                <w:szCs w:val="13"/>
              </w:rPr>
              <w:t xml:space="preserve">1.267 (0.506)</w:t>
            </w:r>
          </w:p>
        </w:tc>
        <w:tc>
          <w:tcPr>
            <w:tcW w:type="dxa" w:w="1106"/>
          </w:tcPr>
          <w:p>
            <w:pPr>
              <w:pStyle w:val="Compact"/>
              <w:spacing w:before="20" w:after="20" w:line="240" w:lineRule="auto"/>
              <w:jc w:val="center"/>
              <w:keepNext/>
            </w:pPr>
            <w:r>
              <w:rPr>
                <w:sz w:val="13"/>
                <w:szCs w:val="13"/>
              </w:rPr>
              <w:t xml:space="preserve">1.078 (0.313)</w:t>
            </w:r>
          </w:p>
        </w:tc>
        <w:tc>
          <w:tcPr>
            <w:tcW w:type="dxa" w:w="980"/>
          </w:tcPr>
          <w:p>
            <w:pPr>
              <w:pStyle w:val="Compact"/>
              <w:spacing w:before="20" w:after="20" w:line="240" w:lineRule="auto"/>
              <w:jc w:val="center"/>
              <w:keepNext/>
            </w:pPr>
            <w:r>
              <w:rPr>
                <w:sz w:val="13"/>
                <w:szCs w:val="13"/>
              </w:rPr>
              <w:t xml:space="preserve">1.447 (0.302)</w:t>
            </w:r>
          </w:p>
        </w:tc>
      </w:tr>
      <w:tr>
        <w:trPr>
          <w:cantSplit/>
        </w:trPr>
        <w:tc>
          <w:tcPr>
            <w:tcW w:type="dxa" w:w="1106"/>
          </w:tcPr>
          <w:p>
            <w:pPr>
              <w:pStyle w:val="Compact"/>
              <w:spacing w:before="20" w:after="20" w:line="240" w:lineRule="auto"/>
              <w:keepNext/>
            </w:pPr>
            <w:r>
              <w:rPr>
                <w:sz w:val="13"/>
                <w:szCs w:val="13"/>
              </w:rPr>
              <w:t xml:space="preserve">PCT(WO)</w:t>
            </w:r>
          </w:p>
        </w:tc>
        <w:tc>
          <w:tcPr>
            <w:tcW w:type="dxa" w:w="980"/>
          </w:tcPr>
          <w:p>
            <w:pPr>
              <w:pStyle w:val="Compact"/>
              <w:spacing w:before="20" w:after="20" w:line="240" w:lineRule="auto"/>
              <w:jc w:val="center"/>
              <w:keepNext/>
            </w:pPr>
            <w:r>
              <w:rPr>
                <w:sz w:val="13"/>
                <w:szCs w:val="13"/>
              </w:rPr>
              <w:t xml:space="preserve">1.126 (0.268)</w:t>
            </w:r>
          </w:p>
        </w:tc>
        <w:tc>
          <w:tcPr>
            <w:tcW w:type="dxa" w:w="980"/>
          </w:tcPr>
          <w:p>
            <w:pPr>
              <w:pStyle w:val="Compact"/>
              <w:spacing w:before="20" w:after="20" w:line="240" w:lineRule="auto"/>
              <w:jc w:val="center"/>
              <w:keepNext/>
            </w:pPr>
            <w:r>
              <w:rPr>
                <w:sz w:val="13"/>
                <w:szCs w:val="13"/>
              </w:rPr>
              <w:t xml:space="preserve">1.031 (0.254)</w:t>
            </w:r>
          </w:p>
        </w:tc>
        <w:tc>
          <w:tcPr>
            <w:tcW w:type="dxa" w:w="980"/>
          </w:tcPr>
          <w:p>
            <w:pPr>
              <w:pStyle w:val="Compact"/>
              <w:spacing w:before="20" w:after="20" w:line="240" w:lineRule="auto"/>
              <w:jc w:val="center"/>
              <w:keepNext/>
            </w:pPr>
            <w:r>
              <w:rPr>
                <w:sz w:val="13"/>
                <w:szCs w:val="13"/>
              </w:rPr>
              <w:t xml:space="preserve">1.042 (0.489)</w:t>
            </w:r>
          </w:p>
        </w:tc>
        <w:tc>
          <w:tcPr>
            <w:tcW w:type="dxa" w:w="980"/>
          </w:tcPr>
          <w:p>
            <w:pPr>
              <w:pStyle w:val="Compact"/>
              <w:spacing w:before="20" w:after="20" w:line="240" w:lineRule="auto"/>
              <w:jc w:val="center"/>
              <w:keepNext/>
            </w:pPr>
            <w:r>
              <w:rPr>
                <w:sz w:val="13"/>
                <w:szCs w:val="13"/>
              </w:rPr>
              <w:t xml:space="preserve">1.193 (0.274)</w:t>
            </w:r>
          </w:p>
        </w:tc>
        <w:tc>
          <w:tcPr>
            <w:tcW w:type="dxa" w:w="980"/>
          </w:tcPr>
          <w:p>
            <w:pPr>
              <w:pStyle w:val="Compact"/>
              <w:spacing w:before="20" w:after="20" w:line="240" w:lineRule="auto"/>
              <w:jc w:val="center"/>
              <w:keepNext/>
            </w:pPr>
            <w:r>
              <w:rPr>
                <w:sz w:val="13"/>
                <w:szCs w:val="13"/>
              </w:rPr>
              <w:t xml:space="preserve">1.145 (0.274)</w:t>
            </w:r>
          </w:p>
        </w:tc>
        <w:tc>
          <w:tcPr>
            <w:tcW w:type="dxa" w:w="980"/>
          </w:tcPr>
          <w:p>
            <w:pPr>
              <w:pStyle w:val="Compact"/>
              <w:spacing w:before="20" w:after="20" w:line="240" w:lineRule="auto"/>
              <w:jc w:val="center"/>
              <w:keepNext/>
            </w:pPr>
            <w:r>
              <w:rPr>
                <w:sz w:val="13"/>
                <w:szCs w:val="13"/>
              </w:rPr>
              <w:t xml:space="preserve">1.194 (0.369)</w:t>
            </w:r>
          </w:p>
        </w:tc>
        <w:tc>
          <w:tcPr>
            <w:tcW w:type="dxa" w:w="1106"/>
          </w:tcPr>
          <w:p>
            <w:pPr>
              <w:pStyle w:val="Compact"/>
              <w:spacing w:before="20" w:after="20" w:line="240" w:lineRule="auto"/>
              <w:jc w:val="center"/>
              <w:keepNext/>
            </w:pPr>
            <w:r>
              <w:rPr>
                <w:sz w:val="13"/>
                <w:szCs w:val="13"/>
              </w:rPr>
              <w:t xml:space="preserve">1.387 (0.335)</w:t>
            </w:r>
          </w:p>
        </w:tc>
        <w:tc>
          <w:tcPr>
            <w:tcW w:type="dxa" w:w="980"/>
          </w:tcPr>
          <w:p>
            <w:pPr>
              <w:pStyle w:val="Compact"/>
              <w:spacing w:before="20" w:after="20" w:line="240" w:lineRule="auto"/>
              <w:jc w:val="center"/>
              <w:keepNext/>
            </w:pPr>
            <w:r>
              <w:rPr>
                <w:sz w:val="13"/>
                <w:szCs w:val="13"/>
              </w:rPr>
              <w:t xml:space="preserve">1.184 (0.271)</w:t>
            </w:r>
          </w:p>
        </w:tc>
      </w:tr>
      <w:tr>
        <w:trPr>
          <w:cantSplit/>
        </w:trPr>
        <w:tc>
          <w:tcPr>
            <w:tcW w:type="dxa" w:w="1106"/>
          </w:tcPr>
          <w:p>
            <w:pPr>
              <w:pStyle w:val="Compact"/>
              <w:spacing w:before="20" w:after="20" w:line="240" w:lineRule="auto"/>
              <w:keepNext/>
            </w:pPr>
            <w:r>
              <w:rPr>
                <w:sz w:val="13"/>
                <w:szCs w:val="13"/>
              </w:rPr>
              <w:t xml:space="preserve">기타</w:t>
            </w:r>
          </w:p>
        </w:tc>
        <w:tc>
          <w:tcPr>
            <w:tcW w:type="dxa" w:w="980"/>
          </w:tcPr>
          <w:p>
            <w:pPr>
              <w:pStyle w:val="Compact"/>
              <w:spacing w:before="20" w:after="20" w:line="240" w:lineRule="auto"/>
              <w:jc w:val="center"/>
              <w:keepNext/>
            </w:pPr>
            <w:r>
              <w:rPr>
                <w:sz w:val="13"/>
                <w:szCs w:val="13"/>
              </w:rPr>
              <w:t xml:space="preserve">2.326 (0.681)</w:t>
            </w:r>
          </w:p>
        </w:tc>
        <w:tc>
          <w:tcPr>
            <w:tcW w:type="dxa" w:w="980"/>
          </w:tcPr>
          <w:p>
            <w:pPr>
              <w:pStyle w:val="Compact"/>
              <w:spacing w:before="20" w:after="20" w:line="240" w:lineRule="auto"/>
              <w:jc w:val="center"/>
              <w:keepNext/>
            </w:pPr>
            <w:r>
              <w:rPr>
                <w:sz w:val="13"/>
                <w:szCs w:val="13"/>
              </w:rPr>
              <w:t xml:space="preserve">2.021 (0.664)</w:t>
            </w:r>
          </w:p>
        </w:tc>
        <w:tc>
          <w:tcPr>
            <w:tcW w:type="dxa" w:w="980"/>
          </w:tcPr>
          <w:p>
            <w:pPr>
              <w:pStyle w:val="Compact"/>
              <w:spacing w:before="20" w:after="20" w:line="240" w:lineRule="auto"/>
              <w:jc w:val="center"/>
              <w:keepNext/>
            </w:pPr>
            <w:r>
              <w:rPr>
                <w:sz w:val="13"/>
                <w:szCs w:val="13"/>
              </w:rPr>
              <w:t xml:space="preserve">0.167 (2.128)</w:t>
            </w:r>
          </w:p>
        </w:tc>
        <w:tc>
          <w:tcPr>
            <w:tcW w:type="dxa" w:w="980"/>
          </w:tcPr>
          <w:p>
            <w:pPr>
              <w:pStyle w:val="Compact"/>
              <w:spacing w:before="20" w:after="20" w:line="240" w:lineRule="auto"/>
              <w:jc w:val="center"/>
              <w:keepNext/>
            </w:pPr>
            <w:r>
              <w:rPr>
                <w:sz w:val="13"/>
                <w:szCs w:val="13"/>
              </w:rPr>
              <w:t xml:space="preserve">2.631 (0.663)</w:t>
            </w:r>
          </w:p>
        </w:tc>
        <w:tc>
          <w:tcPr>
            <w:tcW w:type="dxa" w:w="980"/>
          </w:tcPr>
          <w:p>
            <w:pPr>
              <w:pStyle w:val="Compact"/>
              <w:spacing w:before="20" w:after="20" w:line="240" w:lineRule="auto"/>
              <w:jc w:val="center"/>
              <w:keepNext/>
            </w:pPr>
            <w:r>
              <w:rPr>
                <w:sz w:val="13"/>
                <w:szCs w:val="13"/>
              </w:rPr>
              <w:t xml:space="preserve">2.051 (0.680)</w:t>
            </w:r>
          </w:p>
        </w:tc>
        <w:tc>
          <w:tcPr>
            <w:tcW w:type="dxa" w:w="980"/>
          </w:tcPr>
          <w:p>
            <w:pPr>
              <w:pStyle w:val="Compact"/>
              <w:spacing w:before="20" w:after="20" w:line="240" w:lineRule="auto"/>
              <w:jc w:val="center"/>
              <w:keepNext/>
            </w:pPr>
            <w:r>
              <w:rPr>
                <w:sz w:val="13"/>
                <w:szCs w:val="13"/>
              </w:rPr>
              <w:t xml:space="preserve">—</w:t>
            </w:r>
          </w:p>
        </w:tc>
        <w:tc>
          <w:tcPr>
            <w:tcW w:type="dxa" w:w="1106"/>
          </w:tcPr>
          <w:p>
            <w:pPr>
              <w:pStyle w:val="Compact"/>
              <w:spacing w:before="20" w:after="20" w:line="240" w:lineRule="auto"/>
              <w:jc w:val="center"/>
              <w:keepNext/>
            </w:pPr>
            <w:r>
              <w:rPr>
                <w:sz w:val="13"/>
                <w:szCs w:val="13"/>
              </w:rPr>
              <w:t xml:space="preserve">2.979 (0.747)</w:t>
            </w:r>
          </w:p>
        </w:tc>
        <w:tc>
          <w:tcPr>
            <w:tcW w:type="dxa" w:w="980"/>
          </w:tcPr>
          <w:p>
            <w:pPr>
              <w:pStyle w:val="Compact"/>
              <w:spacing w:before="20" w:after="20" w:line="240" w:lineRule="auto"/>
              <w:jc w:val="center"/>
              <w:keepNext/>
            </w:pPr>
            <w:r>
              <w:rPr>
                <w:sz w:val="13"/>
                <w:szCs w:val="13"/>
              </w:rPr>
              <w:t xml:space="preserve">1.940 (0.684)</w:t>
            </w:r>
          </w:p>
        </w:tc>
      </w:tr>
      <w:tr>
        <w:trPr>
          <w:cantSplit/>
        </w:trPr>
        <w:tc>
          <w:tcPr>
            <w:tcW w:type="dxa" w:w="1106"/>
          </w:tcPr>
          <w:p>
            <w:pPr>
              <w:pStyle w:val="Compact"/>
              <w:spacing w:before="20" w:after="20" w:line="240" w:lineRule="auto"/>
              <w:keepNext/>
            </w:pPr>
            <w:r>
              <w:rPr>
                <w:sz w:val="13"/>
                <w:szCs w:val="13"/>
              </w:rPr>
              <w:t xml:space="preserve">N</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473</w:t>
            </w:r>
          </w:p>
        </w:tc>
        <w:tc>
          <w:tcPr>
            <w:tcW w:type="dxa" w:w="980"/>
          </w:tcPr>
          <w:p>
            <w:pPr>
              <w:pStyle w:val="Compact"/>
              <w:spacing w:before="20" w:after="20" w:line="240" w:lineRule="auto"/>
              <w:jc w:val="center"/>
              <w:keepNext/>
            </w:pPr>
            <w:r>
              <w:rPr>
                <w:sz w:val="13"/>
                <w:szCs w:val="13"/>
              </w:rPr>
              <w:t xml:space="preserve">908</w:t>
            </w:r>
          </w:p>
        </w:tc>
        <w:tc>
          <w:tcPr>
            <w:tcW w:type="dxa" w:w="980"/>
          </w:tcPr>
          <w:p>
            <w:pPr>
              <w:pStyle w:val="Compact"/>
              <w:spacing w:before="20" w:after="20" w:line="240" w:lineRule="auto"/>
              <w:jc w:val="center"/>
              <w:keepNext/>
            </w:pPr>
            <w:r>
              <w:rPr>
                <w:sz w:val="13"/>
                <w:szCs w:val="13"/>
              </w:rPr>
              <w:t xml:space="preserve">860</w:t>
            </w:r>
          </w:p>
        </w:tc>
        <w:tc>
          <w:tcPr>
            <w:tcW w:type="dxa" w:w="980"/>
          </w:tcPr>
          <w:p>
            <w:pPr>
              <w:pStyle w:val="Compact"/>
              <w:spacing w:before="20" w:after="20" w:line="240" w:lineRule="auto"/>
              <w:jc w:val="center"/>
              <w:keepNext/>
            </w:pPr>
            <w:r>
              <w:rPr>
                <w:sz w:val="13"/>
                <w:szCs w:val="13"/>
              </w:rPr>
              <w:t xml:space="preserve">467</w:t>
            </w:r>
          </w:p>
        </w:tc>
        <w:tc>
          <w:tcPr>
            <w:tcW w:type="dxa" w:w="1106"/>
          </w:tcPr>
          <w:p>
            <w:pPr>
              <w:pStyle w:val="Compact"/>
              <w:spacing w:before="20" w:after="20" w:line="240" w:lineRule="auto"/>
              <w:jc w:val="center"/>
              <w:keepNext/>
            </w:pPr>
            <w:r>
              <w:rPr>
                <w:sz w:val="13"/>
                <w:szCs w:val="13"/>
              </w:rPr>
              <w:t xml:space="preserve">753</w:t>
            </w:r>
          </w:p>
        </w:tc>
        <w:tc>
          <w:tcPr>
            <w:tcW w:type="dxa" w:w="980"/>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980"/>
          </w:tcPr>
          <w:p>
            <w:pPr>
              <w:pStyle w:val="Compact"/>
              <w:spacing w:before="20" w:after="20" w:line="240" w:lineRule="auto"/>
              <w:jc w:val="center"/>
              <w:keepNext/>
            </w:pPr>
            <w:r>
              <w:rPr>
                <w:sz w:val="13"/>
                <w:szCs w:val="13"/>
              </w:rPr>
              <w:t xml:space="preserve">−774.5</w:t>
            </w:r>
          </w:p>
        </w:tc>
        <w:tc>
          <w:tcPr>
            <w:tcW w:type="dxa" w:w="980"/>
          </w:tcPr>
          <w:p>
            <w:pPr>
              <w:pStyle w:val="Compact"/>
              <w:spacing w:before="20" w:after="20" w:line="240" w:lineRule="auto"/>
              <w:jc w:val="center"/>
              <w:keepNext/>
            </w:pPr>
            <w:r>
              <w:rPr>
                <w:sz w:val="13"/>
                <w:szCs w:val="13"/>
              </w:rPr>
              <w:t xml:space="preserve">−829.4</w:t>
            </w:r>
          </w:p>
        </w:tc>
        <w:tc>
          <w:tcPr>
            <w:tcW w:type="dxa" w:w="980"/>
          </w:tcPr>
          <w:p>
            <w:pPr>
              <w:pStyle w:val="Compact"/>
              <w:spacing w:before="20" w:after="20" w:line="240" w:lineRule="auto"/>
              <w:jc w:val="center"/>
              <w:keepNext/>
            </w:pPr>
            <w:r>
              <w:rPr>
                <w:sz w:val="13"/>
                <w:szCs w:val="13"/>
              </w:rPr>
              <w:t xml:space="preserve">−425.3</w:t>
            </w:r>
          </w:p>
        </w:tc>
        <w:tc>
          <w:tcPr>
            <w:tcW w:type="dxa" w:w="980"/>
          </w:tcPr>
          <w:p>
            <w:pPr>
              <w:pStyle w:val="Compact"/>
              <w:spacing w:before="20" w:after="20" w:line="240" w:lineRule="auto"/>
              <w:jc w:val="center"/>
              <w:keepNext/>
            </w:pPr>
            <w:r>
              <w:rPr>
                <w:sz w:val="13"/>
                <w:szCs w:val="13"/>
              </w:rPr>
              <w:t xml:space="preserve">−755.9</w:t>
            </w:r>
          </w:p>
        </w:tc>
        <w:tc>
          <w:tcPr>
            <w:tcW w:type="dxa" w:w="980"/>
          </w:tcPr>
          <w:p>
            <w:pPr>
              <w:pStyle w:val="Compact"/>
              <w:spacing w:before="20" w:after="20" w:line="240" w:lineRule="auto"/>
              <w:jc w:val="center"/>
              <w:keepNext/>
            </w:pPr>
            <w:r>
              <w:rPr>
                <w:sz w:val="13"/>
                <w:szCs w:val="13"/>
              </w:rPr>
              <w:t xml:space="preserve">−682.7</w:t>
            </w:r>
          </w:p>
        </w:tc>
        <w:tc>
          <w:tcPr>
            <w:tcW w:type="dxa" w:w="980"/>
          </w:tcPr>
          <w:p>
            <w:pPr>
              <w:pStyle w:val="Compact"/>
              <w:spacing w:before="20" w:after="20" w:line="240" w:lineRule="auto"/>
              <w:jc w:val="center"/>
              <w:keepNext/>
            </w:pPr>
            <w:r>
              <w:rPr>
                <w:sz w:val="13"/>
                <w:szCs w:val="13"/>
              </w:rPr>
              <w:t xml:space="preserve">−364.0</w:t>
            </w:r>
          </w:p>
        </w:tc>
        <w:tc>
          <w:tcPr>
            <w:tcW w:type="dxa" w:w="1106"/>
          </w:tcPr>
          <w:p>
            <w:pPr>
              <w:pStyle w:val="Compact"/>
              <w:spacing w:before="20" w:after="20" w:line="240" w:lineRule="auto"/>
              <w:jc w:val="center"/>
              <w:keepNext/>
            </w:pPr>
            <w:r>
              <w:rPr>
                <w:sz w:val="13"/>
                <w:szCs w:val="13"/>
              </w:rPr>
              <w:t xml:space="preserve">−607.4</w:t>
            </w:r>
          </w:p>
        </w:tc>
        <w:tc>
          <w:tcPr>
            <w:tcW w:type="dxa" w:w="980"/>
          </w:tcPr>
          <w:p>
            <w:pPr>
              <w:pStyle w:val="Compact"/>
              <w:spacing w:before="20" w:after="20" w:line="240" w:lineRule="auto"/>
              <w:jc w:val="center"/>
              <w:keepNext/>
            </w:pPr>
            <w:r>
              <w:rPr>
                <w:sz w:val="13"/>
                <w:szCs w:val="13"/>
              </w:rPr>
              <w:t xml:space="preserve">−683.0</w:t>
            </w:r>
          </w:p>
        </w:tc>
      </w:tr>
    </w:tbl>
    <w:p>
      <w:pPr>
        <w:pStyle w:val="BodyText"/>
      </w:pPr>
      <w:r>
        <w:rPr>
          <w:b/>
          <w:bCs/>
        </w:rPr>
        <w:t xml:space="preserve">표 B2.</w:t>
      </w:r>
      <w:r>
        <w:t xml:space="preserve"> </w:t>
      </w:r>
      <w:r>
        <w:t xml:space="preserve">다항 로짓의 공정 단독형 방정식: 표본·변수별 상대위험비(기준 범주 = 조립 단독형; 출원청 기준 = 미국; 괄호 안은 로그 계수의 표준오차;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980"/>
        <w:gridCol w:w="980"/>
        <w:gridCol w:w="980"/>
        <w:gridCol w:w="980"/>
        <w:gridCol w:w="980"/>
        <w:gridCol w:w="980"/>
        <w:gridCol w:w="1106"/>
        <w:gridCol w:w="980"/>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980"/>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106"/>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980"/>
          </w:tcPr>
          <w:p>
            <w:pPr>
              <w:pStyle w:val="Compact"/>
              <w:spacing w:before="20" w:after="20" w:line="240" w:lineRule="auto"/>
              <w:jc w:val="center"/>
              <w:keepNext/>
            </w:pPr>
            <w:r>
              <w:rPr>
                <w:sz w:val="13"/>
                <w:szCs w:val="13"/>
              </w:rPr>
              <w:t xml:space="preserve">0.913*** (0.015)</w:t>
            </w:r>
          </w:p>
        </w:tc>
        <w:tc>
          <w:tcPr>
            <w:tcW w:type="dxa" w:w="980"/>
          </w:tcPr>
          <w:p>
            <w:pPr>
              <w:pStyle w:val="Compact"/>
              <w:spacing w:before="20" w:after="20" w:line="240" w:lineRule="auto"/>
              <w:jc w:val="center"/>
              <w:keepNext/>
            </w:pPr>
            <w:r>
              <w:rPr>
                <w:sz w:val="13"/>
                <w:szCs w:val="13"/>
              </w:rPr>
              <w:t xml:space="preserve">0.911*** (0.015)</w:t>
            </w:r>
          </w:p>
        </w:tc>
        <w:tc>
          <w:tcPr>
            <w:tcW w:type="dxa" w:w="980"/>
          </w:tcPr>
          <w:p>
            <w:pPr>
              <w:pStyle w:val="Compact"/>
              <w:spacing w:before="20" w:after="20" w:line="240" w:lineRule="auto"/>
              <w:jc w:val="center"/>
              <w:keepNext/>
            </w:pPr>
            <w:r>
              <w:rPr>
                <w:sz w:val="13"/>
                <w:szCs w:val="13"/>
              </w:rPr>
              <w:t xml:space="preserve">0.935*** (0.016)</w:t>
            </w:r>
          </w:p>
        </w:tc>
        <w:tc>
          <w:tcPr>
            <w:tcW w:type="dxa" w:w="980"/>
          </w:tcPr>
          <w:p>
            <w:pPr>
              <w:pStyle w:val="Compact"/>
              <w:spacing w:before="20" w:after="20" w:line="240" w:lineRule="auto"/>
              <w:jc w:val="center"/>
              <w:keepNext/>
            </w:pPr>
            <w:r>
              <w:rPr>
                <w:sz w:val="13"/>
                <w:szCs w:val="13"/>
              </w:rPr>
              <w:t xml:space="preserve">0.898*** (0.015)</w:t>
            </w:r>
          </w:p>
        </w:tc>
        <w:tc>
          <w:tcPr>
            <w:tcW w:type="dxa" w:w="980"/>
          </w:tcPr>
          <w:p>
            <w:pPr>
              <w:pStyle w:val="Compact"/>
              <w:spacing w:before="20" w:after="20" w:line="240" w:lineRule="auto"/>
              <w:jc w:val="center"/>
              <w:keepNext/>
            </w:pPr>
            <w:r>
              <w:rPr>
                <w:sz w:val="13"/>
                <w:szCs w:val="13"/>
              </w:rPr>
              <w:t xml:space="preserve">0.820*** (0.023)</w:t>
            </w:r>
          </w:p>
        </w:tc>
        <w:tc>
          <w:tcPr>
            <w:tcW w:type="dxa" w:w="980"/>
          </w:tcPr>
          <w:p>
            <w:pPr>
              <w:pStyle w:val="Compact"/>
              <w:spacing w:before="20" w:after="20" w:line="240" w:lineRule="auto"/>
              <w:jc w:val="center"/>
              <w:keepNext/>
            </w:pPr>
            <w:r>
              <w:rPr>
                <w:sz w:val="13"/>
                <w:szCs w:val="13"/>
              </w:rPr>
              <w:t xml:space="preserve">1.029 (0.057)</w:t>
            </w:r>
          </w:p>
        </w:tc>
        <w:tc>
          <w:tcPr>
            <w:tcW w:type="dxa" w:w="1106"/>
          </w:tcPr>
          <w:p>
            <w:pPr>
              <w:pStyle w:val="Compact"/>
              <w:spacing w:before="20" w:after="20" w:line="240" w:lineRule="auto"/>
              <w:jc w:val="center"/>
              <w:keepNext/>
            </w:pPr>
            <w:r>
              <w:rPr>
                <w:sz w:val="13"/>
                <w:szCs w:val="13"/>
              </w:rPr>
              <w:t xml:space="preserve">0.909*** (0.016)</w:t>
            </w:r>
          </w:p>
        </w:tc>
        <w:tc>
          <w:tcPr>
            <w:tcW w:type="dxa" w:w="980"/>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980"/>
          </w:tcPr>
          <w:p>
            <w:pPr>
              <w:pStyle w:val="Compact"/>
              <w:spacing w:before="20" w:after="20" w:line="240" w:lineRule="auto"/>
              <w:jc w:val="center"/>
              <w:keepNext/>
            </w:pPr>
            <w:r>
              <w:rPr>
                <w:sz w:val="13"/>
                <w:szCs w:val="13"/>
              </w:rPr>
              <w:t xml:space="preserve">0.905** (0.048)</w:t>
            </w:r>
          </w:p>
        </w:tc>
        <w:tc>
          <w:tcPr>
            <w:tcW w:type="dxa" w:w="980"/>
          </w:tcPr>
          <w:p>
            <w:pPr>
              <w:pStyle w:val="Compact"/>
              <w:spacing w:before="20" w:after="20" w:line="240" w:lineRule="auto"/>
              <w:jc w:val="center"/>
              <w:keepNext/>
            </w:pPr>
            <w:r>
              <w:rPr>
                <w:sz w:val="13"/>
                <w:szCs w:val="13"/>
              </w:rPr>
              <w:t xml:space="preserve">0.915** (0.044)</w:t>
            </w:r>
          </w:p>
        </w:tc>
        <w:tc>
          <w:tcPr>
            <w:tcW w:type="dxa" w:w="980"/>
          </w:tcPr>
          <w:p>
            <w:pPr>
              <w:pStyle w:val="Compact"/>
              <w:spacing w:before="20" w:after="20" w:line="240" w:lineRule="auto"/>
              <w:jc w:val="center"/>
              <w:keepNext/>
            </w:pPr>
            <w:r>
              <w:rPr>
                <w:sz w:val="13"/>
                <w:szCs w:val="13"/>
              </w:rPr>
              <w:t xml:space="preserve">0.826*** (0.061)</w:t>
            </w:r>
          </w:p>
        </w:tc>
        <w:tc>
          <w:tcPr>
            <w:tcW w:type="dxa" w:w="980"/>
          </w:tcPr>
          <w:p>
            <w:pPr>
              <w:pStyle w:val="Compact"/>
              <w:spacing w:before="20" w:after="20" w:line="240" w:lineRule="auto"/>
              <w:jc w:val="center"/>
              <w:keepNext/>
            </w:pPr>
            <w:r>
              <w:rPr>
                <w:sz w:val="13"/>
                <w:szCs w:val="13"/>
              </w:rPr>
              <w:t xml:space="preserve">0.923* (0.045)</w:t>
            </w:r>
          </w:p>
        </w:tc>
        <w:tc>
          <w:tcPr>
            <w:tcW w:type="dxa" w:w="980"/>
          </w:tcPr>
          <w:p>
            <w:pPr>
              <w:pStyle w:val="Compact"/>
              <w:spacing w:before="20" w:after="20" w:line="240" w:lineRule="auto"/>
              <w:jc w:val="center"/>
              <w:keepNext/>
            </w:pPr>
            <w:r>
              <w:rPr>
                <w:sz w:val="13"/>
                <w:szCs w:val="13"/>
              </w:rPr>
              <w:t xml:space="preserve">0.916* (0.050)</w:t>
            </w:r>
          </w:p>
        </w:tc>
        <w:tc>
          <w:tcPr>
            <w:tcW w:type="dxa" w:w="980"/>
          </w:tcPr>
          <w:p>
            <w:pPr>
              <w:pStyle w:val="Compact"/>
              <w:spacing w:before="20" w:after="20" w:line="240" w:lineRule="auto"/>
              <w:jc w:val="center"/>
              <w:keepNext/>
            </w:pPr>
            <w:r>
              <w:rPr>
                <w:sz w:val="13"/>
                <w:szCs w:val="13"/>
              </w:rPr>
              <w:t xml:space="preserve">1.129* (0.062)</w:t>
            </w:r>
          </w:p>
        </w:tc>
        <w:tc>
          <w:tcPr>
            <w:tcW w:type="dxa" w:w="1106"/>
          </w:tcPr>
          <w:p>
            <w:pPr>
              <w:pStyle w:val="Compact"/>
              <w:spacing w:before="20" w:after="20" w:line="240" w:lineRule="auto"/>
              <w:jc w:val="center"/>
              <w:keepNext/>
            </w:pPr>
            <w:r>
              <w:rPr>
                <w:sz w:val="13"/>
                <w:szCs w:val="13"/>
              </w:rPr>
              <w:t xml:space="preserve">0.908* (0.054)</w:t>
            </w:r>
          </w:p>
        </w:tc>
        <w:tc>
          <w:tcPr>
            <w:tcW w:type="dxa" w:w="980"/>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중국(CN)</w:t>
            </w:r>
          </w:p>
        </w:tc>
        <w:tc>
          <w:tcPr>
            <w:tcW w:type="dxa" w:w="980"/>
          </w:tcPr>
          <w:p>
            <w:pPr>
              <w:pStyle w:val="Compact"/>
              <w:spacing w:before="20" w:after="20" w:line="240" w:lineRule="auto"/>
              <w:jc w:val="center"/>
              <w:keepNext/>
            </w:pPr>
            <w:r>
              <w:rPr>
                <w:sz w:val="13"/>
                <w:szCs w:val="13"/>
              </w:rPr>
              <w:t xml:space="preserve">2.687*** (0.276)</w:t>
            </w:r>
          </w:p>
        </w:tc>
        <w:tc>
          <w:tcPr>
            <w:tcW w:type="dxa" w:w="980"/>
          </w:tcPr>
          <w:p>
            <w:pPr>
              <w:pStyle w:val="Compact"/>
              <w:spacing w:before="20" w:after="20" w:line="240" w:lineRule="auto"/>
              <w:jc w:val="center"/>
              <w:keepNext/>
            </w:pPr>
            <w:r>
              <w:rPr>
                <w:sz w:val="13"/>
                <w:szCs w:val="13"/>
              </w:rPr>
              <w:t xml:space="preserve">2.720*** (0.274)</w:t>
            </w:r>
          </w:p>
        </w:tc>
        <w:tc>
          <w:tcPr>
            <w:tcW w:type="dxa" w:w="980"/>
          </w:tcPr>
          <w:p>
            <w:pPr>
              <w:pStyle w:val="Compact"/>
              <w:spacing w:before="20" w:after="20" w:line="240" w:lineRule="auto"/>
              <w:jc w:val="center"/>
              <w:keepNext/>
            </w:pPr>
            <w:r>
              <w:rPr>
                <w:sz w:val="13"/>
                <w:szCs w:val="13"/>
              </w:rPr>
              <w:t xml:space="preserve">2.721*** (0.320)</w:t>
            </w:r>
          </w:p>
        </w:tc>
        <w:tc>
          <w:tcPr>
            <w:tcW w:type="dxa" w:w="980"/>
          </w:tcPr>
          <w:p>
            <w:pPr>
              <w:pStyle w:val="Compact"/>
              <w:spacing w:before="20" w:after="20" w:line="240" w:lineRule="auto"/>
              <w:jc w:val="center"/>
              <w:keepNext/>
            </w:pPr>
            <w:r>
              <w:rPr>
                <w:sz w:val="13"/>
                <w:szCs w:val="13"/>
              </w:rPr>
              <w:t xml:space="preserve">3.299*** (0.285)</w:t>
            </w:r>
          </w:p>
        </w:tc>
        <w:tc>
          <w:tcPr>
            <w:tcW w:type="dxa" w:w="980"/>
          </w:tcPr>
          <w:p>
            <w:pPr>
              <w:pStyle w:val="Compact"/>
              <w:spacing w:before="20" w:after="20" w:line="240" w:lineRule="auto"/>
              <w:jc w:val="center"/>
              <w:keepNext/>
            </w:pPr>
            <w:r>
              <w:rPr>
                <w:sz w:val="13"/>
                <w:szCs w:val="13"/>
              </w:rPr>
              <w:t xml:space="preserve">3.235*** (0.303)</w:t>
            </w:r>
          </w:p>
        </w:tc>
        <w:tc>
          <w:tcPr>
            <w:tcW w:type="dxa" w:w="980"/>
          </w:tcPr>
          <w:p>
            <w:pPr>
              <w:pStyle w:val="Compact"/>
              <w:spacing w:before="20" w:after="20" w:line="240" w:lineRule="auto"/>
              <w:jc w:val="center"/>
              <w:keepNext/>
            </w:pPr>
            <w:r>
              <w:rPr>
                <w:sz w:val="13"/>
                <w:szCs w:val="13"/>
              </w:rPr>
              <w:t xml:space="preserve">7.211*** (0.407)</w:t>
            </w:r>
          </w:p>
        </w:tc>
        <w:tc>
          <w:tcPr>
            <w:tcW w:type="dxa" w:w="1106"/>
          </w:tcPr>
          <w:p>
            <w:pPr>
              <w:pStyle w:val="Compact"/>
              <w:spacing w:before="20" w:after="20" w:line="240" w:lineRule="auto"/>
              <w:jc w:val="center"/>
              <w:keepNext/>
            </w:pPr>
            <w:r>
              <w:rPr>
                <w:sz w:val="13"/>
                <w:szCs w:val="13"/>
              </w:rPr>
              <w:t xml:space="preserve">1.651 (0.319)</w:t>
            </w:r>
          </w:p>
        </w:tc>
        <w:tc>
          <w:tcPr>
            <w:tcW w:type="dxa" w:w="980"/>
          </w:tcPr>
          <w:p>
            <w:pPr>
              <w:pStyle w:val="Compact"/>
              <w:spacing w:before="20" w:after="20" w:line="240" w:lineRule="auto"/>
              <w:jc w:val="center"/>
              <w:keepNext/>
            </w:pPr>
            <w:r>
              <w:rPr>
                <w:sz w:val="13"/>
                <w:szCs w:val="13"/>
              </w:rPr>
              <w:t xml:space="preserve">2.701*** (0.290)</w:t>
            </w:r>
          </w:p>
        </w:tc>
      </w:tr>
      <w:tr>
        <w:trPr>
          <w:cantSplit/>
        </w:trPr>
        <w:tc>
          <w:tcPr>
            <w:tcW w:type="dxa" w:w="1106"/>
          </w:tcPr>
          <w:p>
            <w:pPr>
              <w:pStyle w:val="Compact"/>
              <w:spacing w:before="20" w:after="20" w:line="240" w:lineRule="auto"/>
              <w:keepNext/>
            </w:pPr>
            <w:r>
              <w:rPr>
                <w:sz w:val="13"/>
                <w:szCs w:val="13"/>
              </w:rPr>
              <w:t xml:space="preserve">한국(KR)</w:t>
            </w:r>
          </w:p>
        </w:tc>
        <w:tc>
          <w:tcPr>
            <w:tcW w:type="dxa" w:w="980"/>
          </w:tcPr>
          <w:p>
            <w:pPr>
              <w:pStyle w:val="Compact"/>
              <w:spacing w:before="20" w:after="20" w:line="240" w:lineRule="auto"/>
              <w:jc w:val="center"/>
              <w:keepNext/>
            </w:pPr>
            <w:r>
              <w:rPr>
                <w:sz w:val="13"/>
                <w:szCs w:val="13"/>
              </w:rPr>
              <w:t xml:space="preserve">1.906 (0.419)</w:t>
            </w:r>
          </w:p>
        </w:tc>
        <w:tc>
          <w:tcPr>
            <w:tcW w:type="dxa" w:w="980"/>
          </w:tcPr>
          <w:p>
            <w:pPr>
              <w:pStyle w:val="Compact"/>
              <w:spacing w:before="20" w:after="20" w:line="240" w:lineRule="auto"/>
              <w:jc w:val="center"/>
              <w:keepNext/>
            </w:pPr>
            <w:r>
              <w:rPr>
                <w:sz w:val="13"/>
                <w:szCs w:val="13"/>
              </w:rPr>
              <w:t xml:space="preserve">1.913 (0.419)</w:t>
            </w:r>
          </w:p>
        </w:tc>
        <w:tc>
          <w:tcPr>
            <w:tcW w:type="dxa" w:w="980"/>
          </w:tcPr>
          <w:p>
            <w:pPr>
              <w:pStyle w:val="Compact"/>
              <w:spacing w:before="20" w:after="20" w:line="240" w:lineRule="auto"/>
              <w:jc w:val="center"/>
              <w:keepNext/>
            </w:pPr>
            <w:r>
              <w:rPr>
                <w:sz w:val="13"/>
                <w:szCs w:val="13"/>
              </w:rPr>
              <w:t xml:space="preserve">1.807 (0.499)</w:t>
            </w:r>
          </w:p>
        </w:tc>
        <w:tc>
          <w:tcPr>
            <w:tcW w:type="dxa" w:w="980"/>
          </w:tcPr>
          <w:p>
            <w:pPr>
              <w:pStyle w:val="Compact"/>
              <w:spacing w:before="20" w:after="20" w:line="240" w:lineRule="auto"/>
              <w:jc w:val="center"/>
              <w:keepNext/>
            </w:pPr>
            <w:r>
              <w:rPr>
                <w:sz w:val="13"/>
                <w:szCs w:val="13"/>
              </w:rPr>
              <w:t xml:space="preserve">2.636** (0.422)</w:t>
            </w:r>
          </w:p>
        </w:tc>
        <w:tc>
          <w:tcPr>
            <w:tcW w:type="dxa" w:w="980"/>
          </w:tcPr>
          <w:p>
            <w:pPr>
              <w:pStyle w:val="Compact"/>
              <w:spacing w:before="20" w:after="20" w:line="240" w:lineRule="auto"/>
              <w:jc w:val="center"/>
              <w:keepNext/>
            </w:pPr>
            <w:r>
              <w:rPr>
                <w:sz w:val="13"/>
                <w:szCs w:val="13"/>
              </w:rPr>
              <w:t xml:space="preserve">1.175 (0.510)</w:t>
            </w:r>
          </w:p>
        </w:tc>
        <w:tc>
          <w:tcPr>
            <w:tcW w:type="dxa" w:w="980"/>
          </w:tcPr>
          <w:p>
            <w:pPr>
              <w:pStyle w:val="Compact"/>
              <w:spacing w:before="20" w:after="20" w:line="240" w:lineRule="auto"/>
              <w:jc w:val="center"/>
              <w:keepNext/>
            </w:pPr>
            <w:r>
              <w:rPr>
                <w:sz w:val="13"/>
                <w:szCs w:val="13"/>
              </w:rPr>
              <w:t xml:space="preserve">1.901 (0.863)</w:t>
            </w:r>
          </w:p>
        </w:tc>
        <w:tc>
          <w:tcPr>
            <w:tcW w:type="dxa" w:w="1106"/>
          </w:tcPr>
          <w:p>
            <w:pPr>
              <w:pStyle w:val="Compact"/>
              <w:spacing w:before="20" w:after="20" w:line="240" w:lineRule="auto"/>
              <w:jc w:val="center"/>
              <w:keepNext/>
            </w:pPr>
            <w:r>
              <w:rPr>
                <w:sz w:val="13"/>
                <w:szCs w:val="13"/>
              </w:rPr>
              <w:t xml:space="preserve">1.808 (0.430)</w:t>
            </w:r>
          </w:p>
        </w:tc>
        <w:tc>
          <w:tcPr>
            <w:tcW w:type="dxa" w:w="980"/>
          </w:tcPr>
          <w:p>
            <w:pPr>
              <w:pStyle w:val="Compact"/>
              <w:spacing w:before="20" w:after="20" w:line="240" w:lineRule="auto"/>
              <w:jc w:val="center"/>
              <w:keepNext/>
            </w:pPr>
            <w:r>
              <w:rPr>
                <w:sz w:val="13"/>
                <w:szCs w:val="13"/>
              </w:rPr>
              <w:t xml:space="preserve">1.131 (0.560)</w:t>
            </w:r>
          </w:p>
        </w:tc>
      </w:tr>
      <w:tr>
        <w:trPr>
          <w:cantSplit/>
        </w:trPr>
        <w:tc>
          <w:tcPr>
            <w:tcW w:type="dxa" w:w="1106"/>
          </w:tcPr>
          <w:p>
            <w:pPr>
              <w:pStyle w:val="Compact"/>
              <w:spacing w:before="20" w:after="20" w:line="240" w:lineRule="auto"/>
              <w:keepNext/>
            </w:pPr>
            <w:r>
              <w:rPr>
                <w:sz w:val="13"/>
                <w:szCs w:val="13"/>
              </w:rPr>
              <w:t xml:space="preserve">대만(TW)</w:t>
            </w:r>
          </w:p>
        </w:tc>
        <w:tc>
          <w:tcPr>
            <w:tcW w:type="dxa" w:w="980"/>
          </w:tcPr>
          <w:p>
            <w:pPr>
              <w:pStyle w:val="Compact"/>
              <w:spacing w:before="20" w:after="20" w:line="240" w:lineRule="auto"/>
              <w:jc w:val="center"/>
              <w:keepNext/>
            </w:pPr>
            <w:r>
              <w:rPr>
                <w:sz w:val="13"/>
                <w:szCs w:val="13"/>
              </w:rPr>
              <w:t xml:space="preserve">2.102* (0.407)</w:t>
            </w:r>
          </w:p>
        </w:tc>
        <w:tc>
          <w:tcPr>
            <w:tcW w:type="dxa" w:w="980"/>
          </w:tcPr>
          <w:p>
            <w:pPr>
              <w:pStyle w:val="Compact"/>
              <w:spacing w:before="20" w:after="20" w:line="240" w:lineRule="auto"/>
              <w:jc w:val="center"/>
              <w:keepNext/>
            </w:pPr>
            <w:r>
              <w:rPr>
                <w:sz w:val="13"/>
                <w:szCs w:val="13"/>
              </w:rPr>
              <w:t xml:space="preserve">2.131* (0.406)</w:t>
            </w:r>
          </w:p>
        </w:tc>
        <w:tc>
          <w:tcPr>
            <w:tcW w:type="dxa" w:w="980"/>
          </w:tcPr>
          <w:p>
            <w:pPr>
              <w:pStyle w:val="Compact"/>
              <w:spacing w:before="20" w:after="20" w:line="240" w:lineRule="auto"/>
              <w:jc w:val="center"/>
              <w:keepNext/>
            </w:pPr>
            <w:r>
              <w:rPr>
                <w:sz w:val="13"/>
                <w:szCs w:val="13"/>
              </w:rPr>
              <w:t xml:space="preserve">3.485** (0.636)</w:t>
            </w:r>
          </w:p>
        </w:tc>
        <w:tc>
          <w:tcPr>
            <w:tcW w:type="dxa" w:w="980"/>
          </w:tcPr>
          <w:p>
            <w:pPr>
              <w:pStyle w:val="Compact"/>
              <w:spacing w:before="20" w:after="20" w:line="240" w:lineRule="auto"/>
              <w:jc w:val="center"/>
              <w:keepNext/>
            </w:pPr>
            <w:r>
              <w:rPr>
                <w:sz w:val="13"/>
                <w:szCs w:val="13"/>
              </w:rPr>
              <w:t xml:space="preserve">2.683** (0.416)</w:t>
            </w:r>
          </w:p>
        </w:tc>
        <w:tc>
          <w:tcPr>
            <w:tcW w:type="dxa" w:w="980"/>
          </w:tcPr>
          <w:p>
            <w:pPr>
              <w:pStyle w:val="Compact"/>
              <w:spacing w:before="20" w:after="20" w:line="240" w:lineRule="auto"/>
              <w:jc w:val="center"/>
              <w:keepNext/>
            </w:pPr>
            <w:r>
              <w:rPr>
                <w:sz w:val="13"/>
                <w:szCs w:val="13"/>
              </w:rPr>
              <w:t xml:space="preserve">2.294* (0.445)</w:t>
            </w:r>
          </w:p>
        </w:tc>
        <w:tc>
          <w:tcPr>
            <w:tcW w:type="dxa" w:w="980"/>
          </w:tcPr>
          <w:p>
            <w:pPr>
              <w:pStyle w:val="Compact"/>
              <w:spacing w:before="20" w:after="20" w:line="240" w:lineRule="auto"/>
              <w:jc w:val="center"/>
              <w:keepNext/>
            </w:pPr>
            <w:r>
              <w:rPr>
                <w:sz w:val="13"/>
                <w:szCs w:val="13"/>
              </w:rPr>
              <w:t xml:space="preserve">4.229** (0.567)</w:t>
            </w:r>
          </w:p>
        </w:tc>
        <w:tc>
          <w:tcPr>
            <w:tcW w:type="dxa" w:w="1106"/>
          </w:tcPr>
          <w:p>
            <w:pPr>
              <w:pStyle w:val="Compact"/>
              <w:spacing w:before="20" w:after="20" w:line="240" w:lineRule="auto"/>
              <w:jc w:val="center"/>
              <w:keepNext/>
            </w:pPr>
            <w:r>
              <w:rPr>
                <w:sz w:val="13"/>
                <w:szCs w:val="13"/>
              </w:rPr>
              <w:t xml:space="preserve">1.876 (0.492)</w:t>
            </w:r>
          </w:p>
        </w:tc>
        <w:tc>
          <w:tcPr>
            <w:tcW w:type="dxa" w:w="980"/>
          </w:tcPr>
          <w:p>
            <w:pPr>
              <w:pStyle w:val="Compact"/>
              <w:spacing w:before="20" w:after="20" w:line="240" w:lineRule="auto"/>
              <w:jc w:val="center"/>
              <w:keepNext/>
            </w:pPr>
            <w:r>
              <w:rPr>
                <w:sz w:val="13"/>
                <w:szCs w:val="13"/>
              </w:rPr>
              <w:t xml:space="preserve">2.088* (0.434)</w:t>
            </w:r>
          </w:p>
        </w:tc>
      </w:tr>
      <w:tr>
        <w:trPr>
          <w:cantSplit/>
        </w:trPr>
        <w:tc>
          <w:tcPr>
            <w:tcW w:type="dxa" w:w="1106"/>
          </w:tcPr>
          <w:p>
            <w:pPr>
              <w:pStyle w:val="Compact"/>
              <w:spacing w:before="20" w:after="20" w:line="240" w:lineRule="auto"/>
              <w:keepNext/>
            </w:pPr>
            <w:r>
              <w:rPr>
                <w:sz w:val="13"/>
                <w:szCs w:val="13"/>
              </w:rPr>
              <w:t xml:space="preserve">일본(JP)</w:t>
            </w:r>
          </w:p>
        </w:tc>
        <w:tc>
          <w:tcPr>
            <w:tcW w:type="dxa" w:w="980"/>
          </w:tcPr>
          <w:p>
            <w:pPr>
              <w:pStyle w:val="Compact"/>
              <w:spacing w:before="20" w:after="20" w:line="240" w:lineRule="auto"/>
              <w:jc w:val="center"/>
              <w:keepNext/>
            </w:pPr>
            <w:r>
              <w:rPr>
                <w:sz w:val="13"/>
                <w:szCs w:val="13"/>
              </w:rPr>
              <w:t xml:space="preserve">0.086*** (0.816)</w:t>
            </w:r>
          </w:p>
        </w:tc>
        <w:tc>
          <w:tcPr>
            <w:tcW w:type="dxa" w:w="980"/>
          </w:tcPr>
          <w:p>
            <w:pPr>
              <w:pStyle w:val="Compact"/>
              <w:spacing w:before="20" w:after="20" w:line="240" w:lineRule="auto"/>
              <w:jc w:val="center"/>
              <w:keepNext/>
            </w:pPr>
            <w:r>
              <w:rPr>
                <w:sz w:val="13"/>
                <w:szCs w:val="13"/>
              </w:rPr>
              <w:t xml:space="preserve">0.087*** (0.817)</w:t>
            </w:r>
          </w:p>
        </w:tc>
        <w:tc>
          <w:tcPr>
            <w:tcW w:type="dxa" w:w="980"/>
          </w:tcPr>
          <w:p>
            <w:pPr>
              <w:pStyle w:val="Compact"/>
              <w:spacing w:before="20" w:after="20" w:line="240" w:lineRule="auto"/>
              <w:jc w:val="center"/>
              <w:keepNext/>
            </w:pPr>
            <w:r>
              <w:rPr>
                <w:sz w:val="13"/>
                <w:szCs w:val="13"/>
              </w:rPr>
              <w:t xml:space="preserve">0.061** (1.222)</w:t>
            </w:r>
          </w:p>
        </w:tc>
        <w:tc>
          <w:tcPr>
            <w:tcW w:type="dxa" w:w="980"/>
          </w:tcPr>
          <w:p>
            <w:pPr>
              <w:pStyle w:val="Compact"/>
              <w:spacing w:before="20" w:after="20" w:line="240" w:lineRule="auto"/>
              <w:jc w:val="center"/>
              <w:keepNext/>
            </w:pPr>
            <w:r>
              <w:rPr>
                <w:sz w:val="13"/>
                <w:szCs w:val="13"/>
              </w:rPr>
              <w:t xml:space="preserve">0.103*** (0.833)</w:t>
            </w:r>
          </w:p>
        </w:tc>
        <w:tc>
          <w:tcPr>
            <w:tcW w:type="dxa" w:w="980"/>
          </w:tcPr>
          <w:p>
            <w:pPr>
              <w:pStyle w:val="Compact"/>
              <w:spacing w:before="20" w:after="20" w:line="240" w:lineRule="auto"/>
              <w:jc w:val="center"/>
              <w:keepNext/>
            </w:pPr>
            <w:r>
              <w:rPr>
                <w:sz w:val="13"/>
                <w:szCs w:val="13"/>
              </w:rPr>
              <w:t xml:space="preserve">0.015*** (1.466)</w:t>
            </w:r>
          </w:p>
        </w:tc>
        <w:tc>
          <w:tcPr>
            <w:tcW w:type="dxa" w:w="980"/>
          </w:tcPr>
          <w:p>
            <w:pPr>
              <w:pStyle w:val="Compact"/>
              <w:spacing w:before="20" w:after="20" w:line="240" w:lineRule="auto"/>
              <w:jc w:val="center"/>
              <w:keepNext/>
            </w:pPr>
            <w:r>
              <w:rPr>
                <w:sz w:val="13"/>
                <w:szCs w:val="13"/>
              </w:rPr>
              <w:t xml:space="preserve">—</w:t>
            </w:r>
          </w:p>
        </w:tc>
        <w:tc>
          <w:tcPr>
            <w:tcW w:type="dxa" w:w="1106"/>
          </w:tcPr>
          <w:p>
            <w:pPr>
              <w:pStyle w:val="Compact"/>
              <w:spacing w:before="20" w:after="20" w:line="240" w:lineRule="auto"/>
              <w:jc w:val="center"/>
              <w:keepNext/>
            </w:pPr>
            <w:r>
              <w:rPr>
                <w:sz w:val="13"/>
                <w:szCs w:val="13"/>
              </w:rPr>
              <w:t xml:space="preserve">0.061*** (0.836)</w:t>
            </w:r>
          </w:p>
        </w:tc>
        <w:tc>
          <w:tcPr>
            <w:tcW w:type="dxa" w:w="980"/>
          </w:tcPr>
          <w:p>
            <w:pPr>
              <w:pStyle w:val="Compact"/>
              <w:spacing w:before="20" w:after="20" w:line="240" w:lineRule="auto"/>
              <w:jc w:val="center"/>
              <w:keepNext/>
            </w:pPr>
            <w:r>
              <w:rPr>
                <w:sz w:val="13"/>
                <w:szCs w:val="13"/>
              </w:rPr>
              <w:t xml:space="preserve">3.240 (1.456)</w:t>
            </w:r>
          </w:p>
        </w:tc>
      </w:tr>
      <w:tr>
        <w:trPr>
          <w:cantSplit/>
        </w:trPr>
        <w:tc>
          <w:tcPr>
            <w:tcW w:type="dxa" w:w="1106"/>
          </w:tcPr>
          <w:p>
            <w:pPr>
              <w:pStyle w:val="Compact"/>
              <w:spacing w:before="20" w:after="20" w:line="240" w:lineRule="auto"/>
              <w:keepNext/>
            </w:pPr>
            <w:r>
              <w:rPr>
                <w:sz w:val="13"/>
                <w:szCs w:val="13"/>
              </w:rPr>
              <w:t xml:space="preserve">EPO(EP)</w:t>
            </w:r>
          </w:p>
        </w:tc>
        <w:tc>
          <w:tcPr>
            <w:tcW w:type="dxa" w:w="980"/>
          </w:tcPr>
          <w:p>
            <w:pPr>
              <w:pStyle w:val="Compact"/>
              <w:spacing w:before="20" w:after="20" w:line="240" w:lineRule="auto"/>
              <w:jc w:val="center"/>
              <w:keepNext/>
            </w:pPr>
            <w:r>
              <w:rPr>
                <w:sz w:val="13"/>
                <w:szCs w:val="13"/>
              </w:rPr>
              <w:t xml:space="preserve">0.858 (0.438)</w:t>
            </w:r>
          </w:p>
        </w:tc>
        <w:tc>
          <w:tcPr>
            <w:tcW w:type="dxa" w:w="980"/>
          </w:tcPr>
          <w:p>
            <w:pPr>
              <w:pStyle w:val="Compact"/>
              <w:spacing w:before="20" w:after="20" w:line="240" w:lineRule="auto"/>
              <w:jc w:val="center"/>
              <w:keepNext/>
            </w:pPr>
            <w:r>
              <w:rPr>
                <w:sz w:val="13"/>
                <w:szCs w:val="13"/>
              </w:rPr>
              <w:t xml:space="preserve">0.868 (0.435)</w:t>
            </w:r>
          </w:p>
        </w:tc>
        <w:tc>
          <w:tcPr>
            <w:tcW w:type="dxa" w:w="980"/>
          </w:tcPr>
          <w:p>
            <w:pPr>
              <w:pStyle w:val="Compact"/>
              <w:spacing w:before="20" w:after="20" w:line="240" w:lineRule="auto"/>
              <w:jc w:val="center"/>
              <w:keepNext/>
            </w:pPr>
            <w:r>
              <w:rPr>
                <w:sz w:val="13"/>
                <w:szCs w:val="13"/>
              </w:rPr>
              <w:t xml:space="preserve">0.699 (0.764)</w:t>
            </w:r>
          </w:p>
        </w:tc>
        <w:tc>
          <w:tcPr>
            <w:tcW w:type="dxa" w:w="980"/>
          </w:tcPr>
          <w:p>
            <w:pPr>
              <w:pStyle w:val="Compact"/>
              <w:spacing w:before="20" w:after="20" w:line="240" w:lineRule="auto"/>
              <w:jc w:val="center"/>
              <w:keepNext/>
            </w:pPr>
            <w:r>
              <w:rPr>
                <w:sz w:val="13"/>
                <w:szCs w:val="13"/>
              </w:rPr>
              <w:t xml:space="preserve">0.956 (0.443)</w:t>
            </w:r>
          </w:p>
        </w:tc>
        <w:tc>
          <w:tcPr>
            <w:tcW w:type="dxa" w:w="980"/>
          </w:tcPr>
          <w:p>
            <w:pPr>
              <w:pStyle w:val="Compact"/>
              <w:spacing w:before="20" w:after="20" w:line="240" w:lineRule="auto"/>
              <w:jc w:val="center"/>
              <w:keepNext/>
            </w:pPr>
            <w:r>
              <w:rPr>
                <w:sz w:val="13"/>
                <w:szCs w:val="13"/>
              </w:rPr>
              <w:t xml:space="preserve">1.089 (0.494)</w:t>
            </w:r>
          </w:p>
        </w:tc>
        <w:tc>
          <w:tcPr>
            <w:tcW w:type="dxa" w:w="980"/>
          </w:tcPr>
          <w:p>
            <w:pPr>
              <w:pStyle w:val="Compact"/>
              <w:spacing w:before="20" w:after="20" w:line="240" w:lineRule="auto"/>
              <w:jc w:val="center"/>
              <w:keepNext/>
            </w:pPr>
            <w:r>
              <w:rPr>
                <w:sz w:val="13"/>
                <w:szCs w:val="13"/>
              </w:rPr>
              <w:t xml:space="preserve">—</w:t>
            </w:r>
          </w:p>
        </w:tc>
        <w:tc>
          <w:tcPr>
            <w:tcW w:type="dxa" w:w="1106"/>
          </w:tcPr>
          <w:p>
            <w:pPr>
              <w:pStyle w:val="Compact"/>
              <w:spacing w:before="20" w:after="20" w:line="240" w:lineRule="auto"/>
              <w:jc w:val="center"/>
              <w:keepNext/>
            </w:pPr>
            <w:r>
              <w:rPr>
                <w:sz w:val="13"/>
                <w:szCs w:val="13"/>
              </w:rPr>
              <w:t xml:space="preserve">0.804 (0.449)</w:t>
            </w:r>
          </w:p>
        </w:tc>
        <w:tc>
          <w:tcPr>
            <w:tcW w:type="dxa" w:w="980"/>
          </w:tcPr>
          <w:p>
            <w:pPr>
              <w:pStyle w:val="Compact"/>
              <w:spacing w:before="20" w:after="20" w:line="240" w:lineRule="auto"/>
              <w:jc w:val="center"/>
              <w:keepNext/>
            </w:pPr>
            <w:r>
              <w:rPr>
                <w:sz w:val="13"/>
                <w:szCs w:val="13"/>
              </w:rPr>
              <w:t xml:space="preserve">0.709 (0.578)</w:t>
            </w:r>
          </w:p>
        </w:tc>
      </w:tr>
      <w:tr>
        <w:trPr>
          <w:cantSplit/>
        </w:trPr>
        <w:tc>
          <w:tcPr>
            <w:tcW w:type="dxa" w:w="1106"/>
          </w:tcPr>
          <w:p>
            <w:pPr>
              <w:pStyle w:val="Compact"/>
              <w:spacing w:before="20" w:after="20" w:line="240" w:lineRule="auto"/>
              <w:keepNext/>
            </w:pPr>
            <w:r>
              <w:rPr>
                <w:sz w:val="13"/>
                <w:szCs w:val="13"/>
              </w:rPr>
              <w:t xml:space="preserve">PCT(WO)</w:t>
            </w:r>
          </w:p>
        </w:tc>
        <w:tc>
          <w:tcPr>
            <w:tcW w:type="dxa" w:w="980"/>
          </w:tcPr>
          <w:p>
            <w:pPr>
              <w:pStyle w:val="Compact"/>
              <w:spacing w:before="20" w:after="20" w:line="240" w:lineRule="auto"/>
              <w:jc w:val="center"/>
              <w:keepNext/>
            </w:pPr>
            <w:r>
              <w:rPr>
                <w:sz w:val="13"/>
                <w:szCs w:val="13"/>
              </w:rPr>
              <w:t xml:space="preserve">1.997** (0.323)</w:t>
            </w:r>
          </w:p>
        </w:tc>
        <w:tc>
          <w:tcPr>
            <w:tcW w:type="dxa" w:w="980"/>
          </w:tcPr>
          <w:p>
            <w:pPr>
              <w:pStyle w:val="Compact"/>
              <w:spacing w:before="20" w:after="20" w:line="240" w:lineRule="auto"/>
              <w:jc w:val="center"/>
              <w:keepNext/>
            </w:pPr>
            <w:r>
              <w:rPr>
                <w:sz w:val="13"/>
                <w:szCs w:val="13"/>
              </w:rPr>
              <w:t xml:space="preserve">2.016** (0.322)</w:t>
            </w:r>
          </w:p>
        </w:tc>
        <w:tc>
          <w:tcPr>
            <w:tcW w:type="dxa" w:w="980"/>
          </w:tcPr>
          <w:p>
            <w:pPr>
              <w:pStyle w:val="Compact"/>
              <w:spacing w:before="20" w:after="20" w:line="240" w:lineRule="auto"/>
              <w:jc w:val="center"/>
              <w:keepNext/>
            </w:pPr>
            <w:r>
              <w:rPr>
                <w:sz w:val="13"/>
                <w:szCs w:val="13"/>
              </w:rPr>
              <w:t xml:space="preserve">1.636 (0.496)</w:t>
            </w:r>
          </w:p>
        </w:tc>
        <w:tc>
          <w:tcPr>
            <w:tcW w:type="dxa" w:w="980"/>
          </w:tcPr>
          <w:p>
            <w:pPr>
              <w:pStyle w:val="Compact"/>
              <w:spacing w:before="20" w:after="20" w:line="240" w:lineRule="auto"/>
              <w:jc w:val="center"/>
              <w:keepNext/>
            </w:pPr>
            <w:r>
              <w:rPr>
                <w:sz w:val="13"/>
                <w:szCs w:val="13"/>
              </w:rPr>
              <w:t xml:space="preserve">2.170** (0.339)</w:t>
            </w:r>
          </w:p>
        </w:tc>
        <w:tc>
          <w:tcPr>
            <w:tcW w:type="dxa" w:w="980"/>
          </w:tcPr>
          <w:p>
            <w:pPr>
              <w:pStyle w:val="Compact"/>
              <w:spacing w:before="20" w:after="20" w:line="240" w:lineRule="auto"/>
              <w:jc w:val="center"/>
              <w:keepNext/>
            </w:pPr>
            <w:r>
              <w:rPr>
                <w:sz w:val="13"/>
                <w:szCs w:val="13"/>
              </w:rPr>
              <w:t xml:space="preserve">2.046* (0.366)</w:t>
            </w:r>
          </w:p>
        </w:tc>
        <w:tc>
          <w:tcPr>
            <w:tcW w:type="dxa" w:w="980"/>
          </w:tcPr>
          <w:p>
            <w:pPr>
              <w:pStyle w:val="Compact"/>
              <w:spacing w:before="20" w:after="20" w:line="240" w:lineRule="auto"/>
              <w:jc w:val="center"/>
              <w:keepNext/>
            </w:pPr>
            <w:r>
              <w:rPr>
                <w:sz w:val="13"/>
                <w:szCs w:val="13"/>
              </w:rPr>
              <w:t xml:space="preserve">1.957 (0.530)</w:t>
            </w:r>
          </w:p>
        </w:tc>
        <w:tc>
          <w:tcPr>
            <w:tcW w:type="dxa" w:w="1106"/>
          </w:tcPr>
          <w:p>
            <w:pPr>
              <w:pStyle w:val="Compact"/>
              <w:spacing w:before="20" w:after="20" w:line="240" w:lineRule="auto"/>
              <w:jc w:val="center"/>
              <w:keepNext/>
            </w:pPr>
            <w:r>
              <w:rPr>
                <w:sz w:val="13"/>
                <w:szCs w:val="13"/>
              </w:rPr>
              <w:t xml:space="preserve">2.167** (0.385)</w:t>
            </w:r>
          </w:p>
        </w:tc>
        <w:tc>
          <w:tcPr>
            <w:tcW w:type="dxa" w:w="980"/>
          </w:tcPr>
          <w:p>
            <w:pPr>
              <w:pStyle w:val="Compact"/>
              <w:spacing w:before="20" w:after="20" w:line="240" w:lineRule="auto"/>
              <w:jc w:val="center"/>
              <w:keepNext/>
            </w:pPr>
            <w:r>
              <w:rPr>
                <w:sz w:val="13"/>
                <w:szCs w:val="13"/>
              </w:rPr>
              <w:t xml:space="preserve">1.694 (0.364)</w:t>
            </w:r>
          </w:p>
        </w:tc>
      </w:tr>
      <w:tr>
        <w:trPr>
          <w:cantSplit/>
        </w:trPr>
        <w:tc>
          <w:tcPr>
            <w:tcW w:type="dxa" w:w="1106"/>
          </w:tcPr>
          <w:p>
            <w:pPr>
              <w:pStyle w:val="Compact"/>
              <w:spacing w:before="20" w:after="20" w:line="240" w:lineRule="auto"/>
              <w:keepNext/>
            </w:pPr>
            <w:r>
              <w:rPr>
                <w:sz w:val="13"/>
                <w:szCs w:val="13"/>
              </w:rPr>
              <w:t xml:space="preserve">기타</w:t>
            </w:r>
          </w:p>
        </w:tc>
        <w:tc>
          <w:tcPr>
            <w:tcW w:type="dxa" w:w="980"/>
          </w:tcPr>
          <w:p>
            <w:pPr>
              <w:pStyle w:val="Compact"/>
              <w:spacing w:before="20" w:after="20" w:line="240" w:lineRule="auto"/>
              <w:jc w:val="center"/>
              <w:keepNext/>
            </w:pPr>
            <w:r>
              <w:rPr>
                <w:sz w:val="13"/>
                <w:szCs w:val="13"/>
              </w:rPr>
              <w:t xml:space="preserve">1.901 (0.779)</w:t>
            </w:r>
          </w:p>
        </w:tc>
        <w:tc>
          <w:tcPr>
            <w:tcW w:type="dxa" w:w="980"/>
          </w:tcPr>
          <w:p>
            <w:pPr>
              <w:pStyle w:val="Compact"/>
              <w:spacing w:before="20" w:after="20" w:line="240" w:lineRule="auto"/>
              <w:jc w:val="center"/>
              <w:keepNext/>
            </w:pPr>
            <w:r>
              <w:rPr>
                <w:sz w:val="13"/>
                <w:szCs w:val="13"/>
              </w:rPr>
              <w:t xml:space="preserve">1.923 (0.775)</w:t>
            </w:r>
          </w:p>
        </w:tc>
        <w:tc>
          <w:tcPr>
            <w:tcW w:type="dxa" w:w="980"/>
          </w:tcPr>
          <w:p>
            <w:pPr>
              <w:pStyle w:val="Compact"/>
              <w:spacing w:before="20" w:after="20" w:line="240" w:lineRule="auto"/>
              <w:jc w:val="center"/>
              <w:keepNext/>
            </w:pPr>
            <w:r>
              <w:rPr>
                <w:sz w:val="13"/>
                <w:szCs w:val="13"/>
              </w:rPr>
              <w:t xml:space="preserve">1.847 (1.010)</w:t>
            </w:r>
          </w:p>
        </w:tc>
        <w:tc>
          <w:tcPr>
            <w:tcW w:type="dxa" w:w="980"/>
          </w:tcPr>
          <w:p>
            <w:pPr>
              <w:pStyle w:val="Compact"/>
              <w:spacing w:before="20" w:after="20" w:line="240" w:lineRule="auto"/>
              <w:jc w:val="center"/>
              <w:keepNext/>
            </w:pPr>
            <w:r>
              <w:rPr>
                <w:sz w:val="13"/>
                <w:szCs w:val="13"/>
              </w:rPr>
              <w:t xml:space="preserve">2.385 (0.758)</w:t>
            </w:r>
          </w:p>
        </w:tc>
        <w:tc>
          <w:tcPr>
            <w:tcW w:type="dxa" w:w="980"/>
          </w:tcPr>
          <w:p>
            <w:pPr>
              <w:pStyle w:val="Compact"/>
              <w:spacing w:before="20" w:after="20" w:line="240" w:lineRule="auto"/>
              <w:jc w:val="center"/>
              <w:keepNext/>
            </w:pPr>
            <w:r>
              <w:rPr>
                <w:sz w:val="13"/>
                <w:szCs w:val="13"/>
              </w:rPr>
              <w:t xml:space="preserve">0.996 (0.914)</w:t>
            </w:r>
          </w:p>
        </w:tc>
        <w:tc>
          <w:tcPr>
            <w:tcW w:type="dxa" w:w="980"/>
          </w:tcPr>
          <w:p>
            <w:pPr>
              <w:pStyle w:val="Compact"/>
              <w:spacing w:before="20" w:after="20" w:line="240" w:lineRule="auto"/>
              <w:jc w:val="center"/>
              <w:keepNext/>
            </w:pPr>
            <w:r>
              <w:rPr>
                <w:sz w:val="13"/>
                <w:szCs w:val="13"/>
              </w:rPr>
              <w:t xml:space="preserve">—</w:t>
            </w:r>
          </w:p>
        </w:tc>
        <w:tc>
          <w:tcPr>
            <w:tcW w:type="dxa" w:w="1106"/>
          </w:tcPr>
          <w:p>
            <w:pPr>
              <w:pStyle w:val="Compact"/>
              <w:spacing w:before="20" w:after="20" w:line="240" w:lineRule="auto"/>
              <w:jc w:val="center"/>
              <w:keepNext/>
            </w:pPr>
            <w:r>
              <w:rPr>
                <w:sz w:val="13"/>
                <w:szCs w:val="13"/>
              </w:rPr>
              <w:t xml:space="preserve">2.172 (0.837)</w:t>
            </w:r>
          </w:p>
        </w:tc>
        <w:tc>
          <w:tcPr>
            <w:tcW w:type="dxa" w:w="980"/>
          </w:tcPr>
          <w:p>
            <w:pPr>
              <w:pStyle w:val="Compact"/>
              <w:spacing w:before="20" w:after="20" w:line="240" w:lineRule="auto"/>
              <w:jc w:val="center"/>
              <w:keepNext/>
            </w:pPr>
            <w:r>
              <w:rPr>
                <w:sz w:val="13"/>
                <w:szCs w:val="13"/>
              </w:rPr>
              <w:t xml:space="preserve">—</w:t>
            </w:r>
          </w:p>
        </w:tc>
      </w:tr>
      <w:tr>
        <w:trPr>
          <w:cantSplit/>
        </w:trPr>
        <w:tc>
          <w:tcPr>
            <w:tcW w:type="dxa" w:w="1106"/>
          </w:tcPr>
          <w:p>
            <w:pPr>
              <w:pStyle w:val="Compact"/>
              <w:spacing w:before="20" w:after="20" w:line="240" w:lineRule="auto"/>
              <w:keepNext/>
            </w:pPr>
            <w:r>
              <w:rPr>
                <w:sz w:val="13"/>
                <w:szCs w:val="13"/>
              </w:rPr>
              <w:t xml:space="preserve">N</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473</w:t>
            </w:r>
          </w:p>
        </w:tc>
        <w:tc>
          <w:tcPr>
            <w:tcW w:type="dxa" w:w="980"/>
          </w:tcPr>
          <w:p>
            <w:pPr>
              <w:pStyle w:val="Compact"/>
              <w:spacing w:before="20" w:after="20" w:line="240" w:lineRule="auto"/>
              <w:jc w:val="center"/>
              <w:keepNext/>
            </w:pPr>
            <w:r>
              <w:rPr>
                <w:sz w:val="13"/>
                <w:szCs w:val="13"/>
              </w:rPr>
              <w:t xml:space="preserve">908</w:t>
            </w:r>
          </w:p>
        </w:tc>
        <w:tc>
          <w:tcPr>
            <w:tcW w:type="dxa" w:w="980"/>
          </w:tcPr>
          <w:p>
            <w:pPr>
              <w:pStyle w:val="Compact"/>
              <w:spacing w:before="20" w:after="20" w:line="240" w:lineRule="auto"/>
              <w:jc w:val="center"/>
              <w:keepNext/>
            </w:pPr>
            <w:r>
              <w:rPr>
                <w:sz w:val="13"/>
                <w:szCs w:val="13"/>
              </w:rPr>
              <w:t xml:space="preserve">860</w:t>
            </w:r>
          </w:p>
        </w:tc>
        <w:tc>
          <w:tcPr>
            <w:tcW w:type="dxa" w:w="980"/>
          </w:tcPr>
          <w:p>
            <w:pPr>
              <w:pStyle w:val="Compact"/>
              <w:spacing w:before="20" w:after="20" w:line="240" w:lineRule="auto"/>
              <w:jc w:val="center"/>
              <w:keepNext/>
            </w:pPr>
            <w:r>
              <w:rPr>
                <w:sz w:val="13"/>
                <w:szCs w:val="13"/>
              </w:rPr>
              <w:t xml:space="preserve">467</w:t>
            </w:r>
          </w:p>
        </w:tc>
        <w:tc>
          <w:tcPr>
            <w:tcW w:type="dxa" w:w="1106"/>
          </w:tcPr>
          <w:p>
            <w:pPr>
              <w:pStyle w:val="Compact"/>
              <w:spacing w:before="20" w:after="20" w:line="240" w:lineRule="auto"/>
              <w:jc w:val="center"/>
              <w:keepNext/>
            </w:pPr>
            <w:r>
              <w:rPr>
                <w:sz w:val="13"/>
                <w:szCs w:val="13"/>
              </w:rPr>
              <w:t xml:space="preserve">753</w:t>
            </w:r>
          </w:p>
        </w:tc>
        <w:tc>
          <w:tcPr>
            <w:tcW w:type="dxa" w:w="980"/>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980"/>
          </w:tcPr>
          <w:p>
            <w:pPr>
              <w:pStyle w:val="Compact"/>
              <w:spacing w:before="20" w:after="20" w:line="240" w:lineRule="auto"/>
              <w:jc w:val="center"/>
              <w:keepNext/>
            </w:pPr>
            <w:r>
              <w:rPr>
                <w:sz w:val="13"/>
                <w:szCs w:val="13"/>
              </w:rPr>
              <w:t xml:space="preserve">−774.5</w:t>
            </w:r>
          </w:p>
        </w:tc>
        <w:tc>
          <w:tcPr>
            <w:tcW w:type="dxa" w:w="980"/>
          </w:tcPr>
          <w:p>
            <w:pPr>
              <w:pStyle w:val="Compact"/>
              <w:spacing w:before="20" w:after="20" w:line="240" w:lineRule="auto"/>
              <w:jc w:val="center"/>
              <w:keepNext/>
            </w:pPr>
            <w:r>
              <w:rPr>
                <w:sz w:val="13"/>
                <w:szCs w:val="13"/>
              </w:rPr>
              <w:t xml:space="preserve">−829.4</w:t>
            </w:r>
          </w:p>
        </w:tc>
        <w:tc>
          <w:tcPr>
            <w:tcW w:type="dxa" w:w="980"/>
          </w:tcPr>
          <w:p>
            <w:pPr>
              <w:pStyle w:val="Compact"/>
              <w:spacing w:before="20" w:after="20" w:line="240" w:lineRule="auto"/>
              <w:jc w:val="center"/>
              <w:keepNext/>
            </w:pPr>
            <w:r>
              <w:rPr>
                <w:sz w:val="13"/>
                <w:szCs w:val="13"/>
              </w:rPr>
              <w:t xml:space="preserve">−425.3</w:t>
            </w:r>
          </w:p>
        </w:tc>
        <w:tc>
          <w:tcPr>
            <w:tcW w:type="dxa" w:w="980"/>
          </w:tcPr>
          <w:p>
            <w:pPr>
              <w:pStyle w:val="Compact"/>
              <w:spacing w:before="20" w:after="20" w:line="240" w:lineRule="auto"/>
              <w:jc w:val="center"/>
              <w:keepNext/>
            </w:pPr>
            <w:r>
              <w:rPr>
                <w:sz w:val="13"/>
                <w:szCs w:val="13"/>
              </w:rPr>
              <w:t xml:space="preserve">−755.9</w:t>
            </w:r>
          </w:p>
        </w:tc>
        <w:tc>
          <w:tcPr>
            <w:tcW w:type="dxa" w:w="980"/>
          </w:tcPr>
          <w:p>
            <w:pPr>
              <w:pStyle w:val="Compact"/>
              <w:spacing w:before="20" w:after="20" w:line="240" w:lineRule="auto"/>
              <w:jc w:val="center"/>
              <w:keepNext/>
            </w:pPr>
            <w:r>
              <w:rPr>
                <w:sz w:val="13"/>
                <w:szCs w:val="13"/>
              </w:rPr>
              <w:t xml:space="preserve">−682.7</w:t>
            </w:r>
          </w:p>
        </w:tc>
        <w:tc>
          <w:tcPr>
            <w:tcW w:type="dxa" w:w="980"/>
          </w:tcPr>
          <w:p>
            <w:pPr>
              <w:pStyle w:val="Compact"/>
              <w:spacing w:before="20" w:after="20" w:line="240" w:lineRule="auto"/>
              <w:jc w:val="center"/>
              <w:keepNext/>
            </w:pPr>
            <w:r>
              <w:rPr>
                <w:sz w:val="13"/>
                <w:szCs w:val="13"/>
              </w:rPr>
              <w:t xml:space="preserve">−364.0</w:t>
            </w:r>
          </w:p>
        </w:tc>
        <w:tc>
          <w:tcPr>
            <w:tcW w:type="dxa" w:w="1106"/>
          </w:tcPr>
          <w:p>
            <w:pPr>
              <w:pStyle w:val="Compact"/>
              <w:spacing w:before="20" w:after="20" w:line="240" w:lineRule="auto"/>
              <w:jc w:val="center"/>
              <w:keepNext/>
            </w:pPr>
            <w:r>
              <w:rPr>
                <w:sz w:val="13"/>
                <w:szCs w:val="13"/>
              </w:rPr>
              <w:t xml:space="preserve">−607.4</w:t>
            </w:r>
          </w:p>
        </w:tc>
        <w:tc>
          <w:tcPr>
            <w:tcW w:type="dxa" w:w="980"/>
          </w:tcPr>
          <w:p>
            <w:pPr>
              <w:pStyle w:val="Compact"/>
              <w:spacing w:before="20" w:after="20" w:line="240" w:lineRule="auto"/>
              <w:jc w:val="center"/>
              <w:keepNext/>
            </w:pPr>
            <w:r>
              <w:rPr>
                <w:sz w:val="13"/>
                <w:szCs w:val="13"/>
              </w:rPr>
              <w:t xml:space="preserve">−683.0</w:t>
            </w:r>
          </w:p>
        </w:tc>
      </w:tr>
    </w:tbl>
    <w:p>
      <w:pPr>
        <w:pStyle w:val="BodyText"/>
      </w:pPr>
      <w:r>
        <w:rPr>
          <w:i/>
          <w:iCs/>
        </w:rPr>
        <w:t xml:space="preserve">주:</w:t>
      </w:r>
      <w:r>
        <w:t xml:space="preserve"> </w:t>
      </w:r>
      <w:r>
        <w:t xml:space="preserve">2010년 이후 표본의 일본 출원은 15건(조립 단독형 1, 통합형 13, 공정 단독형 1)뿐이어서 해당 계수는 신뢰할 수 없고, 기타 출원청은 공정 단독형이 0건이어서 공정 단독형 방정식의 계수가 식별되지 않는다. 식별되지 않는 계수(해당 범주에 관측치가 없는 경우)는 —로 표시하였다.</w:t>
      </w:r>
    </w:p>
    <w:p>
      <w:pPr>
        <w:pStyle w:val="BodyText"/>
      </w:pPr>
      <w:r>
        <w:rPr>
          <w:b/>
          <w:bCs/>
        </w:rPr>
        <w:t xml:space="preserve">표 B3.</w:t>
      </w:r>
      <w:r>
        <w:t xml:space="preserve"> </w:t>
      </w:r>
      <w:r>
        <w:t xml:space="preserve">기술범위의 음이항 모형: 표본별 발생률비(출원청 기준 = 미국; 괄호 안은 로그 계수의 표준오차;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60"/>
        <w:gridCol w:w="1318"/>
        <w:gridCol w:w="1318"/>
        <w:gridCol w:w="1318"/>
        <w:gridCol w:w="1318"/>
        <w:gridCol w:w="1318"/>
        <w:gridCol w:w="1318"/>
      </w:tblGrid>
      <w:tr>
        <w:trPr>
          <w:tblHeader w:val="on"/>
          <w:cantSplit/>
        </w:trPr>
        <w:tc>
          <w:tcPr>
            <w:tcW w:type="dxa" w:w="1160"/>
            <w:tcBorders>
              <w:bottom w:val="single" w:sz="4" w:space="0" w:color="000000"/>
            </w:tcBorders>
          </w:tcPr>
          <w:p>
            <w:pPr>
              <w:pStyle w:val="Compact"/>
              <w:spacing w:before="20" w:after="20" w:line="240" w:lineRule="auto"/>
              <w:keepNext/>
            </w:pPr>
          </w:p>
        </w:tc>
        <w:tc>
          <w:tcPr>
            <w:tcW w:type="dxa" w:w="1318"/>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60"/>
          </w:tcPr>
          <w:p>
            <w:pPr>
              <w:pStyle w:val="Compact"/>
              <w:spacing w:before="20" w:after="20" w:line="240" w:lineRule="auto"/>
              <w:keepNext/>
            </w:pPr>
            <w:r>
              <w:rPr>
                <w:sz w:val="13"/>
                <w:szCs w:val="13"/>
              </w:rPr>
              <w:t xml:space="preserve">출원연도(yc)</w:t>
            </w:r>
          </w:p>
        </w:tc>
        <w:tc>
          <w:tcPr>
            <w:tcW w:type="dxa" w:w="1318"/>
          </w:tcPr>
          <w:p>
            <w:pPr>
              <w:pStyle w:val="Compact"/>
              <w:spacing w:before="20" w:after="20" w:line="240" w:lineRule="auto"/>
              <w:jc w:val="center"/>
              <w:keepNext/>
            </w:pPr>
            <w:r>
              <w:rPr>
                <w:sz w:val="13"/>
                <w:szCs w:val="13"/>
              </w:rPr>
              <w:t xml:space="preserve">1.015*** (0.003)</w:t>
            </w:r>
          </w:p>
        </w:tc>
        <w:tc>
          <w:tcPr>
            <w:tcW w:type="dxa" w:w="1318"/>
          </w:tcPr>
          <w:p>
            <w:pPr>
              <w:pStyle w:val="Compact"/>
              <w:spacing w:before="20" w:after="20" w:line="240" w:lineRule="auto"/>
              <w:jc w:val="center"/>
              <w:keepNext/>
            </w:pPr>
            <w:r>
              <w:rPr>
                <w:sz w:val="13"/>
                <w:szCs w:val="13"/>
              </w:rPr>
              <w:t xml:space="preserve">1.022*** (0.004)</w:t>
            </w:r>
          </w:p>
        </w:tc>
        <w:tc>
          <w:tcPr>
            <w:tcW w:type="dxa" w:w="1318"/>
          </w:tcPr>
          <w:p>
            <w:pPr>
              <w:pStyle w:val="Compact"/>
              <w:spacing w:before="20" w:after="20" w:line="240" w:lineRule="auto"/>
              <w:jc w:val="center"/>
              <w:keepNext/>
            </w:pPr>
            <w:r>
              <w:rPr>
                <w:sz w:val="13"/>
                <w:szCs w:val="13"/>
              </w:rPr>
              <w:t xml:space="preserve">1.001 (0.004)</w:t>
            </w:r>
          </w:p>
        </w:tc>
        <w:tc>
          <w:tcPr>
            <w:tcW w:type="dxa" w:w="1318"/>
          </w:tcPr>
          <w:p>
            <w:pPr>
              <w:pStyle w:val="Compact"/>
              <w:spacing w:before="20" w:after="20" w:line="240" w:lineRule="auto"/>
              <w:jc w:val="center"/>
              <w:keepNext/>
            </w:pPr>
            <w:r>
              <w:rPr>
                <w:sz w:val="13"/>
                <w:szCs w:val="13"/>
              </w:rPr>
              <w:t xml:space="preserve">0.964*** (0.008)</w:t>
            </w:r>
          </w:p>
        </w:tc>
        <w:tc>
          <w:tcPr>
            <w:tcW w:type="dxa" w:w="1318"/>
          </w:tcPr>
          <w:p>
            <w:pPr>
              <w:pStyle w:val="Compact"/>
              <w:spacing w:before="20" w:after="20" w:line="240" w:lineRule="auto"/>
              <w:jc w:val="center"/>
              <w:keepNext/>
            </w:pPr>
            <w:r>
              <w:rPr>
                <w:sz w:val="13"/>
                <w:szCs w:val="13"/>
              </w:rPr>
              <w:t xml:space="preserve">1.022*** (0.004)</w:t>
            </w:r>
          </w:p>
        </w:tc>
        <w:tc>
          <w:tcPr>
            <w:tcW w:type="dxa" w:w="1318"/>
          </w:tcPr>
          <w:p>
            <w:pPr>
              <w:pStyle w:val="Compact"/>
              <w:spacing w:before="20" w:after="20" w:line="240" w:lineRule="auto"/>
              <w:jc w:val="center"/>
              <w:keepNext/>
            </w:pPr>
            <w:r>
              <w:rPr>
                <w:sz w:val="13"/>
                <w:szCs w:val="13"/>
              </w:rPr>
              <w:t xml:space="preserve">0.970*** (0.006)</w:t>
            </w:r>
          </w:p>
        </w:tc>
      </w:tr>
      <w:tr>
        <w:trPr>
          <w:cantSplit/>
        </w:trPr>
        <w:tc>
          <w:tcPr>
            <w:tcW w:type="dxa" w:w="1160"/>
          </w:tcPr>
          <w:p>
            <w:pPr>
              <w:pStyle w:val="Compact"/>
              <w:spacing w:before="20" w:after="20" w:line="240" w:lineRule="auto"/>
              <w:keepNext/>
            </w:pPr>
            <w:r>
              <w:rPr>
                <w:sz w:val="13"/>
                <w:szCs w:val="13"/>
              </w:rPr>
              <w:t xml:space="preserve">중국(CN)</w:t>
            </w:r>
          </w:p>
        </w:tc>
        <w:tc>
          <w:tcPr>
            <w:tcW w:type="dxa" w:w="1318"/>
          </w:tcPr>
          <w:p>
            <w:pPr>
              <w:pStyle w:val="Compact"/>
              <w:spacing w:before="20" w:after="20" w:line="240" w:lineRule="auto"/>
              <w:jc w:val="center"/>
              <w:keepNext/>
            </w:pPr>
            <w:r>
              <w:rPr>
                <w:sz w:val="13"/>
                <w:szCs w:val="13"/>
              </w:rPr>
              <w:t xml:space="preserve">0.785*** (0.062)</w:t>
            </w:r>
          </w:p>
        </w:tc>
        <w:tc>
          <w:tcPr>
            <w:tcW w:type="dxa" w:w="1318"/>
          </w:tcPr>
          <w:p>
            <w:pPr>
              <w:pStyle w:val="Compact"/>
              <w:spacing w:before="20" w:after="20" w:line="240" w:lineRule="auto"/>
              <w:jc w:val="center"/>
              <w:keepNext/>
            </w:pPr>
            <w:r>
              <w:rPr>
                <w:sz w:val="13"/>
                <w:szCs w:val="13"/>
              </w:rPr>
              <w:t xml:space="preserve">0.792*** (0.077)</w:t>
            </w:r>
          </w:p>
        </w:tc>
        <w:tc>
          <w:tcPr>
            <w:tcW w:type="dxa" w:w="1318"/>
          </w:tcPr>
          <w:p>
            <w:pPr>
              <w:pStyle w:val="Compact"/>
              <w:spacing w:before="20" w:after="20" w:line="240" w:lineRule="auto"/>
              <w:jc w:val="center"/>
              <w:keepNext/>
            </w:pPr>
            <w:r>
              <w:rPr>
                <w:sz w:val="13"/>
                <w:szCs w:val="13"/>
              </w:rPr>
              <w:t xml:space="preserve">0.785*** (0.063)</w:t>
            </w:r>
          </w:p>
        </w:tc>
        <w:tc>
          <w:tcPr>
            <w:tcW w:type="dxa" w:w="1318"/>
          </w:tcPr>
          <w:p>
            <w:pPr>
              <w:pStyle w:val="Compact"/>
              <w:spacing w:before="20" w:after="20" w:line="240" w:lineRule="auto"/>
              <w:jc w:val="center"/>
              <w:keepNext/>
            </w:pPr>
            <w:r>
              <w:rPr>
                <w:sz w:val="13"/>
                <w:szCs w:val="13"/>
              </w:rPr>
              <w:t xml:space="preserve">0.786*** (0.073)</w:t>
            </w:r>
          </w:p>
        </w:tc>
        <w:tc>
          <w:tcPr>
            <w:tcW w:type="dxa" w:w="1318"/>
          </w:tcPr>
          <w:p>
            <w:pPr>
              <w:pStyle w:val="Compact"/>
              <w:spacing w:before="20" w:after="20" w:line="240" w:lineRule="auto"/>
              <w:jc w:val="center"/>
              <w:keepNext/>
            </w:pPr>
            <w:r>
              <w:rPr>
                <w:sz w:val="13"/>
                <w:szCs w:val="13"/>
              </w:rPr>
              <w:t xml:space="preserve">0.808*** (0.071)</w:t>
            </w:r>
          </w:p>
        </w:tc>
        <w:tc>
          <w:tcPr>
            <w:tcW w:type="dxa" w:w="1318"/>
          </w:tcPr>
          <w:p>
            <w:pPr>
              <w:pStyle w:val="Compact"/>
              <w:spacing w:before="20" w:after="20" w:line="240" w:lineRule="auto"/>
              <w:jc w:val="center"/>
              <w:keepNext/>
            </w:pPr>
            <w:r>
              <w:rPr>
                <w:sz w:val="13"/>
                <w:szCs w:val="13"/>
              </w:rPr>
              <w:t xml:space="preserve">0.794*** (0.057)</w:t>
            </w:r>
          </w:p>
        </w:tc>
      </w:tr>
      <w:tr>
        <w:trPr>
          <w:cantSplit/>
        </w:trPr>
        <w:tc>
          <w:tcPr>
            <w:tcW w:type="dxa" w:w="1160"/>
          </w:tcPr>
          <w:p>
            <w:pPr>
              <w:pStyle w:val="Compact"/>
              <w:spacing w:before="20" w:after="20" w:line="240" w:lineRule="auto"/>
              <w:keepNext/>
            </w:pPr>
            <w:r>
              <w:rPr>
                <w:sz w:val="13"/>
                <w:szCs w:val="13"/>
              </w:rPr>
              <w:t xml:space="preserve">한국(KR)</w:t>
            </w:r>
          </w:p>
        </w:tc>
        <w:tc>
          <w:tcPr>
            <w:tcW w:type="dxa" w:w="1318"/>
          </w:tcPr>
          <w:p>
            <w:pPr>
              <w:pStyle w:val="Compact"/>
              <w:spacing w:before="20" w:after="20" w:line="240" w:lineRule="auto"/>
              <w:jc w:val="center"/>
              <w:keepNext/>
            </w:pPr>
            <w:r>
              <w:rPr>
                <w:sz w:val="13"/>
                <w:szCs w:val="13"/>
              </w:rPr>
              <w:t xml:space="preserve">1.018 (0.094)</w:t>
            </w:r>
          </w:p>
        </w:tc>
        <w:tc>
          <w:tcPr>
            <w:tcW w:type="dxa" w:w="1318"/>
          </w:tcPr>
          <w:p>
            <w:pPr>
              <w:pStyle w:val="Compact"/>
              <w:spacing w:before="20" w:after="20" w:line="240" w:lineRule="auto"/>
              <w:jc w:val="center"/>
              <w:keepNext/>
            </w:pPr>
            <w:r>
              <w:rPr>
                <w:sz w:val="13"/>
                <w:szCs w:val="13"/>
              </w:rPr>
              <w:t xml:space="preserve">0.919 (0.127)</w:t>
            </w:r>
          </w:p>
        </w:tc>
        <w:tc>
          <w:tcPr>
            <w:tcW w:type="dxa" w:w="1318"/>
          </w:tcPr>
          <w:p>
            <w:pPr>
              <w:pStyle w:val="Compact"/>
              <w:spacing w:before="20" w:after="20" w:line="240" w:lineRule="auto"/>
              <w:jc w:val="center"/>
              <w:keepNext/>
            </w:pPr>
            <w:r>
              <w:rPr>
                <w:sz w:val="13"/>
                <w:szCs w:val="13"/>
              </w:rPr>
              <w:t xml:space="preserve">0.961 (0.094)</w:t>
            </w:r>
          </w:p>
        </w:tc>
        <w:tc>
          <w:tcPr>
            <w:tcW w:type="dxa" w:w="1318"/>
          </w:tcPr>
          <w:p>
            <w:pPr>
              <w:pStyle w:val="Compact"/>
              <w:spacing w:before="20" w:after="20" w:line="240" w:lineRule="auto"/>
              <w:jc w:val="center"/>
              <w:keepNext/>
            </w:pPr>
            <w:r>
              <w:rPr>
                <w:sz w:val="13"/>
                <w:szCs w:val="13"/>
              </w:rPr>
              <w:t xml:space="preserve">1.135 (0.120)</w:t>
            </w:r>
          </w:p>
        </w:tc>
        <w:tc>
          <w:tcPr>
            <w:tcW w:type="dxa" w:w="1318"/>
          </w:tcPr>
          <w:p>
            <w:pPr>
              <w:pStyle w:val="Compact"/>
              <w:spacing w:before="20" w:after="20" w:line="240" w:lineRule="auto"/>
              <w:jc w:val="center"/>
              <w:keepNext/>
            </w:pPr>
            <w:r>
              <w:rPr>
                <w:sz w:val="13"/>
                <w:szCs w:val="13"/>
              </w:rPr>
              <w:t xml:space="preserve">1.017 (0.099)</w:t>
            </w:r>
          </w:p>
        </w:tc>
        <w:tc>
          <w:tcPr>
            <w:tcW w:type="dxa" w:w="1318"/>
          </w:tcPr>
          <w:p>
            <w:pPr>
              <w:pStyle w:val="Compact"/>
              <w:spacing w:before="20" w:after="20" w:line="240" w:lineRule="auto"/>
              <w:jc w:val="center"/>
              <w:keepNext/>
            </w:pPr>
            <w:r>
              <w:rPr>
                <w:sz w:val="13"/>
                <w:szCs w:val="13"/>
              </w:rPr>
              <w:t xml:space="preserve">0.999 (0.096)</w:t>
            </w:r>
          </w:p>
        </w:tc>
      </w:tr>
      <w:tr>
        <w:trPr>
          <w:cantSplit/>
        </w:trPr>
        <w:tc>
          <w:tcPr>
            <w:tcW w:type="dxa" w:w="1160"/>
          </w:tcPr>
          <w:p>
            <w:pPr>
              <w:pStyle w:val="Compact"/>
              <w:spacing w:before="20" w:after="20" w:line="240" w:lineRule="auto"/>
              <w:keepNext/>
            </w:pPr>
            <w:r>
              <w:rPr>
                <w:sz w:val="13"/>
                <w:szCs w:val="13"/>
              </w:rPr>
              <w:t xml:space="preserve">대만(TW)</w:t>
            </w:r>
          </w:p>
        </w:tc>
        <w:tc>
          <w:tcPr>
            <w:tcW w:type="dxa" w:w="1318"/>
          </w:tcPr>
          <w:p>
            <w:pPr>
              <w:pStyle w:val="Compact"/>
              <w:spacing w:before="20" w:after="20" w:line="240" w:lineRule="auto"/>
              <w:jc w:val="center"/>
              <w:keepNext/>
            </w:pPr>
            <w:r>
              <w:rPr>
                <w:sz w:val="13"/>
                <w:szCs w:val="13"/>
              </w:rPr>
              <w:t xml:space="preserve">1.021 (0.083)</w:t>
            </w:r>
          </w:p>
        </w:tc>
        <w:tc>
          <w:tcPr>
            <w:tcW w:type="dxa" w:w="1318"/>
          </w:tcPr>
          <w:p>
            <w:pPr>
              <w:pStyle w:val="Compact"/>
              <w:spacing w:before="20" w:after="20" w:line="240" w:lineRule="auto"/>
              <w:jc w:val="center"/>
              <w:keepNext/>
            </w:pPr>
            <w:r>
              <w:rPr>
                <w:sz w:val="13"/>
                <w:szCs w:val="13"/>
              </w:rPr>
              <w:t xml:space="preserve">1.111 (0.149)</w:t>
            </w:r>
          </w:p>
        </w:tc>
        <w:tc>
          <w:tcPr>
            <w:tcW w:type="dxa" w:w="1318"/>
          </w:tcPr>
          <w:p>
            <w:pPr>
              <w:pStyle w:val="Compact"/>
              <w:spacing w:before="20" w:after="20" w:line="240" w:lineRule="auto"/>
              <w:jc w:val="center"/>
              <w:keepNext/>
            </w:pPr>
            <w:r>
              <w:rPr>
                <w:sz w:val="13"/>
                <w:szCs w:val="13"/>
              </w:rPr>
              <w:t xml:space="preserve">1.012 (0.082)</w:t>
            </w:r>
          </w:p>
        </w:tc>
        <w:tc>
          <w:tcPr>
            <w:tcW w:type="dxa" w:w="1318"/>
          </w:tcPr>
          <w:p>
            <w:pPr>
              <w:pStyle w:val="Compact"/>
              <w:spacing w:before="20" w:after="20" w:line="240" w:lineRule="auto"/>
              <w:jc w:val="center"/>
              <w:keepNext/>
            </w:pPr>
            <w:r>
              <w:rPr>
                <w:sz w:val="13"/>
                <w:szCs w:val="13"/>
              </w:rPr>
              <w:t xml:space="preserve">1.079 (0.093)</w:t>
            </w:r>
          </w:p>
        </w:tc>
        <w:tc>
          <w:tcPr>
            <w:tcW w:type="dxa" w:w="1318"/>
          </w:tcPr>
          <w:p>
            <w:pPr>
              <w:pStyle w:val="Compact"/>
              <w:spacing w:before="20" w:after="20" w:line="240" w:lineRule="auto"/>
              <w:jc w:val="center"/>
              <w:keepNext/>
            </w:pPr>
            <w:r>
              <w:rPr>
                <w:sz w:val="13"/>
                <w:szCs w:val="13"/>
              </w:rPr>
              <w:t xml:space="preserve">1.108 (0.095)</w:t>
            </w:r>
          </w:p>
        </w:tc>
        <w:tc>
          <w:tcPr>
            <w:tcW w:type="dxa" w:w="1318"/>
          </w:tcPr>
          <w:p>
            <w:pPr>
              <w:pStyle w:val="Compact"/>
              <w:spacing w:before="20" w:after="20" w:line="240" w:lineRule="auto"/>
              <w:jc w:val="center"/>
              <w:keepNext/>
            </w:pPr>
            <w:r>
              <w:rPr>
                <w:sz w:val="13"/>
                <w:szCs w:val="13"/>
              </w:rPr>
              <w:t xml:space="preserve">1.021 (0.076)</w:t>
            </w:r>
          </w:p>
        </w:tc>
      </w:tr>
      <w:tr>
        <w:trPr>
          <w:cantSplit/>
        </w:trPr>
        <w:tc>
          <w:tcPr>
            <w:tcW w:type="dxa" w:w="1160"/>
          </w:tcPr>
          <w:p>
            <w:pPr>
              <w:pStyle w:val="Compact"/>
              <w:spacing w:before="20" w:after="20" w:line="240" w:lineRule="auto"/>
              <w:keepNext/>
            </w:pPr>
            <w:r>
              <w:rPr>
                <w:sz w:val="13"/>
                <w:szCs w:val="13"/>
              </w:rPr>
              <w:t xml:space="preserve">일본(JP)</w:t>
            </w:r>
          </w:p>
        </w:tc>
        <w:tc>
          <w:tcPr>
            <w:tcW w:type="dxa" w:w="1318"/>
          </w:tcPr>
          <w:p>
            <w:pPr>
              <w:pStyle w:val="Compact"/>
              <w:spacing w:before="20" w:after="20" w:line="240" w:lineRule="auto"/>
              <w:jc w:val="center"/>
              <w:keepNext/>
            </w:pPr>
            <w:r>
              <w:rPr>
                <w:sz w:val="13"/>
                <w:szCs w:val="13"/>
              </w:rPr>
              <w:t xml:space="preserve">1.270* (0.133)</w:t>
            </w:r>
          </w:p>
        </w:tc>
        <w:tc>
          <w:tcPr>
            <w:tcW w:type="dxa" w:w="1318"/>
          </w:tcPr>
          <w:p>
            <w:pPr>
              <w:pStyle w:val="Compact"/>
              <w:spacing w:before="20" w:after="20" w:line="240" w:lineRule="auto"/>
              <w:jc w:val="center"/>
              <w:keepNext/>
            </w:pPr>
            <w:r>
              <w:rPr>
                <w:sz w:val="13"/>
                <w:szCs w:val="13"/>
              </w:rPr>
              <w:t xml:space="preserve">1.302 (0.183)</w:t>
            </w:r>
          </w:p>
        </w:tc>
        <w:tc>
          <w:tcPr>
            <w:tcW w:type="dxa" w:w="1318"/>
          </w:tcPr>
          <w:p>
            <w:pPr>
              <w:pStyle w:val="Compact"/>
              <w:spacing w:before="20" w:after="20" w:line="240" w:lineRule="auto"/>
              <w:jc w:val="center"/>
              <w:keepNext/>
            </w:pPr>
            <w:r>
              <w:rPr>
                <w:sz w:val="13"/>
                <w:szCs w:val="13"/>
              </w:rPr>
              <w:t xml:space="preserve">1.397** (0.145)</w:t>
            </w:r>
          </w:p>
        </w:tc>
        <w:tc>
          <w:tcPr>
            <w:tcW w:type="dxa" w:w="1318"/>
          </w:tcPr>
          <w:p>
            <w:pPr>
              <w:pStyle w:val="Compact"/>
              <w:spacing w:before="20" w:after="20" w:line="240" w:lineRule="auto"/>
              <w:jc w:val="center"/>
              <w:keepNext/>
            </w:pPr>
            <w:r>
              <w:rPr>
                <w:sz w:val="13"/>
                <w:szCs w:val="13"/>
              </w:rPr>
              <w:t xml:space="preserve">1.041 (0.287)</w:t>
            </w:r>
          </w:p>
        </w:tc>
        <w:tc>
          <w:tcPr>
            <w:tcW w:type="dxa" w:w="1318"/>
          </w:tcPr>
          <w:p>
            <w:pPr>
              <w:pStyle w:val="Compact"/>
              <w:spacing w:before="20" w:after="20" w:line="240" w:lineRule="auto"/>
              <w:jc w:val="center"/>
              <w:keepNext/>
            </w:pPr>
            <w:r>
              <w:rPr>
                <w:sz w:val="13"/>
                <w:szCs w:val="13"/>
              </w:rPr>
              <w:t xml:space="preserve">1.388** (0.153)</w:t>
            </w:r>
          </w:p>
        </w:tc>
        <w:tc>
          <w:tcPr>
            <w:tcW w:type="dxa" w:w="1318"/>
          </w:tcPr>
          <w:p>
            <w:pPr>
              <w:pStyle w:val="Compact"/>
              <w:spacing w:before="20" w:after="20" w:line="240" w:lineRule="auto"/>
              <w:jc w:val="center"/>
              <w:keepNext/>
            </w:pPr>
            <w:r>
              <w:rPr>
                <w:sz w:val="13"/>
                <w:szCs w:val="13"/>
              </w:rPr>
              <w:t xml:space="preserve">1.577*** (0.141)</w:t>
            </w:r>
          </w:p>
        </w:tc>
      </w:tr>
      <w:tr>
        <w:trPr>
          <w:cantSplit/>
        </w:trPr>
        <w:tc>
          <w:tcPr>
            <w:tcW w:type="dxa" w:w="1160"/>
          </w:tcPr>
          <w:p>
            <w:pPr>
              <w:pStyle w:val="Compact"/>
              <w:spacing w:before="20" w:after="20" w:line="240" w:lineRule="auto"/>
              <w:keepNext/>
            </w:pPr>
            <w:r>
              <w:rPr>
                <w:sz w:val="13"/>
                <w:szCs w:val="13"/>
              </w:rPr>
              <w:t xml:space="preserve">EPO(EP)</w:t>
            </w:r>
          </w:p>
        </w:tc>
        <w:tc>
          <w:tcPr>
            <w:tcW w:type="dxa" w:w="1318"/>
          </w:tcPr>
          <w:p>
            <w:pPr>
              <w:pStyle w:val="Compact"/>
              <w:spacing w:before="20" w:after="20" w:line="240" w:lineRule="auto"/>
              <w:jc w:val="center"/>
              <w:keepNext/>
            </w:pPr>
            <w:r>
              <w:rPr>
                <w:sz w:val="13"/>
                <w:szCs w:val="13"/>
              </w:rPr>
              <w:t xml:space="preserve">0.993 (0.080)</w:t>
            </w:r>
          </w:p>
        </w:tc>
        <w:tc>
          <w:tcPr>
            <w:tcW w:type="dxa" w:w="1318"/>
          </w:tcPr>
          <w:p>
            <w:pPr>
              <w:pStyle w:val="Compact"/>
              <w:spacing w:before="20" w:after="20" w:line="240" w:lineRule="auto"/>
              <w:jc w:val="center"/>
              <w:keepNext/>
            </w:pPr>
            <w:r>
              <w:rPr>
                <w:sz w:val="13"/>
                <w:szCs w:val="13"/>
              </w:rPr>
              <w:t xml:space="preserve">1.435*** (0.119)</w:t>
            </w:r>
          </w:p>
        </w:tc>
        <w:tc>
          <w:tcPr>
            <w:tcW w:type="dxa" w:w="1318"/>
          </w:tcPr>
          <w:p>
            <w:pPr>
              <w:pStyle w:val="Compact"/>
              <w:spacing w:before="20" w:after="20" w:line="240" w:lineRule="auto"/>
              <w:jc w:val="center"/>
              <w:keepNext/>
            </w:pPr>
            <w:r>
              <w:rPr>
                <w:sz w:val="13"/>
                <w:szCs w:val="13"/>
              </w:rPr>
              <w:t xml:space="preserve">0.989 (0.082)</w:t>
            </w:r>
          </w:p>
        </w:tc>
        <w:tc>
          <w:tcPr>
            <w:tcW w:type="dxa" w:w="1318"/>
          </w:tcPr>
          <w:p>
            <w:pPr>
              <w:pStyle w:val="Compact"/>
              <w:spacing w:before="20" w:after="20" w:line="240" w:lineRule="auto"/>
              <w:jc w:val="center"/>
              <w:keepNext/>
            </w:pPr>
            <w:r>
              <w:rPr>
                <w:sz w:val="13"/>
                <w:szCs w:val="13"/>
              </w:rPr>
              <w:t xml:space="preserve">1.084 (0.121)</w:t>
            </w:r>
          </w:p>
        </w:tc>
        <w:tc>
          <w:tcPr>
            <w:tcW w:type="dxa" w:w="1318"/>
          </w:tcPr>
          <w:p>
            <w:pPr>
              <w:pStyle w:val="Compact"/>
              <w:spacing w:before="20" w:after="20" w:line="240" w:lineRule="auto"/>
              <w:jc w:val="center"/>
              <w:keepNext/>
            </w:pPr>
            <w:r>
              <w:rPr>
                <w:sz w:val="13"/>
                <w:szCs w:val="13"/>
              </w:rPr>
              <w:t xml:space="preserve">0.988 (0.087)</w:t>
            </w:r>
          </w:p>
        </w:tc>
        <w:tc>
          <w:tcPr>
            <w:tcW w:type="dxa" w:w="1318"/>
          </w:tcPr>
          <w:p>
            <w:pPr>
              <w:pStyle w:val="Compact"/>
              <w:spacing w:before="20" w:after="20" w:line="240" w:lineRule="auto"/>
              <w:jc w:val="center"/>
              <w:keepNext/>
            </w:pPr>
            <w:r>
              <w:rPr>
                <w:sz w:val="13"/>
                <w:szCs w:val="13"/>
              </w:rPr>
              <w:t xml:space="preserve">1.014 (0.076)</w:t>
            </w:r>
          </w:p>
        </w:tc>
      </w:tr>
      <w:tr>
        <w:trPr>
          <w:cantSplit/>
        </w:trPr>
        <w:tc>
          <w:tcPr>
            <w:tcW w:type="dxa" w:w="1160"/>
          </w:tcPr>
          <w:p>
            <w:pPr>
              <w:pStyle w:val="Compact"/>
              <w:spacing w:before="20" w:after="20" w:line="240" w:lineRule="auto"/>
              <w:keepNext/>
            </w:pPr>
            <w:r>
              <w:rPr>
                <w:sz w:val="13"/>
                <w:szCs w:val="13"/>
              </w:rPr>
              <w:t xml:space="preserve">PCT(WO)</w:t>
            </w:r>
          </w:p>
        </w:tc>
        <w:tc>
          <w:tcPr>
            <w:tcW w:type="dxa" w:w="1318"/>
          </w:tcPr>
          <w:p>
            <w:pPr>
              <w:pStyle w:val="Compact"/>
              <w:spacing w:before="20" w:after="20" w:line="240" w:lineRule="auto"/>
              <w:jc w:val="center"/>
              <w:keepNext/>
            </w:pPr>
            <w:r>
              <w:rPr>
                <w:sz w:val="13"/>
                <w:szCs w:val="13"/>
              </w:rPr>
              <w:t xml:space="preserve">0.826*** (0.073)</w:t>
            </w:r>
          </w:p>
        </w:tc>
        <w:tc>
          <w:tcPr>
            <w:tcW w:type="dxa" w:w="1318"/>
          </w:tcPr>
          <w:p>
            <w:pPr>
              <w:pStyle w:val="Compact"/>
              <w:spacing w:before="20" w:after="20" w:line="240" w:lineRule="auto"/>
              <w:jc w:val="center"/>
              <w:keepNext/>
            </w:pPr>
            <w:r>
              <w:rPr>
                <w:sz w:val="13"/>
                <w:szCs w:val="13"/>
              </w:rPr>
              <w:t xml:space="preserve">0.751** (0.131)</w:t>
            </w:r>
          </w:p>
        </w:tc>
        <w:tc>
          <w:tcPr>
            <w:tcW w:type="dxa" w:w="1318"/>
          </w:tcPr>
          <w:p>
            <w:pPr>
              <w:pStyle w:val="Compact"/>
              <w:spacing w:before="20" w:after="20" w:line="240" w:lineRule="auto"/>
              <w:jc w:val="center"/>
              <w:keepNext/>
            </w:pPr>
            <w:r>
              <w:rPr>
                <w:sz w:val="13"/>
                <w:szCs w:val="13"/>
              </w:rPr>
              <w:t xml:space="preserve">0.820*** (0.073)</w:t>
            </w:r>
          </w:p>
        </w:tc>
        <w:tc>
          <w:tcPr>
            <w:tcW w:type="dxa" w:w="1318"/>
          </w:tcPr>
          <w:p>
            <w:pPr>
              <w:pStyle w:val="Compact"/>
              <w:spacing w:before="20" w:after="20" w:line="240" w:lineRule="auto"/>
              <w:jc w:val="center"/>
              <w:keepNext/>
            </w:pPr>
            <w:r>
              <w:rPr>
                <w:sz w:val="13"/>
                <w:szCs w:val="13"/>
              </w:rPr>
              <w:t xml:space="preserve">0.868 (0.090)</w:t>
            </w:r>
          </w:p>
        </w:tc>
        <w:tc>
          <w:tcPr>
            <w:tcW w:type="dxa" w:w="1318"/>
          </w:tcPr>
          <w:p>
            <w:pPr>
              <w:pStyle w:val="Compact"/>
              <w:spacing w:before="20" w:after="20" w:line="240" w:lineRule="auto"/>
              <w:jc w:val="center"/>
              <w:keepNext/>
            </w:pPr>
            <w:r>
              <w:rPr>
                <w:sz w:val="13"/>
                <w:szCs w:val="13"/>
              </w:rPr>
              <w:t xml:space="preserve">0.912 (0.087)</w:t>
            </w:r>
          </w:p>
        </w:tc>
        <w:tc>
          <w:tcPr>
            <w:tcW w:type="dxa" w:w="1318"/>
          </w:tcPr>
          <w:p>
            <w:pPr>
              <w:pStyle w:val="Compact"/>
              <w:spacing w:before="20" w:after="20" w:line="240" w:lineRule="auto"/>
              <w:jc w:val="center"/>
              <w:keepNext/>
            </w:pPr>
            <w:r>
              <w:rPr>
                <w:sz w:val="13"/>
                <w:szCs w:val="13"/>
              </w:rPr>
              <w:t xml:space="preserve">0.842** (0.068)</w:t>
            </w:r>
          </w:p>
        </w:tc>
      </w:tr>
      <w:tr>
        <w:trPr>
          <w:cantSplit/>
        </w:trPr>
        <w:tc>
          <w:tcPr>
            <w:tcW w:type="dxa" w:w="1160"/>
          </w:tcPr>
          <w:p>
            <w:pPr>
              <w:pStyle w:val="Compact"/>
              <w:spacing w:before="20" w:after="20" w:line="240" w:lineRule="auto"/>
              <w:keepNext/>
            </w:pPr>
            <w:r>
              <w:rPr>
                <w:sz w:val="13"/>
                <w:szCs w:val="13"/>
              </w:rPr>
              <w:t xml:space="preserve">기타</w:t>
            </w:r>
          </w:p>
        </w:tc>
        <w:tc>
          <w:tcPr>
            <w:tcW w:type="dxa" w:w="1318"/>
          </w:tcPr>
          <w:p>
            <w:pPr>
              <w:pStyle w:val="Compact"/>
              <w:spacing w:before="20" w:after="20" w:line="240" w:lineRule="auto"/>
              <w:jc w:val="center"/>
              <w:keepNext/>
            </w:pPr>
            <w:r>
              <w:rPr>
                <w:sz w:val="13"/>
                <w:szCs w:val="13"/>
              </w:rPr>
              <w:t xml:space="preserve">1.057 (0.171)</w:t>
            </w:r>
          </w:p>
        </w:tc>
        <w:tc>
          <w:tcPr>
            <w:tcW w:type="dxa" w:w="1318"/>
          </w:tcPr>
          <w:p>
            <w:pPr>
              <w:pStyle w:val="Compact"/>
              <w:spacing w:before="20" w:after="20" w:line="240" w:lineRule="auto"/>
              <w:jc w:val="center"/>
              <w:keepNext/>
            </w:pPr>
            <w:r>
              <w:rPr>
                <w:sz w:val="13"/>
                <w:szCs w:val="13"/>
              </w:rPr>
              <w:t xml:space="preserve">1.342 (0.272)</w:t>
            </w:r>
          </w:p>
        </w:tc>
        <w:tc>
          <w:tcPr>
            <w:tcW w:type="dxa" w:w="1318"/>
          </w:tcPr>
          <w:p>
            <w:pPr>
              <w:pStyle w:val="Compact"/>
              <w:spacing w:before="20" w:after="20" w:line="240" w:lineRule="auto"/>
              <w:jc w:val="center"/>
              <w:keepNext/>
            </w:pPr>
            <w:r>
              <w:rPr>
                <w:sz w:val="13"/>
                <w:szCs w:val="13"/>
              </w:rPr>
              <w:t xml:space="preserve">0.938 (0.169)</w:t>
            </w:r>
          </w:p>
        </w:tc>
        <w:tc>
          <w:tcPr>
            <w:tcW w:type="dxa" w:w="1318"/>
          </w:tcPr>
          <w:p>
            <w:pPr>
              <w:pStyle w:val="Compact"/>
              <w:spacing w:before="20" w:after="20" w:line="240" w:lineRule="auto"/>
              <w:jc w:val="center"/>
              <w:keepNext/>
            </w:pPr>
            <w:r>
              <w:rPr>
                <w:sz w:val="13"/>
                <w:szCs w:val="13"/>
              </w:rPr>
              <w:t xml:space="preserve">0.701 (0.652)</w:t>
            </w:r>
          </w:p>
        </w:tc>
        <w:tc>
          <w:tcPr>
            <w:tcW w:type="dxa" w:w="1318"/>
          </w:tcPr>
          <w:p>
            <w:pPr>
              <w:pStyle w:val="Compact"/>
              <w:spacing w:before="20" w:after="20" w:line="240" w:lineRule="auto"/>
              <w:jc w:val="center"/>
              <w:keepNext/>
            </w:pPr>
            <w:r>
              <w:rPr>
                <w:sz w:val="13"/>
                <w:szCs w:val="13"/>
              </w:rPr>
              <w:t xml:space="preserve">1.106 (0.181)</w:t>
            </w:r>
          </w:p>
        </w:tc>
        <w:tc>
          <w:tcPr>
            <w:tcW w:type="dxa" w:w="1318"/>
          </w:tcPr>
          <w:p>
            <w:pPr>
              <w:pStyle w:val="Compact"/>
              <w:spacing w:before="20" w:after="20" w:line="240" w:lineRule="auto"/>
              <w:jc w:val="center"/>
              <w:keepNext/>
            </w:pPr>
            <w:r>
              <w:rPr>
                <w:sz w:val="13"/>
                <w:szCs w:val="13"/>
              </w:rPr>
              <w:t xml:space="preserve">0.716 (0.204)</w:t>
            </w:r>
          </w:p>
        </w:tc>
      </w:tr>
      <w:tr>
        <w:trPr>
          <w:cantSplit/>
        </w:trPr>
        <w:tc>
          <w:tcPr>
            <w:tcW w:type="dxa" w:w="1160"/>
          </w:tcPr>
          <w:p>
            <w:pPr>
              <w:pStyle w:val="Compact"/>
              <w:spacing w:before="20" w:after="20" w:line="240" w:lineRule="auto"/>
              <w:keepNext/>
            </w:pPr>
            <w:r>
              <w:rPr>
                <w:sz w:val="13"/>
                <w:szCs w:val="13"/>
              </w:rPr>
              <w:t xml:space="preserve">N</w:t>
            </w:r>
          </w:p>
        </w:tc>
        <w:tc>
          <w:tcPr>
            <w:tcW w:type="dxa" w:w="1318"/>
          </w:tcPr>
          <w:p>
            <w:pPr>
              <w:pStyle w:val="Compact"/>
              <w:spacing w:before="20" w:after="20" w:line="240" w:lineRule="auto"/>
              <w:jc w:val="center"/>
              <w:keepNext/>
            </w:pPr>
            <w:r>
              <w:rPr>
                <w:sz w:val="13"/>
                <w:szCs w:val="13"/>
              </w:rPr>
              <w:t xml:space="preserve">928</w:t>
            </w:r>
          </w:p>
        </w:tc>
        <w:tc>
          <w:tcPr>
            <w:tcW w:type="dxa" w:w="1318"/>
          </w:tcPr>
          <w:p>
            <w:pPr>
              <w:pStyle w:val="Compact"/>
              <w:spacing w:before="20" w:after="20" w:line="240" w:lineRule="auto"/>
              <w:jc w:val="center"/>
              <w:keepNext/>
            </w:pPr>
            <w:r>
              <w:rPr>
                <w:sz w:val="13"/>
                <w:szCs w:val="13"/>
              </w:rPr>
              <w:t xml:space="preserve">473</w:t>
            </w:r>
          </w:p>
        </w:tc>
        <w:tc>
          <w:tcPr>
            <w:tcW w:type="dxa" w:w="1318"/>
          </w:tcPr>
          <w:p>
            <w:pPr>
              <w:pStyle w:val="Compact"/>
              <w:spacing w:before="20" w:after="20" w:line="240" w:lineRule="auto"/>
              <w:jc w:val="center"/>
              <w:keepNext/>
            </w:pPr>
            <w:r>
              <w:rPr>
                <w:sz w:val="13"/>
                <w:szCs w:val="13"/>
              </w:rPr>
              <w:t xml:space="preserve">860</w:t>
            </w:r>
          </w:p>
        </w:tc>
        <w:tc>
          <w:tcPr>
            <w:tcW w:type="dxa" w:w="1318"/>
          </w:tcPr>
          <w:p>
            <w:pPr>
              <w:pStyle w:val="Compact"/>
              <w:spacing w:before="20" w:after="20" w:line="240" w:lineRule="auto"/>
              <w:jc w:val="center"/>
              <w:keepNext/>
            </w:pPr>
            <w:r>
              <w:rPr>
                <w:sz w:val="13"/>
                <w:szCs w:val="13"/>
              </w:rPr>
              <w:t xml:space="preserve">467</w:t>
            </w:r>
          </w:p>
        </w:tc>
        <w:tc>
          <w:tcPr>
            <w:tcW w:type="dxa" w:w="1318"/>
          </w:tcPr>
          <w:p>
            <w:pPr>
              <w:pStyle w:val="Compact"/>
              <w:spacing w:before="20" w:after="20" w:line="240" w:lineRule="auto"/>
              <w:jc w:val="center"/>
              <w:keepNext/>
            </w:pPr>
            <w:r>
              <w:rPr>
                <w:sz w:val="13"/>
                <w:szCs w:val="13"/>
              </w:rPr>
              <w:t xml:space="preserve">753</w:t>
            </w:r>
          </w:p>
        </w:tc>
        <w:tc>
          <w:tcPr>
            <w:tcW w:type="dxa" w:w="1318"/>
          </w:tcPr>
          <w:p>
            <w:pPr>
              <w:pStyle w:val="Compact"/>
              <w:spacing w:before="20" w:after="20" w:line="240" w:lineRule="auto"/>
              <w:jc w:val="center"/>
              <w:keepNext/>
            </w:pPr>
            <w:r>
              <w:rPr>
                <w:sz w:val="13"/>
                <w:szCs w:val="13"/>
              </w:rPr>
              <w:t xml:space="preserve">830</w:t>
            </w:r>
          </w:p>
        </w:tc>
      </w:tr>
    </w:tbl>
    <w:p>
      <w:pPr>
        <w:pStyle w:val="BodyText"/>
      </w:pPr>
      <w:r>
        <w:rPr>
          <w:b/>
          <w:bCs/>
        </w:rPr>
        <w:t xml:space="preserve">무관 대안의 독립성(IIA).</w:t>
      </w:r>
      <w:r>
        <w:t xml:space="preserve"> </w:t>
      </w:r>
      <w:r>
        <w:t xml:space="preserve">다항 로짓의 IIA 가정을 간접 점검하기 위해 공정 단독형을 제외한 표본(N = 763)에서 통합형 대 조립 단독형을 이항 로짓으로 추정하면 기술범위 OR 1.463, 출원연도 0.987, 중국 출원청 1.177로, 다항 로짓 통합형 방정식의 값(1.403, 0.993, 1.205)과 거의 같다. 세 번째 대안의 존재가 통합형 방정식의 추정을 왜곡한다는 징후는 없다.</w:t>
      </w:r>
    </w:p>
    <w:p>
      <w:pPr>
        <w:pStyle w:val="BodyText"/>
      </w:pPr>
      <w:r>
        <w:t xml:space="preserve">2010년 이후 표본에서 출원연도의 IRR이 1보다 작아지는 것은 본문 제5.1절에서 언급한 대로다. 2010년 이후 표본의 일본 계수(IRR 1.577)는 기술범위가 21인 같은 제목의 출원 4건에 좌우되며, 이 4건을 빼면 1.057(p = 0.75)이 된다.</w:t>
      </w:r>
    </w:p>
    <w:bookmarkEnd w:id="54"/>
    <w:bookmarkStart w:id="55" w:name="부록-c.-검색어의-무관한-용법"/>
    <w:p>
      <w:pPr>
        <w:pStyle w:val="Heading3"/>
      </w:pPr>
      <w:r>
        <w:t xml:space="preserve">부록 C. 검색어의 무관한 용법</w:t>
      </w:r>
    </w:p>
    <w:p>
      <w:pPr>
        <w:pStyle w:val="FirstParagraph"/>
      </w:pPr>
      <w:r>
        <w:t xml:space="preserve">키워드 필터의</w:t>
      </w:r>
      <w:r>
        <w:t xml:space="preserve"> </w:t>
      </w:r>
      <w:r>
        <w:rPr>
          <w:i/>
          <w:iCs/>
        </w:rPr>
        <w:t xml:space="preserve">direct bonding</w:t>
      </w:r>
      <w:r>
        <w:t xml:space="preserve">은 하이브리드 본딩과 무관한 뜻으로도 쓰인다. 제목에 다음 용어가 들어 있는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뜻). 해당 출원은 68건이며 표 C1에 분포를 보인다. 2010년 이전 출원 가운데 무관 용법을 뺀 뒤 남는 출원의 상당수는 실리콘 웨이퍼 직접 접합(SOI 웨이퍼 제조 등) 출원으로, 하이브리드 본딩의 유전체 접합을 이루는 전구 기술이므로 표본에 남겼다. 68건의 제목 목록은 저자에게 요청하면 제공한다.</w:t>
      </w:r>
    </w:p>
    <w:p>
      <w:pPr>
        <w:pStyle w:val="BodyText"/>
      </w:pPr>
      <w:r>
        <w:rPr>
          <w:b/>
          <w:bCs/>
        </w:rPr>
        <w:t xml:space="preserve">표 C1.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출원청: 미국</w:t>
            </w:r>
          </w:p>
        </w:tc>
        <w:tc>
          <w:tcPr>
            <w:tcW w:type="dxa" w:w="1727"/>
          </w:tcPr>
          <w:p>
            <w:pPr>
              <w:pStyle w:val="Compact"/>
              <w:spacing w:before="20" w:after="20" w:line="240" w:lineRule="auto"/>
              <w:jc w:val="right"/>
              <w:keepNext/>
            </w:pPr>
            <w:r>
              <w:rPr>
                <w:sz w:val="18"/>
                <w:szCs w:val="18"/>
              </w:rPr>
              <w:t xml:space="preserve">35</w:t>
            </w:r>
          </w:p>
        </w:tc>
      </w:tr>
      <w:tr>
        <w:trPr>
          <w:cantSplit/>
        </w:trPr>
        <w:tc>
          <w:tcPr>
            <w:tcW w:type="dxa" w:w="7342"/>
          </w:tcPr>
          <w:p>
            <w:pPr>
              <w:pStyle w:val="Compact"/>
              <w:spacing w:before="20" w:after="20" w:line="240" w:lineRule="auto"/>
              <w:keepNext/>
            </w:pPr>
            <w:r>
              <w:rPr>
                <w:sz w:val="18"/>
                <w:szCs w:val="18"/>
              </w:rPr>
              <w:t xml:space="preserve">출원청: 중국</w:t>
            </w:r>
          </w:p>
        </w:tc>
        <w:tc>
          <w:tcPr>
            <w:tcW w:type="dxa" w:w="1727"/>
          </w:tcPr>
          <w:p>
            <w:pPr>
              <w:pStyle w:val="Compact"/>
              <w:spacing w:before="20" w:after="20" w:line="240" w:lineRule="auto"/>
              <w:jc w:val="right"/>
              <w:keepNext/>
            </w:pPr>
            <w:r>
              <w:rPr>
                <w:sz w:val="18"/>
                <w:szCs w:val="18"/>
              </w:rPr>
              <w:t xml:space="preserve">11</w:t>
            </w:r>
          </w:p>
        </w:tc>
      </w:tr>
      <w:tr>
        <w:trPr>
          <w:cantSplit/>
        </w:trPr>
        <w:tc>
          <w:tcPr>
            <w:tcW w:type="dxa" w:w="7342"/>
          </w:tcPr>
          <w:p>
            <w:pPr>
              <w:pStyle w:val="Compact"/>
              <w:spacing w:before="20" w:after="20" w:line="240" w:lineRule="auto"/>
              <w:keepNext/>
            </w:pPr>
            <w:r>
              <w:rPr>
                <w:sz w:val="18"/>
                <w:szCs w:val="18"/>
              </w:rPr>
              <w:t xml:space="preserve">출원청: 일본</w:t>
            </w:r>
          </w:p>
        </w:tc>
        <w:tc>
          <w:tcPr>
            <w:tcW w:type="dxa" w:w="1727"/>
          </w:tcPr>
          <w:p>
            <w:pPr>
              <w:pStyle w:val="Compact"/>
              <w:spacing w:before="20" w:after="20" w:line="240" w:lineRule="auto"/>
              <w:jc w:val="right"/>
              <w:keepNext/>
            </w:pPr>
            <w:r>
              <w:rPr>
                <w:sz w:val="18"/>
                <w:szCs w:val="18"/>
              </w:rPr>
              <w:t xml:space="preserve">7</w:t>
            </w:r>
          </w:p>
        </w:tc>
      </w:tr>
      <w:tr>
        <w:trPr>
          <w:cantSplit/>
        </w:trPr>
        <w:tc>
          <w:tcPr>
            <w:tcW w:type="dxa" w:w="7342"/>
          </w:tcPr>
          <w:p>
            <w:pPr>
              <w:pStyle w:val="Compact"/>
              <w:spacing w:before="20" w:after="20" w:line="240" w:lineRule="auto"/>
              <w:keepNext/>
            </w:pPr>
            <w:r>
              <w:rPr>
                <w:sz w:val="18"/>
                <w:szCs w:val="18"/>
              </w:rPr>
              <w:t xml:space="preserve">출원청: EPO</w:t>
            </w:r>
          </w:p>
        </w:tc>
        <w:tc>
          <w:tcPr>
            <w:tcW w:type="dxa" w:w="1727"/>
          </w:tcPr>
          <w:p>
            <w:pPr>
              <w:pStyle w:val="Compact"/>
              <w:spacing w:before="20" w:after="20" w:line="240" w:lineRule="auto"/>
              <w:jc w:val="right"/>
              <w:keepNext/>
            </w:pPr>
            <w:r>
              <w:rPr>
                <w:sz w:val="18"/>
                <w:szCs w:val="18"/>
              </w:rPr>
              <w:t xml:space="preserve">7</w:t>
            </w:r>
          </w:p>
        </w:tc>
      </w:tr>
      <w:tr>
        <w:trPr>
          <w:cantSplit/>
        </w:trPr>
        <w:tc>
          <w:tcPr>
            <w:tcW w:type="dxa" w:w="7342"/>
          </w:tcPr>
          <w:p>
            <w:pPr>
              <w:pStyle w:val="Compact"/>
              <w:spacing w:before="20" w:after="20" w:line="240" w:lineRule="auto"/>
              <w:keepNext/>
            </w:pPr>
            <w:r>
              <w:rPr>
                <w:sz w:val="18"/>
                <w:szCs w:val="18"/>
              </w:rPr>
              <w:t xml:space="preserve">출원청: PCT</w:t>
            </w:r>
          </w:p>
        </w:tc>
        <w:tc>
          <w:tcPr>
            <w:tcW w:type="dxa" w:w="1727"/>
          </w:tcPr>
          <w:p>
            <w:pPr>
              <w:pStyle w:val="Compact"/>
              <w:spacing w:before="20" w:after="20" w:line="240" w:lineRule="auto"/>
              <w:jc w:val="right"/>
              <w:keepNext/>
            </w:pPr>
            <w:r>
              <w:rPr>
                <w:sz w:val="18"/>
                <w:szCs w:val="18"/>
              </w:rPr>
              <w:t xml:space="preserve">5</w:t>
            </w:r>
          </w:p>
        </w:tc>
      </w:tr>
      <w:tr>
        <w:trPr>
          <w:cantSplit/>
        </w:trPr>
        <w:tc>
          <w:tcPr>
            <w:tcW w:type="dxa" w:w="7342"/>
          </w:tcPr>
          <w:p>
            <w:pPr>
              <w:pStyle w:val="Compact"/>
              <w:spacing w:before="20" w:after="20" w:line="240" w:lineRule="auto"/>
              <w:keepNext/>
            </w:pPr>
            <w:r>
              <w:rPr>
                <w:sz w:val="18"/>
                <w:szCs w:val="18"/>
              </w:rPr>
              <w:t xml:space="preserve">출원청: 한국</w:t>
            </w:r>
          </w:p>
        </w:tc>
        <w:tc>
          <w:tcPr>
            <w:tcW w:type="dxa" w:w="1727"/>
          </w:tcPr>
          <w:p>
            <w:pPr>
              <w:pStyle w:val="Compact"/>
              <w:spacing w:before="20" w:after="20" w:line="240" w:lineRule="auto"/>
              <w:jc w:val="right"/>
              <w:keepNext/>
            </w:pPr>
            <w:r>
              <w:rPr>
                <w:sz w:val="18"/>
                <w:szCs w:val="18"/>
              </w:rPr>
              <w:t xml:space="preserve">2</w:t>
            </w:r>
          </w:p>
        </w:tc>
      </w:tr>
      <w:tr>
        <w:trPr>
          <w:cantSplit/>
        </w:trPr>
        <w:tc>
          <w:tcPr>
            <w:tcW w:type="dxa" w:w="7342"/>
          </w:tcPr>
          <w:p>
            <w:pPr>
              <w:pStyle w:val="Compact"/>
              <w:spacing w:before="20" w:after="20" w:line="240" w:lineRule="auto"/>
              <w:keepNext/>
            </w:pPr>
            <w:r>
              <w:rPr>
                <w:sz w:val="18"/>
                <w:szCs w:val="18"/>
              </w:rPr>
              <w:t xml:space="preserve">출원청: 대만</w:t>
            </w:r>
          </w:p>
        </w:tc>
        <w:tc>
          <w:tcPr>
            <w:tcW w:type="dxa" w:w="1727"/>
          </w:tcPr>
          <w:p>
            <w:pPr>
              <w:pStyle w:val="Compact"/>
              <w:spacing w:before="20" w:after="20" w:line="240" w:lineRule="auto"/>
              <w:jc w:val="right"/>
              <w:keepNext/>
            </w:pPr>
            <w:r>
              <w:rPr>
                <w:sz w:val="18"/>
                <w:szCs w:val="18"/>
              </w:rPr>
              <w:t xml:space="preserve">1</w:t>
            </w:r>
          </w:p>
        </w:tc>
      </w:tr>
      <w:tr>
        <w:trPr>
          <w:cantSplit/>
        </w:trPr>
        <w:tc>
          <w:tcPr>
            <w:tcW w:type="dxa" w:w="7342"/>
          </w:tcPr>
          <w:p>
            <w:pPr>
              <w:pStyle w:val="Compact"/>
              <w:spacing w:before="20" w:after="20" w:line="240" w:lineRule="auto"/>
              <w:keepNext/>
            </w:pPr>
            <w:r>
              <w:rPr>
                <w:sz w:val="18"/>
                <w:szCs w:val="18"/>
              </w:rPr>
              <w:t xml:space="preserve">출원청: 기타</w:t>
            </w:r>
          </w:p>
        </w:tc>
        <w:tc>
          <w:tcPr>
            <w:tcW w:type="dxa" w:w="1727"/>
          </w:tcPr>
          <w:p>
            <w:pPr>
              <w:pStyle w:val="Compact"/>
              <w:spacing w:before="20" w:after="20" w:line="240" w:lineRule="auto"/>
              <w:jc w:val="right"/>
              <w:keepNext/>
            </w:pPr>
            <w:r>
              <w:rPr>
                <w:sz w:val="18"/>
                <w:szCs w:val="18"/>
              </w:rPr>
              <w:t xml:space="preserve">0</w:t>
            </w:r>
          </w:p>
        </w:tc>
      </w:tr>
      <w:tr>
        <w:trPr>
          <w:cantSplit/>
        </w:trPr>
        <w:tc>
          <w:tcPr>
            <w:tcW w:type="dxa" w:w="7342"/>
          </w:tcPr>
          <w:p>
            <w:pPr>
              <w:pStyle w:val="Compact"/>
              <w:spacing w:before="20" w:after="20" w:line="240" w:lineRule="auto"/>
              <w:keepNext/>
            </w:pPr>
            <w:r>
              <w:rPr>
                <w:sz w:val="18"/>
                <w:szCs w:val="18"/>
              </w:rPr>
              <w:t xml:space="preserve">유형: 조립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5"/>
    <w:bookmarkEnd w:id="56"/>
    <w:bookmarkEnd w:id="57"/>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image" Target="media/rId23.png"/><Relationship Id="rId29" Type="http://schemas.openxmlformats.org/officeDocument/2006/relationships/image" Target="media/rId29.png"/><Relationship Id="rId37" Type="http://schemas.openxmlformats.org/officeDocument/2006/relationships/image" Target="media/rId37.png"/><Relationship Id="rId40" Type="http://schemas.openxmlformats.org/officeDocument/2006/relationships/image" Target="media/rId40.png"/><Relationship Id="rId17" Type="http://schemas.openxmlformats.org/officeDocument/2006/relationships/image" Target="media/rId17.png"/><Relationship Id="rId34" Type="http://schemas.openxmlformats.org/officeDocument/2006/relationships/image" Target="media/rId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2026-09-25T00:13:39Z</dcterms:created>
  <dcterms:modified xsi:type="dcterms:W3CDTF">2026-09-25T00:13:39Z</dcterms:modified>
</cp:coreProperties>
</file>

<file path=docProps/custom.xml><?xml version="1.0" encoding="utf-8"?>
<Properties xmlns="http://schemas.openxmlformats.org/officeDocument/2006/custom-properties" xmlns:vt="http://schemas.openxmlformats.org/officeDocument/2006/docPropsVTypes"/>
</file>