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제조공정 기술에 달려 있다. 본 연구는 두 영역의 기술이 하나의 특허 안에 함께 담기고 있는지, 그리고 어떤 특허가 그러한지를 묻는다. 유럽특허청 PATSTAT에서 하이브리드 본딩 관련 특허출원 928건을 추출하고, 각 출원에 부여된 CPC 분류를 기준으로 접합 기술(H01L24)의 기호만 있는 조립 단독형, 제조공정 기술(H01L21)의 기호만 있는 공정 단독형, 두 기호가 함께 부여된 통합형으로 나누었다. 두 클래스의 공동분류는 제조공정과 접합 영역 사이의 경계 넘기를 포착하는 특허 기반 대리측정치다. 통합형은 45.8%로 가장 많았고, 조립 단계 공정을 제외한 좁은 정의에서도 37.2%였다. 회귀분석 결과는 세 가지로 요약된다. 첫째, 두 클래스 안에서 더 다양한 세부 기술을 포함하는 출원일수록 통합형일 가능성이 높다(조립 단독형 대비 상대위험비 1.40). 두 변수가 같은 CPC 정보에서 만들어지므로 이는 통합형 특허의 구성적 특징으로 해석한다. 둘째, 최근 출원일수록 공정 단독형의 상대적 가능성은 낮다(2014년 이전 43.6%에서 2020–2024년 10.4%). 셋째, 중국 출원청 출원은 미국 출원청 출원보다 기술범위가 좁았으며, 이 결과는 표본을 바꾸어도 유지된다. 반면 공정 단독형 편중은 최근 출원에 민감한 제한적 결과다.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fabrication-process capabilities that have belonged to the front end, such as surface planarisation and surface treatment. This paper asks whether the technologies of the two domains are being combined within single patents, and which patents do so. We extract 928 hybrid-bonding-related patent applications from EPO PATSTAT and, using their CPC symbols, classify each application as assembly-only (bonding technology, H01L24, only), process-only (fabrication-process technology, H01L21, only) or integrated (both). Co-classification in the two classes serves as a patent-based proxy for boundary spanning between the fabrication-process and bonding domains. Integrated applications are the largest group (45.8%; 37.2% under a narrower definition that excludes assembly-stage processes). Regression results show three things. First, applications covering more diverse technical elements within the two classes are more likely to be integrated (relative-risk ratio 1.40 against assembly-only); because both variables are built from the same CPC information, we read this as a compositional feature of integrated patents. Second, the relative likelihood of process-only classification is lower for more recent filings (from 43.6% before 2015 to 10.4% in 2020–2024). Third, applications filed at the Chinese office are narrower in scope than those filed at the US office, a result that survives every change of sample, whereas their tilt towards process-only classification is sensitive to the most recent filings and remains limited evidence.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제조공정 역량에 달려 있기 때문이다. 기술적 상호의존이 커지면서 선도 파운드리가 첨단 패키징 역량을 내부에 갖추는 움직임도 나타났다(Lau, 2022; KnowMade, 2024).</w:t>
      </w:r>
    </w:p>
    <w:p>
      <w:pPr>
        <w:pStyle w:val="BodyText"/>
      </w:pPr>
      <w:r>
        <w:t xml:space="preserve">본 연구는 이러한 경계의 흐려짐을 개별 특허 수준에서 관찰할 수 있는지를 묻는다. 출발점은 서로 다른 기술 영역이 겹치고 결합하는 과정을 다룬 기술융합 문헌이다(Rosenberg, 1963; Kodama, 1992; Curran and Leker, 2011; Sick and Bröring, 2022). 이 문헌의 실증 연구는 주로 정보통신과 가전(Hacklin et al., 2009), 식품과 제약(Bröring et al., 2006), 나노기술과 바이오기술(No and Park, 2010)처럼 서로 다른 산업이나 기술 분야가 겹치는 경우에 초점을 두어 왔다. 한 산업 안에서 가치사슬의 단계를 가로지르는 융합은 드물게만 다루어졌다. 가치사슬 상·하류 기업 간의 특허 인용을 분석한 Karvonen과 Kässi(2012)가 가장 가까운 선례이지만, 이 연구도 하나의 기술이 공정 단계의 경계를 넘는지를 특허 단위에서 검정하지는 않았다. 그러나 누가 무엇을 만들고 누가 가치를 가져가는가를 정하는 산업 아키텍처(Jacobides et al., 2006)에 압력을 가하는 것은 바로 이런 융합이다.</w:t>
      </w:r>
    </w:p>
    <w:p>
      <w:pPr>
        <w:pStyle w:val="BodyText"/>
      </w:pPr>
      <w:r>
        <w:t xml:space="preserve">이를 위해 유럽특허청(EPO)의 PATSTAT에서 하이브리드 본딩 관련 특허출원 928건을 추출하고, 각 출원에 부여된 협력적 특허분류(CPC) 기호를 이용한다. 접합·인터커넥트 기술(H01L24)과 반도체 제조공정 기술(H01L21)의 기호가 한 출원에 함께 부여된 특허를 통합형, 곧 경계를 넘는 특허로 정의하고, 접합 기호만 있는 조립 단독형, 제조공정 기호만 있는 공정 단독형과 구분한다. 공동분류는 융합을 포착하는 표준적인 특허 지표이며(Curran and Leker, 2011; Kwon et al., 2020), 본 연구의 새로움은 이를 두 산업 사이가 아니라 한 산업을 가로지르는 경계에 적용하고, 분야 수준의 지수가 아니라 개별 특허의 유형으로 재구성한다는 데 있다. 연구 질문은 세 가지다. 첫째, 하이브리드 본딩 특허에서 제조공정과 접합 기술의 공동분류는 얼마나 일반적이며 시간에 따라 어떻게 변했는가. 둘째, 어떤 특허 특성이 공동분류 유형과 관련되는가. 셋째, 이러한 유형과 기술범위는 출원청별로 어떻게 다른가.</w:t>
      </w:r>
    </w:p>
    <w:p>
      <w:pPr>
        <w:pStyle w:val="BodyText"/>
      </w:pPr>
      <w:r>
        <w:t xml:space="preserve">분석 결과, 통합형은 출원의 45.8%로 가장 많고 좁은 정의에서도 37.2%에 이르며, 더 다양한 세부 기술을 포함하는 출원일수록 통합형이고, 최근 출원일수록 공정 단독형이 드물며, 중국 출원청 출원은 기술범위가 좁다. 본 연구의 기여는 세 가지다. 개념적으로는 융합 이론을 산업 간 사례에서 산업 내 공정 단계 간 사례로 넓히고, 이를 반도체 산업 아키텍처 문헌(Langlois and Steinmueller, 1999; Kapoor and Adner, 2012; Kapoor, 2013)과 연결한다. 방법론적으로는 새로운 융합지수를 제안하는 대신 공동분류를 개별 특허의 유형으로 재구성하여, 분야 수준 지수가 평균해 버리는 특허 간 이질성과 그 관련 요인을 추정할 수 있게 한다. 이 설계는 두 개의 CPC 클래스와 하나의 분류 규칙, 표준 추정량만으로 이루어져 있어,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본딩이 바로 이런 기술이다.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al.(2010)의 단계 모형에서 기술의 융합은 산업의 융합에 앞선다. 본 연구가 특허에서 관찰하는 것은 이 앞선 단계, 즉 기업의 조직적 결정 이전 또는 이면에서 진행되는 기술의 결합이다. 따라서 산업 아키텍처는 본 연구에서 직접 검정하는 결과변수가 아니라 결과를 해석하는 상위의 이론적 맥락이며, 수직통합은 직접 측정하지 않는 후속 현상이다.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가지 공동분류 유형으로 나눈다. 접합·인터커넥트 기호(H01L24)만 부여된 조립 단독형, 제조공정 기호(H01L21)만 부여된 공정 단독형, 두 기호가 함께 부여된 통합형이다. 통합형이 경계를 넘는 특허다. 이 구분은 특허 하나하나에 대해 정의되므로 표준 이산선택 모형으로 분석할 수 있고, 집계 지수가 평균해 버리는 특허 간 차이를 보존한다. 다만 CPC 기호는 심사관이 발명의 기술 내용에 부여하는 것이므로, 공동분류는 두 영역의 기술이 한 발명에 함께 담겼다는 사실의 대리측정치이지 법적 청구범위의 측정치가 아니다. 이 점은 제4.2절에서 다시 정리한다.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본 연구의 기술범위는 이 전통을 따르되 두 클래스 안의 세부 분류 수로 한정한 측정치다.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2015)은 기술이 발전하면서 융합의 형태가 바뀐다고 본다. 하이브리드 본딩의 초기 발명은 표면 준비, 저온 어닐링, 평탄화처럼 직접 접합을 가능하게 한 공정 단계에 관한 것이어서 공정 발명으로 분류되었다. 적용 범위가 이미지센서와 3D NAND의 웨이퍼 단위 접합에서 고대역폭 메모리와 로직을 위한 다이 단위 접합으로 넓어지면서, 발명의 중심은 접합된 구조와 적층으로 이동했다(Lau, 2021). 출원연도에는 기술의 발전만이 아니라 분류 체계와 심사 관행, 출원인 구성, 최근 출원의 공개 시차도 함께 반영되므로, 본 연구는 연도 효과를 기술 성숙의 효과가 아니라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 두 예상은 서로 다른 모형으로 검정되므로 나누어 세운다.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따라서 표본은 하이브리드 본딩 특허 전체가 아니라 이 검색식으로 식별된 관련 출원이며, 제목에 관련어가 없는 출원은 포함되지 않는다. 추출 단계에서 두 클래스 밖의 기호는 보존되지 않았으므로, 모든 기호는 H01L21 계열(202개)과 H01L24 계열(60개)의 세부 분류(서브그룹) 262개로 이루어진다.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본 연구의 이론적 개념은 공정 단계 사이의 기술융합이고, 관찰하는 현상은 제조공정 기술과 접합·인터커넥트 기술이 한 출원에 함께 담기는 것이며, 조작적 지표는 H01L21과 H01L24의 공동분류다(표 2). 본 연구는 H01L21을 전공정 그 자체로, H01L24를 후공정 그 자체로 간주하지 않는다. H01L21에는 웨이퍼 제조공정 외에 조립 단계의 제조공정(패키지 부품 제조, 실장·봉지, 리드 부착, 다이싱)과 공정 장치도 들어 있고, H01L24는 조직적 의미의 후공정 산업 경계를 직접 나타내지 않는다. 다만 하이브리드 본딩의 성능을 좌우하는 웨이퍼 준비, 표면 처리, 평탄화 및 관련 제조공정이 H01L21에 다수 포함되고 접합·인터커넥트 기술은 H01L24에 모여 있으므로, 두 클래스의 공동분류를 제조공정 영역과 접합 영역 사이의 기술적 경계 넘기를 포착하는 대리측정치로 사용한다. 표본의 H01L21 계열 기호 1,636건 가운데 웨이퍼 제조공정이 905건(55.3%), 공정 장치가 328건(20.0%), 조립 단계 공정이 403건(24.6%)이다. 조립 단계 공정을 제조공정으로 세지 않는 좁은 정의로 다시 추정한 결과는 제5.4절에 보고하며, 회귀분석의 결론은 달라지지 않는다.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특허가 걸치는 세부 기술의 다양성을 뜻하며 반도체 밖의 분야로 뻗는 정도나 법적 청구범위는 재지 않는다. 공동분류 유형(tech_cat)은 각 출원을 조립 단독형(H01L24 기호만), 통합형(둘 다), 공정 단독형(H01L21 기호만)으로 나누며, 통합형이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수(클래스 내 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1(제조공정 분류),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또는 출원 경로: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제조공정 기호를 가진 출원은 590건(63.6%)이다.</w:t>
      </w:r>
    </w:p>
    <w:p>
      <w:pPr>
        <w:pStyle w:val="BodyText"/>
        <w:keepNext/>
      </w:pPr>
      <w:r>
        <w:drawing>
          <wp:inline>
            <wp:extent cx="5334000" cy="2844799"/>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감소는 공개 시차 때문이다.</w:t>
      </w:r>
    </w:p>
    <w:p>
      <w:pPr>
        <w:pStyle w:val="BodyText"/>
      </w:pPr>
      <w:r>
        <w:t xml:space="preserve">표 4는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기준 모형은 이용 가능한 전체 출원을 쓴다는 원칙에 따라 2024년까지 포함하되, 2023–2024년 출원은 공개와 분류가 완결되지 않았을 수 있으므로 이 두 해를 제외한 결과를 가설 판정에 함께 반영한다.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가정하므로 한 대안을 제외한 표본으로 결과가 달라지는지 확인하고(부록 B),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5"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작다(연간 OR 0.946, p &lt; 0.01). 접합 구조 발명이 분야의 주류가 되면서 제조공정 기호를 가진 출원의 비중이 줄어든 것이다.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이 모형은 제조공정 기호의 유무만을 묻는다. 경계를 넘는 통합형과 제조공정 기호만 있는 공정 단독형을 가르는 것은 다음 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133599"/>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시기별 분포.</w:t>
      </w:r>
      <w:r>
        <w:t xml:space="preserve"> </w:t>
      </w:r>
      <w:r>
        <w:t xml:space="preserve">선형 연도 추세는 통합형 비중의 오르내림을 가린다. 표 8과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시기별 공동분류 유형 분포(N = 928; 괄호 안은 행 비중).</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시기별 공동분류 유형 비중(N = 928).</w:t>
      </w:r>
    </w:p>
    <w:bookmarkEnd w:id="43"/>
    <w:bookmarkStart w:id="44" w:name="가설-판정과-강건성"/>
    <w:p>
      <w:pPr>
        <w:pStyle w:val="Heading3"/>
      </w:pPr>
      <w:r>
        <w:t xml:space="preserve">5.4 가설 판정과 강건성</w:t>
      </w:r>
    </w:p>
    <w:p>
      <w:pPr>
        <w:pStyle w:val="FirstParagraph"/>
      </w:pPr>
      <w:r>
        <w:t xml:space="preserve">표 9는 가설 검정 결과를 요약한다. 판정은 기준 모형(표 5·7)과 아래의 재추정 결과(표 10)를 함께 고려하였다. 재추정은 원자료에서 표본과 변수를 바꾸어 다시 추정하는 방식으로 하였고, 전체 계수는 부록 B에 실었다.</w:t>
      </w:r>
    </w:p>
    <w:p>
      <w:pPr>
        <w:pStyle w:val="BodyText"/>
        <w:keepNext/>
      </w:pPr>
      <w:r>
        <w:rPr>
          <w:b/>
          <w:bCs/>
        </w:rPr>
        <w:t xml:space="preserve">표 9.</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1.403***(표 7); 모든 재추정에서 1.295–1.485***(표 10)</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0.913***(표 7); 기간 더미 0.273***/0.101***; 재추정에서 0.820–0.935***(표 10);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0.785***(표 5); 모든 재추정에서 0.785–0.808***(표 10)</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2.687***(표 7); 재추정에서 2.721–7.211***(표 10);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p>
      <w:pPr>
        <w:pStyle w:val="BodyText"/>
        <w:keepNext/>
      </w:pPr>
      <w:r>
        <w:rPr>
          <w:b/>
          <w:bCs/>
        </w:rPr>
        <w:t xml:space="preserve">표 10.</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5·7)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각 클래스의 첫 기호를 뺀 조정 범위의 탐색적 결과는 부록 B에 있다.</w:t>
      </w:r>
    </w:p>
    <w:p>
      <w:pPr>
        <w:pStyle w:val="BodyText"/>
      </w:pPr>
      <w:r>
        <w:rPr>
          <w:b/>
          <w:bCs/>
        </w:rPr>
        <w:t xml:space="preserve">관측치의 독립성.</w:t>
      </w:r>
      <w:r>
        <w:t xml:space="preserve"> </w:t>
      </w:r>
      <w:r>
        <w:t xml:space="preserve">같은 제목의 출원을 한 군집으로 묶은 표준오차에서도 표 10의 네 계수는 모두 1% 수준에서 유지된다. 다만 범위 → 공정 단독형(RRR 0.905)은 p = 0.29로, 일본 → 공정 단독형은 p = 0.06으로 유의성을 잃는다.</w:t>
      </w:r>
    </w:p>
    <w:p>
      <w:pPr>
        <w:pStyle w:val="BodyText"/>
      </w:pPr>
      <w:r>
        <w:rPr>
          <w:b/>
          <w:bCs/>
        </w:rPr>
        <w:t xml:space="preserve">범위의 기계적 부분.</w:t>
      </w:r>
      <w:r>
        <w:t xml:space="preserve"> </w:t>
      </w:r>
      <w:r>
        <w:t xml:space="preserve">통합형은 정의상 두 클래스의 기호를 하나씩은 가지므로 범위가 2 이상이다. 이 최소 기호 수의 차이를 탐색하기 위해 각 보유 클래스의 첫 기호를 뺀 조정 지표로 다시 추정하면 통합형의 RRR은 1.403에서 1.262로 줄지만 정적 연관은 유지된다(부록 B). 그러나 이 지표 역시 유형 정보를 이용해 만들어지므로 기계적 연관을 완전히 제거한 독립적 검정은 아니다. 따라서 이 결과는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End w:id="45"/>
    <w:bookmarkStart w:id="49" w:name="논의"/>
    <w:p>
      <w:pPr>
        <w:pStyle w:val="Heading2"/>
      </w:pPr>
      <w:r>
        <w:t xml:space="preserve">6. 논의</w:t>
      </w:r>
    </w:p>
    <w:bookmarkStart w:id="46"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연구가 보인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차이는 통합형이 아니라 공정 단독형과 기술범위에서 나타났다. 중국 출원청에 진입한 발명 포트폴리오는 범위가 좁고, 특정 제조공정에 집중된 출원이 상대적으로 많다. 이 패턴은 적층 전체를 포괄하기 전에 특정 제조 단계를 먼저 확보하는 추격 단계의 출원 양상과 정합적이며(Lee and Lim, 2001), 중국 특허의 양적 팽창과 보조금 정책에 관한 증거(Hu and Jefferson, 2009; Dang and Motohashi, 2015)와도 일관된다. 그러나 출원청 계수는 관할권의 인과효과가 아니라 각 출원청에 제출된 발명 포트폴리오의 조건부 구성 차이이며, 출원인과 패밀리 정보를 통제하지 못하므로 추격 전략의 직접적인 증거로 볼 수는 없다. 출원청 효과에는 출원인의 국적과 유형, 같은 발명의 해외 출원 여부, 심사 기준과 분류 관행이 함께 섞여 있고, 공정 단독형 편중은 최근 출원 구성에 민감한 제한적 결과다. 확실한 것은 범위와 시점을 통제하면 통합형의 비중 자체는 출원청 간에 다르지 않다는 점이다. 관할권의 흔적은 경계를 넘는 발명이 아니라 한 영역에 머무는 발명에 남는다. 한국과 대만은 범위와 통합형에서 미국과 비슷하며, 이는 미국 출원인과 정면으로 경쟁하는 메모리 제조사와 파운드리의 위치를 생각하면 자연스럽다.</w:t>
      </w:r>
    </w:p>
    <w:bookmarkEnd w:id="46"/>
    <w:bookmarkStart w:id="47" w:name="실무적정책적-함의"/>
    <w:p>
      <w:pPr>
        <w:pStyle w:val="Heading3"/>
      </w:pPr>
      <w:r>
        <w:t xml:space="preserve">6.2 실무적·정책적 함의</w:t>
      </w:r>
    </w:p>
    <w:p>
      <w:pPr>
        <w:pStyle w:val="FirstParagraph"/>
      </w:pPr>
      <w:r>
        <w:t xml:space="preserve">자료가 출원인의 유형을 구분하지 않으므로 실무적 함의는 가능성의 수준에서 제시한다. 후공정 기업에게 결과는 경고에 가깝다. 전통적 조립·테스트 사업은 제조와의 안정된 인터페이스에 기대어 왔으나, 하이브리드 본딩에서 그 인터페이스는 흔들렸고 기술을 정의하는 특허의 다수가 제조공정 기호를 함께 가진다. 독립적 산업 분석이 파운드리, 종합반도체기업, 라이선싱 기업을 특허 활동을 주도하는 출원인으로 꼽는 점(KnowMade, 2024)을 보면, 평탄화와 표면 화학 역량이 없는 조립 전문기업은 통합형 특허를 둘러싼 경쟁에서 불리할 가능성이 크다. 경계 넘기가 기술적 다양성과 관련된다는 결과는 필요한 역량이 하나의 공정 단계가 아니라 웨이퍼 준비에서 접합된 적층까지의 흐름 전체를 하나의 출원에서 포괄하는 능력임을 시사한다. 파운드리와 종합반도체기업에게 첨단 패키징의 내재화는 생산능력의 문제이기에 앞서 Kapoor와 Adner(2012)가 말한 지식 경계의 문제일 수 있다.</w:t>
      </w:r>
    </w:p>
    <w:p>
      <w:pPr>
        <w:pStyle w:val="BodyText"/>
      </w:pPr>
      <w:r>
        <w:t xml:space="preserve">정책에 대해서는 관할권 비교가 시사적이다. 중국 관할권의 프로필은 개별 제조공정 단계를 둘러싼 특허 활동이 그곳에 집중되어 있음을 보여주며, 특허 건수를 보상하는 정책(Dang and Motohashi, 2015)은 이 양상을 강화할 수 있다.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제조공정 역량과 이를 하나의 특허출원에서 통합적으로 보호하는 능력에 달려 있을 수 있다는 점이다.</w:t>
      </w:r>
    </w:p>
    <w:bookmarkEnd w:id="47"/>
    <w:bookmarkStart w:id="48" w:name="한계와-향후-연구"/>
    <w:p>
      <w:pPr>
        <w:pStyle w:val="Heading3"/>
      </w:pPr>
      <w:r>
        <w:t xml:space="preserve">6.3 한계와 향후 연구</w:t>
      </w:r>
    </w:p>
    <w:p>
      <w:pPr>
        <w:pStyle w:val="FirstParagraph"/>
      </w:pPr>
      <w:r>
        <w:t xml:space="preserve">본 연구의 한계는 네 가지다. 첫째, 구성타당성이다. H01L21–H01L24 공동분류는 공정 단계 간 기술융합의 대리측정치이며, H01L21에는 조립 단계의 제조공정도 들어 있다. 좁은 정의로도 회귀 결과는 유지되지만, 통합형의 비중 같은 기술통계는 정의에 따라 달라진다. 전체 CPC 기호를 확보하면 두 클래스 밖의 범위를 따로 재고, 통합형 안에서 두 영역 기호의 균형도 살필 수 있다. 둘째, 본 연구는 출원청 단위로 분석하였고 출원인 정보는 결합하지 않았다. 따라서 중국 출원청의 프로필이 어떤 출원인 집단에서 비롯되는지는 가리지 않으며, PATSTAT의 출원인 국적과 유형, 정식 패밀리 식별자를 결합해 기업 수준에서 확인하는 것이 다음 단계다. 셋째, 추정치는 상관관계다. 다양성과 유형은 함께 결정될 가능성이 높고 적절한 도구변수가 없으므로 인과관계는 주장하지 않으며, 출원연도 효과도 기술 성숙만이 아니라 분류 체계와 공개 시차를 함께 반영한다. 넷째,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8"/>
    <w:bookmarkEnd w:id="49"/>
    <w:bookmarkStart w:id="50"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일어나며, 개별 특허의 공동분류에서 관찰되고, 그와 관련된 특허 특성을 추정할 수 있음을 보였다. 결과는 견고성에 따라 세 층으로 나뉜다. 가장 견고한 결과는 세 가지다. 본 연구의 검색식으로 식별된 하이브리드 본딩 관련 출원에서 제조공정과 접합 기술의 공동분류는 45.8%, 보수적 정의에서도 37.2%로 예외적인 현상이 아니다. 공정 단독형의 상대위험은 표본과 정의를 바꾼 모든 분석에서 최근 출원일수록 낮았다. 중국 출원청 출원은 미국 출원청 출원보다 두 클래스 안의 CPC 범위가 좁았고, 이 차이도 모든 표본에서 유지되었다. 보조 결과는 통합형과 높은 기술적 다양성의 연관, 그리고 통합형 비중이 늘었다가 줄어든 시기별 움직임이며, 전자는 통합형의 구성적 특징으로, 후자는 탐색적 해석으로 제시한다. 제한적 결과는 중국 출원청의 공정 단독형 편중으로, 최근 출원 구성에 민감하다. 출원인과 공식 패밀리 정보가 없는 본 자료에서 출원청별 차이는 관할권의 인과효과가 아니라 각 출원청에 진입한 발명 포트폴리오의 구성 차이로 해석한다. 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0"/>
    <w:bookmarkStart w:id="51"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1"/>
    <w:bookmarkStart w:id="55" w:name="부록"/>
    <w:p>
      <w:pPr>
        <w:pStyle w:val="Heading2"/>
      </w:pPr>
      <w:r>
        <w:t xml:space="preserve">부록</w:t>
      </w:r>
    </w:p>
    <w:bookmarkStart w:id="52"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2"/>
    <w:bookmarkStart w:id="53"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각 클래스의 첫 기호를 뺀 기술범위를,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50"/>
        <w:gridCol w:w="950"/>
        <w:gridCol w:w="950"/>
        <w:gridCol w:w="950"/>
        <w:gridCol w:w="950"/>
        <w:gridCol w:w="1163"/>
        <w:gridCol w:w="1106"/>
        <w:gridCol w:w="95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5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63"/>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50"/>
          </w:tcPr>
          <w:p>
            <w:pPr>
              <w:pStyle w:val="Compact"/>
              <w:spacing w:before="20" w:after="20" w:line="240" w:lineRule="auto"/>
              <w:jc w:val="center"/>
              <w:keepNext/>
            </w:pPr>
            <w:r>
              <w:rPr>
                <w:sz w:val="13"/>
                <w:szCs w:val="13"/>
              </w:rPr>
              <w:t xml:space="preserve">0.993 (0.015)</w:t>
            </w:r>
          </w:p>
        </w:tc>
        <w:tc>
          <w:tcPr>
            <w:tcW w:type="dxa" w:w="950"/>
          </w:tcPr>
          <w:p>
            <w:pPr>
              <w:pStyle w:val="Compact"/>
              <w:spacing w:before="20" w:after="20" w:line="240" w:lineRule="auto"/>
              <w:jc w:val="center"/>
              <w:keepNext/>
            </w:pPr>
            <w:r>
              <w:rPr>
                <w:sz w:val="13"/>
                <w:szCs w:val="13"/>
              </w:rPr>
              <w:t xml:space="preserve">1.002 (0.014)</w:t>
            </w:r>
          </w:p>
        </w:tc>
        <w:tc>
          <w:tcPr>
            <w:tcW w:type="dxa" w:w="950"/>
          </w:tcPr>
          <w:p>
            <w:pPr>
              <w:pStyle w:val="Compact"/>
              <w:spacing w:before="20" w:after="20" w:line="240" w:lineRule="auto"/>
              <w:jc w:val="center"/>
              <w:keepNext/>
            </w:pPr>
            <w:r>
              <w:rPr>
                <w:sz w:val="13"/>
                <w:szCs w:val="13"/>
              </w:rPr>
              <w:t xml:space="preserve">0.997 (0.018)</w:t>
            </w:r>
          </w:p>
        </w:tc>
        <w:tc>
          <w:tcPr>
            <w:tcW w:type="dxa" w:w="950"/>
          </w:tcPr>
          <w:p>
            <w:pPr>
              <w:pStyle w:val="Compact"/>
              <w:spacing w:before="20" w:after="20" w:line="240" w:lineRule="auto"/>
              <w:jc w:val="center"/>
              <w:keepNext/>
            </w:pPr>
            <w:r>
              <w:rPr>
                <w:sz w:val="13"/>
                <w:szCs w:val="13"/>
              </w:rPr>
              <w:t xml:space="preserve">0.967** (0.015)</w:t>
            </w:r>
          </w:p>
        </w:tc>
        <w:tc>
          <w:tcPr>
            <w:tcW w:type="dxa" w:w="950"/>
          </w:tcPr>
          <w:p>
            <w:pPr>
              <w:pStyle w:val="Compact"/>
              <w:spacing w:before="20" w:after="20" w:line="240" w:lineRule="auto"/>
              <w:jc w:val="center"/>
              <w:keepNext/>
            </w:pPr>
            <w:r>
              <w:rPr>
                <w:sz w:val="13"/>
                <w:szCs w:val="13"/>
              </w:rPr>
              <w:t xml:space="preserve">0.949** (0.022)</w:t>
            </w:r>
          </w:p>
        </w:tc>
        <w:tc>
          <w:tcPr>
            <w:tcW w:type="dxa" w:w="1163"/>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5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50"/>
          </w:tcPr>
          <w:p>
            <w:pPr>
              <w:pStyle w:val="Compact"/>
              <w:spacing w:before="20" w:after="20" w:line="240" w:lineRule="auto"/>
              <w:jc w:val="center"/>
              <w:keepNext/>
            </w:pPr>
            <w:r>
              <w:rPr>
                <w:sz w:val="13"/>
                <w:szCs w:val="13"/>
              </w:rPr>
              <w:t xml:space="preserve">1.403*** (0.031)</w:t>
            </w:r>
          </w:p>
        </w:tc>
        <w:tc>
          <w:tcPr>
            <w:tcW w:type="dxa" w:w="950"/>
          </w:tcPr>
          <w:p>
            <w:pPr>
              <w:pStyle w:val="Compact"/>
              <w:spacing w:before="20" w:after="20" w:line="240" w:lineRule="auto"/>
              <w:jc w:val="center"/>
              <w:keepNext/>
            </w:pPr>
            <w:r>
              <w:rPr>
                <w:sz w:val="13"/>
                <w:szCs w:val="13"/>
              </w:rPr>
              <w:t xml:space="preserve">1.262*** (0.027)</w:t>
            </w:r>
          </w:p>
        </w:tc>
        <w:tc>
          <w:tcPr>
            <w:tcW w:type="dxa" w:w="950"/>
          </w:tcPr>
          <w:p>
            <w:pPr>
              <w:pStyle w:val="Compact"/>
              <w:spacing w:before="20" w:after="20" w:line="240" w:lineRule="auto"/>
              <w:jc w:val="center"/>
              <w:keepNext/>
            </w:pPr>
            <w:r>
              <w:rPr>
                <w:sz w:val="13"/>
                <w:szCs w:val="13"/>
              </w:rPr>
              <w:t xml:space="preserve">1.295*** (0.039)</w:t>
            </w:r>
          </w:p>
        </w:tc>
        <w:tc>
          <w:tcPr>
            <w:tcW w:type="dxa" w:w="950"/>
          </w:tcPr>
          <w:p>
            <w:pPr>
              <w:pStyle w:val="Compact"/>
              <w:spacing w:before="20" w:after="20" w:line="240" w:lineRule="auto"/>
              <w:jc w:val="center"/>
              <w:keepNext/>
            </w:pPr>
            <w:r>
              <w:rPr>
                <w:sz w:val="13"/>
                <w:szCs w:val="13"/>
              </w:rPr>
              <w:t xml:space="preserve">1.352*** (0.028)</w:t>
            </w:r>
          </w:p>
        </w:tc>
        <w:tc>
          <w:tcPr>
            <w:tcW w:type="dxa" w:w="950"/>
          </w:tcPr>
          <w:p>
            <w:pPr>
              <w:pStyle w:val="Compact"/>
              <w:spacing w:before="20" w:after="20" w:line="240" w:lineRule="auto"/>
              <w:jc w:val="center"/>
              <w:keepNext/>
            </w:pPr>
            <w:r>
              <w:rPr>
                <w:sz w:val="13"/>
                <w:szCs w:val="13"/>
              </w:rPr>
              <w:t xml:space="preserve">1.384*** (0.031)</w:t>
            </w:r>
          </w:p>
        </w:tc>
        <w:tc>
          <w:tcPr>
            <w:tcW w:type="dxa" w:w="1163"/>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5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50"/>
          </w:tcPr>
          <w:p>
            <w:pPr>
              <w:pStyle w:val="Compact"/>
              <w:spacing w:before="20" w:after="20" w:line="240" w:lineRule="auto"/>
              <w:jc w:val="center"/>
              <w:keepNext/>
            </w:pPr>
            <w:r>
              <w:rPr>
                <w:sz w:val="13"/>
                <w:szCs w:val="13"/>
              </w:rPr>
              <w:t xml:space="preserve">1.205 (0.233)</w:t>
            </w:r>
          </w:p>
        </w:tc>
        <w:tc>
          <w:tcPr>
            <w:tcW w:type="dxa" w:w="950"/>
          </w:tcPr>
          <w:p>
            <w:pPr>
              <w:pStyle w:val="Compact"/>
              <w:spacing w:before="20" w:after="20" w:line="240" w:lineRule="auto"/>
              <w:jc w:val="center"/>
              <w:keepNext/>
            </w:pPr>
            <w:r>
              <w:rPr>
                <w:sz w:val="13"/>
                <w:szCs w:val="13"/>
              </w:rPr>
              <w:t xml:space="preserve">1.096 (0.220)</w:t>
            </w:r>
          </w:p>
        </w:tc>
        <w:tc>
          <w:tcPr>
            <w:tcW w:type="dxa" w:w="950"/>
          </w:tcPr>
          <w:p>
            <w:pPr>
              <w:pStyle w:val="Compact"/>
              <w:spacing w:before="20" w:after="20" w:line="240" w:lineRule="auto"/>
              <w:jc w:val="center"/>
              <w:keepNext/>
            </w:pPr>
            <w:r>
              <w:rPr>
                <w:sz w:val="13"/>
                <w:szCs w:val="13"/>
              </w:rPr>
              <w:t xml:space="preserve">1.366 (0.288)</w:t>
            </w:r>
          </w:p>
        </w:tc>
        <w:tc>
          <w:tcPr>
            <w:tcW w:type="dxa" w:w="950"/>
          </w:tcPr>
          <w:p>
            <w:pPr>
              <w:pStyle w:val="Compact"/>
              <w:spacing w:before="20" w:after="20" w:line="240" w:lineRule="auto"/>
              <w:jc w:val="center"/>
              <w:keepNext/>
            </w:pPr>
            <w:r>
              <w:rPr>
                <w:sz w:val="13"/>
                <w:szCs w:val="13"/>
              </w:rPr>
              <w:t xml:space="preserve">1.401 (0.235)</w:t>
            </w:r>
          </w:p>
        </w:tc>
        <w:tc>
          <w:tcPr>
            <w:tcW w:type="dxa" w:w="950"/>
          </w:tcPr>
          <w:p>
            <w:pPr>
              <w:pStyle w:val="Compact"/>
              <w:spacing w:before="20" w:after="20" w:line="240" w:lineRule="auto"/>
              <w:jc w:val="center"/>
              <w:keepNext/>
            </w:pPr>
            <w:r>
              <w:rPr>
                <w:sz w:val="13"/>
                <w:szCs w:val="13"/>
              </w:rPr>
              <w:t xml:space="preserve">1.350 (0.241)</w:t>
            </w:r>
          </w:p>
        </w:tc>
        <w:tc>
          <w:tcPr>
            <w:tcW w:type="dxa" w:w="1163"/>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5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50"/>
          </w:tcPr>
          <w:p>
            <w:pPr>
              <w:pStyle w:val="Compact"/>
              <w:spacing w:before="20" w:after="20" w:line="240" w:lineRule="auto"/>
              <w:jc w:val="center"/>
              <w:keepNext/>
            </w:pPr>
            <w:r>
              <w:rPr>
                <w:sz w:val="13"/>
                <w:szCs w:val="13"/>
              </w:rPr>
              <w:t xml:space="preserve">1.166 (0.381)</w:t>
            </w:r>
          </w:p>
        </w:tc>
        <w:tc>
          <w:tcPr>
            <w:tcW w:type="dxa" w:w="950"/>
          </w:tcPr>
          <w:p>
            <w:pPr>
              <w:pStyle w:val="Compact"/>
              <w:spacing w:before="20" w:after="20" w:line="240" w:lineRule="auto"/>
              <w:jc w:val="center"/>
              <w:keepNext/>
            </w:pPr>
            <w:r>
              <w:rPr>
                <w:sz w:val="13"/>
                <w:szCs w:val="13"/>
              </w:rPr>
              <w:t xml:space="preserve">1.161 (0.360)</w:t>
            </w:r>
          </w:p>
        </w:tc>
        <w:tc>
          <w:tcPr>
            <w:tcW w:type="dxa" w:w="950"/>
          </w:tcPr>
          <w:p>
            <w:pPr>
              <w:pStyle w:val="Compact"/>
              <w:spacing w:before="20" w:after="20" w:line="240" w:lineRule="auto"/>
              <w:jc w:val="center"/>
              <w:keepNext/>
            </w:pPr>
            <w:r>
              <w:rPr>
                <w:sz w:val="13"/>
                <w:szCs w:val="13"/>
              </w:rPr>
              <w:t xml:space="preserve">1.429 (0.485)</w:t>
            </w:r>
          </w:p>
        </w:tc>
        <w:tc>
          <w:tcPr>
            <w:tcW w:type="dxa" w:w="950"/>
          </w:tcPr>
          <w:p>
            <w:pPr>
              <w:pStyle w:val="Compact"/>
              <w:spacing w:before="20" w:after="20" w:line="240" w:lineRule="auto"/>
              <w:jc w:val="center"/>
              <w:keepNext/>
            </w:pPr>
            <w:r>
              <w:rPr>
                <w:sz w:val="13"/>
                <w:szCs w:val="13"/>
              </w:rPr>
              <w:t xml:space="preserve">1.684 (0.371)</w:t>
            </w:r>
          </w:p>
        </w:tc>
        <w:tc>
          <w:tcPr>
            <w:tcW w:type="dxa" w:w="950"/>
          </w:tcPr>
          <w:p>
            <w:pPr>
              <w:pStyle w:val="Compact"/>
              <w:spacing w:before="20" w:after="20" w:line="240" w:lineRule="auto"/>
              <w:jc w:val="center"/>
              <w:keepNext/>
            </w:pPr>
            <w:r>
              <w:rPr>
                <w:sz w:val="13"/>
                <w:szCs w:val="13"/>
              </w:rPr>
              <w:t xml:space="preserve">1.128 (0.385)</w:t>
            </w:r>
          </w:p>
        </w:tc>
        <w:tc>
          <w:tcPr>
            <w:tcW w:type="dxa" w:w="1163"/>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5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50"/>
          </w:tcPr>
          <w:p>
            <w:pPr>
              <w:pStyle w:val="Compact"/>
              <w:spacing w:before="20" w:after="20" w:line="240" w:lineRule="auto"/>
              <w:jc w:val="center"/>
              <w:keepNext/>
            </w:pPr>
            <w:r>
              <w:rPr>
                <w:sz w:val="13"/>
                <w:szCs w:val="13"/>
              </w:rPr>
              <w:t xml:space="preserve">1.312 (0.322)</w:t>
            </w:r>
          </w:p>
        </w:tc>
        <w:tc>
          <w:tcPr>
            <w:tcW w:type="dxa" w:w="950"/>
          </w:tcPr>
          <w:p>
            <w:pPr>
              <w:pStyle w:val="Compact"/>
              <w:spacing w:before="20" w:after="20" w:line="240" w:lineRule="auto"/>
              <w:jc w:val="center"/>
              <w:keepNext/>
            </w:pPr>
            <w:r>
              <w:rPr>
                <w:sz w:val="13"/>
                <w:szCs w:val="13"/>
              </w:rPr>
              <w:t xml:space="preserve">1.297 (0.302)</w:t>
            </w:r>
          </w:p>
        </w:tc>
        <w:tc>
          <w:tcPr>
            <w:tcW w:type="dxa" w:w="950"/>
          </w:tcPr>
          <w:p>
            <w:pPr>
              <w:pStyle w:val="Compact"/>
              <w:spacing w:before="20" w:after="20" w:line="240" w:lineRule="auto"/>
              <w:jc w:val="center"/>
              <w:keepNext/>
            </w:pPr>
            <w:r>
              <w:rPr>
                <w:sz w:val="13"/>
                <w:szCs w:val="13"/>
              </w:rPr>
              <w:t xml:space="preserve">1.267 (0.633)</w:t>
            </w:r>
          </w:p>
        </w:tc>
        <w:tc>
          <w:tcPr>
            <w:tcW w:type="dxa" w:w="950"/>
          </w:tcPr>
          <w:p>
            <w:pPr>
              <w:pStyle w:val="Compact"/>
              <w:spacing w:before="20" w:after="20" w:line="240" w:lineRule="auto"/>
              <w:jc w:val="center"/>
              <w:keepNext/>
            </w:pPr>
            <w:r>
              <w:rPr>
                <w:sz w:val="13"/>
                <w:szCs w:val="13"/>
              </w:rPr>
              <w:t xml:space="preserve">1.763* (0.315)</w:t>
            </w:r>
          </w:p>
        </w:tc>
        <w:tc>
          <w:tcPr>
            <w:tcW w:type="dxa" w:w="950"/>
          </w:tcPr>
          <w:p>
            <w:pPr>
              <w:pStyle w:val="Compact"/>
              <w:spacing w:before="20" w:after="20" w:line="240" w:lineRule="auto"/>
              <w:jc w:val="center"/>
              <w:keepNext/>
            </w:pPr>
            <w:r>
              <w:rPr>
                <w:sz w:val="13"/>
                <w:szCs w:val="13"/>
              </w:rPr>
              <w:t xml:space="preserve">1.402 (0.323)</w:t>
            </w:r>
          </w:p>
        </w:tc>
        <w:tc>
          <w:tcPr>
            <w:tcW w:type="dxa" w:w="1163"/>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5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50"/>
          </w:tcPr>
          <w:p>
            <w:pPr>
              <w:pStyle w:val="Compact"/>
              <w:spacing w:before="20" w:after="20" w:line="240" w:lineRule="auto"/>
              <w:jc w:val="center"/>
              <w:keepNext/>
            </w:pPr>
            <w:r>
              <w:rPr>
                <w:sz w:val="13"/>
                <w:szCs w:val="13"/>
              </w:rPr>
              <w:t xml:space="preserve">1.046 (0.557)</w:t>
            </w:r>
          </w:p>
        </w:tc>
        <w:tc>
          <w:tcPr>
            <w:tcW w:type="dxa" w:w="950"/>
          </w:tcPr>
          <w:p>
            <w:pPr>
              <w:pStyle w:val="Compact"/>
              <w:spacing w:before="20" w:after="20" w:line="240" w:lineRule="auto"/>
              <w:jc w:val="center"/>
              <w:keepNext/>
            </w:pPr>
            <w:r>
              <w:rPr>
                <w:sz w:val="13"/>
                <w:szCs w:val="13"/>
              </w:rPr>
              <w:t xml:space="preserve">1.053 (0.526)</w:t>
            </w:r>
          </w:p>
        </w:tc>
        <w:tc>
          <w:tcPr>
            <w:tcW w:type="dxa" w:w="950"/>
          </w:tcPr>
          <w:p>
            <w:pPr>
              <w:pStyle w:val="Compact"/>
              <w:spacing w:before="20" w:after="20" w:line="240" w:lineRule="auto"/>
              <w:jc w:val="center"/>
              <w:keepNext/>
            </w:pPr>
            <w:r>
              <w:rPr>
                <w:sz w:val="13"/>
                <w:szCs w:val="13"/>
              </w:rPr>
              <w:t xml:space="preserve">1.572 (0.673)</w:t>
            </w:r>
          </w:p>
        </w:tc>
        <w:tc>
          <w:tcPr>
            <w:tcW w:type="dxa" w:w="950"/>
          </w:tcPr>
          <w:p>
            <w:pPr>
              <w:pStyle w:val="Compact"/>
              <w:spacing w:before="20" w:after="20" w:line="240" w:lineRule="auto"/>
              <w:jc w:val="center"/>
              <w:keepNext/>
            </w:pPr>
            <w:r>
              <w:rPr>
                <w:sz w:val="13"/>
                <w:szCs w:val="13"/>
              </w:rPr>
              <w:t xml:space="preserve">1.401 (0.536)</w:t>
            </w:r>
          </w:p>
        </w:tc>
        <w:tc>
          <w:tcPr>
            <w:tcW w:type="dxa" w:w="950"/>
          </w:tcPr>
          <w:p>
            <w:pPr>
              <w:pStyle w:val="Compact"/>
              <w:spacing w:before="20" w:after="20" w:line="240" w:lineRule="auto"/>
              <w:jc w:val="center"/>
              <w:keepNext/>
            </w:pPr>
            <w:r>
              <w:rPr>
                <w:sz w:val="13"/>
                <w:szCs w:val="13"/>
              </w:rPr>
              <w:t xml:space="preserve">1.643 (0.654)</w:t>
            </w:r>
          </w:p>
        </w:tc>
        <w:tc>
          <w:tcPr>
            <w:tcW w:type="dxa" w:w="1163"/>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5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50"/>
          </w:tcPr>
          <w:p>
            <w:pPr>
              <w:pStyle w:val="Compact"/>
              <w:spacing w:before="20" w:after="20" w:line="240" w:lineRule="auto"/>
              <w:jc w:val="center"/>
              <w:keepNext/>
            </w:pPr>
            <w:r>
              <w:rPr>
                <w:sz w:val="13"/>
                <w:szCs w:val="13"/>
              </w:rPr>
              <w:t xml:space="preserve">1.307 (0.291)</w:t>
            </w:r>
          </w:p>
        </w:tc>
        <w:tc>
          <w:tcPr>
            <w:tcW w:type="dxa" w:w="950"/>
          </w:tcPr>
          <w:p>
            <w:pPr>
              <w:pStyle w:val="Compact"/>
              <w:spacing w:before="20" w:after="20" w:line="240" w:lineRule="auto"/>
              <w:jc w:val="center"/>
              <w:keepNext/>
            </w:pPr>
            <w:r>
              <w:rPr>
                <w:sz w:val="13"/>
                <w:szCs w:val="13"/>
              </w:rPr>
              <w:t xml:space="preserve">1.302 (0.278)</w:t>
            </w:r>
          </w:p>
        </w:tc>
        <w:tc>
          <w:tcPr>
            <w:tcW w:type="dxa" w:w="950"/>
          </w:tcPr>
          <w:p>
            <w:pPr>
              <w:pStyle w:val="Compact"/>
              <w:spacing w:before="20" w:after="20" w:line="240" w:lineRule="auto"/>
              <w:jc w:val="center"/>
              <w:keepNext/>
            </w:pPr>
            <w:r>
              <w:rPr>
                <w:sz w:val="13"/>
                <w:szCs w:val="13"/>
              </w:rPr>
              <w:t xml:space="preserve">2.412* (0.480)</w:t>
            </w:r>
          </w:p>
        </w:tc>
        <w:tc>
          <w:tcPr>
            <w:tcW w:type="dxa" w:w="950"/>
          </w:tcPr>
          <w:p>
            <w:pPr>
              <w:pStyle w:val="Compact"/>
              <w:spacing w:before="20" w:after="20" w:line="240" w:lineRule="auto"/>
              <w:jc w:val="center"/>
              <w:keepNext/>
            </w:pPr>
            <w:r>
              <w:rPr>
                <w:sz w:val="13"/>
                <w:szCs w:val="13"/>
              </w:rPr>
              <w:t xml:space="preserve">1.215 (0.288)</w:t>
            </w:r>
          </w:p>
        </w:tc>
        <w:tc>
          <w:tcPr>
            <w:tcW w:type="dxa" w:w="950"/>
          </w:tcPr>
          <w:p>
            <w:pPr>
              <w:pStyle w:val="Compact"/>
              <w:spacing w:before="20" w:after="20" w:line="240" w:lineRule="auto"/>
              <w:jc w:val="center"/>
              <w:keepNext/>
            </w:pPr>
            <w:r>
              <w:rPr>
                <w:sz w:val="13"/>
                <w:szCs w:val="13"/>
              </w:rPr>
              <w:t xml:space="preserve">1.522 (0.306)</w:t>
            </w:r>
          </w:p>
        </w:tc>
        <w:tc>
          <w:tcPr>
            <w:tcW w:type="dxa" w:w="1163"/>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5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50"/>
          </w:tcPr>
          <w:p>
            <w:pPr>
              <w:pStyle w:val="Compact"/>
              <w:spacing w:before="20" w:after="20" w:line="240" w:lineRule="auto"/>
              <w:jc w:val="center"/>
              <w:keepNext/>
            </w:pPr>
            <w:r>
              <w:rPr>
                <w:sz w:val="13"/>
                <w:szCs w:val="13"/>
              </w:rPr>
              <w:t xml:space="preserve">1.126 (0.268)</w:t>
            </w:r>
          </w:p>
        </w:tc>
        <w:tc>
          <w:tcPr>
            <w:tcW w:type="dxa" w:w="950"/>
          </w:tcPr>
          <w:p>
            <w:pPr>
              <w:pStyle w:val="Compact"/>
              <w:spacing w:before="20" w:after="20" w:line="240" w:lineRule="auto"/>
              <w:jc w:val="center"/>
              <w:keepNext/>
            </w:pPr>
            <w:r>
              <w:rPr>
                <w:sz w:val="13"/>
                <w:szCs w:val="13"/>
              </w:rPr>
              <w:t xml:space="preserve">1.031 (0.254)</w:t>
            </w:r>
          </w:p>
        </w:tc>
        <w:tc>
          <w:tcPr>
            <w:tcW w:type="dxa" w:w="950"/>
          </w:tcPr>
          <w:p>
            <w:pPr>
              <w:pStyle w:val="Compact"/>
              <w:spacing w:before="20" w:after="20" w:line="240" w:lineRule="auto"/>
              <w:jc w:val="center"/>
              <w:keepNext/>
            </w:pPr>
            <w:r>
              <w:rPr>
                <w:sz w:val="13"/>
                <w:szCs w:val="13"/>
              </w:rPr>
              <w:t xml:space="preserve">1.042 (0.489)</w:t>
            </w:r>
          </w:p>
        </w:tc>
        <w:tc>
          <w:tcPr>
            <w:tcW w:type="dxa" w:w="950"/>
          </w:tcPr>
          <w:p>
            <w:pPr>
              <w:pStyle w:val="Compact"/>
              <w:spacing w:before="20" w:after="20" w:line="240" w:lineRule="auto"/>
              <w:jc w:val="center"/>
              <w:keepNext/>
            </w:pPr>
            <w:r>
              <w:rPr>
                <w:sz w:val="13"/>
                <w:szCs w:val="13"/>
              </w:rPr>
              <w:t xml:space="preserve">1.193 (0.274)</w:t>
            </w:r>
          </w:p>
        </w:tc>
        <w:tc>
          <w:tcPr>
            <w:tcW w:type="dxa" w:w="950"/>
          </w:tcPr>
          <w:p>
            <w:pPr>
              <w:pStyle w:val="Compact"/>
              <w:spacing w:before="20" w:after="20" w:line="240" w:lineRule="auto"/>
              <w:jc w:val="center"/>
              <w:keepNext/>
            </w:pPr>
            <w:r>
              <w:rPr>
                <w:sz w:val="13"/>
                <w:szCs w:val="13"/>
              </w:rPr>
              <w:t xml:space="preserve">1.145 (0.274)</w:t>
            </w:r>
          </w:p>
        </w:tc>
        <w:tc>
          <w:tcPr>
            <w:tcW w:type="dxa" w:w="1163"/>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5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50"/>
          </w:tcPr>
          <w:p>
            <w:pPr>
              <w:pStyle w:val="Compact"/>
              <w:spacing w:before="20" w:after="20" w:line="240" w:lineRule="auto"/>
              <w:jc w:val="center"/>
              <w:keepNext/>
            </w:pPr>
            <w:r>
              <w:rPr>
                <w:sz w:val="13"/>
                <w:szCs w:val="13"/>
              </w:rPr>
              <w:t xml:space="preserve">2.326 (0.681)</w:t>
            </w:r>
          </w:p>
        </w:tc>
        <w:tc>
          <w:tcPr>
            <w:tcW w:type="dxa" w:w="950"/>
          </w:tcPr>
          <w:p>
            <w:pPr>
              <w:pStyle w:val="Compact"/>
              <w:spacing w:before="20" w:after="20" w:line="240" w:lineRule="auto"/>
              <w:jc w:val="center"/>
              <w:keepNext/>
            </w:pPr>
            <w:r>
              <w:rPr>
                <w:sz w:val="13"/>
                <w:szCs w:val="13"/>
              </w:rPr>
              <w:t xml:space="preserve">2.021 (0.664)</w:t>
            </w:r>
          </w:p>
        </w:tc>
        <w:tc>
          <w:tcPr>
            <w:tcW w:type="dxa" w:w="950"/>
          </w:tcPr>
          <w:p>
            <w:pPr>
              <w:pStyle w:val="Compact"/>
              <w:spacing w:before="20" w:after="20" w:line="240" w:lineRule="auto"/>
              <w:jc w:val="center"/>
              <w:keepNext/>
            </w:pPr>
            <w:r>
              <w:rPr>
                <w:sz w:val="13"/>
                <w:szCs w:val="13"/>
              </w:rPr>
              <w:t xml:space="preserve">0.167 (2.128)</w:t>
            </w:r>
          </w:p>
        </w:tc>
        <w:tc>
          <w:tcPr>
            <w:tcW w:type="dxa" w:w="950"/>
          </w:tcPr>
          <w:p>
            <w:pPr>
              <w:pStyle w:val="Compact"/>
              <w:spacing w:before="20" w:after="20" w:line="240" w:lineRule="auto"/>
              <w:jc w:val="center"/>
              <w:keepNext/>
            </w:pPr>
            <w:r>
              <w:rPr>
                <w:sz w:val="13"/>
                <w:szCs w:val="13"/>
              </w:rPr>
              <w:t xml:space="preserve">2.631 (0.663)</w:t>
            </w:r>
          </w:p>
        </w:tc>
        <w:tc>
          <w:tcPr>
            <w:tcW w:type="dxa" w:w="950"/>
          </w:tcPr>
          <w:p>
            <w:pPr>
              <w:pStyle w:val="Compact"/>
              <w:spacing w:before="20" w:after="20" w:line="240" w:lineRule="auto"/>
              <w:jc w:val="center"/>
              <w:keepNext/>
            </w:pPr>
            <w:r>
              <w:rPr>
                <w:sz w:val="13"/>
                <w:szCs w:val="13"/>
              </w:rPr>
              <w:t xml:space="preserve">2.051 (0.680)</w:t>
            </w:r>
          </w:p>
        </w:tc>
        <w:tc>
          <w:tcPr>
            <w:tcW w:type="dxa" w:w="1163"/>
          </w:tcPr>
          <w:p>
            <w:pPr>
              <w:pStyle w:val="Compact"/>
              <w:spacing w:before="20" w:after="20" w:line="240" w:lineRule="auto"/>
              <w:jc w:val="center"/>
              <w:keepNext/>
            </w:pPr>
            <w:r>
              <w:rPr>
                <w:sz w:val="13"/>
                <w:szCs w:val="13"/>
              </w:rPr>
              <w:t xml:space="preserve">0.000 (77776.491)</w:t>
            </w:r>
          </w:p>
        </w:tc>
        <w:tc>
          <w:tcPr>
            <w:tcW w:type="dxa" w:w="1106"/>
          </w:tcPr>
          <w:p>
            <w:pPr>
              <w:pStyle w:val="Compact"/>
              <w:spacing w:before="20" w:after="20" w:line="240" w:lineRule="auto"/>
              <w:jc w:val="center"/>
              <w:keepNext/>
            </w:pPr>
            <w:r>
              <w:rPr>
                <w:sz w:val="13"/>
                <w:szCs w:val="13"/>
              </w:rPr>
              <w:t xml:space="preserve">2.979 (0.747)</w:t>
            </w:r>
          </w:p>
        </w:tc>
        <w:tc>
          <w:tcPr>
            <w:tcW w:type="dxa" w:w="95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473</w:t>
            </w:r>
          </w:p>
        </w:tc>
        <w:tc>
          <w:tcPr>
            <w:tcW w:type="dxa" w:w="950"/>
          </w:tcPr>
          <w:p>
            <w:pPr>
              <w:pStyle w:val="Compact"/>
              <w:spacing w:before="20" w:after="20" w:line="240" w:lineRule="auto"/>
              <w:jc w:val="center"/>
              <w:keepNext/>
            </w:pPr>
            <w:r>
              <w:rPr>
                <w:sz w:val="13"/>
                <w:szCs w:val="13"/>
              </w:rPr>
              <w:t xml:space="preserve">908</w:t>
            </w:r>
          </w:p>
        </w:tc>
        <w:tc>
          <w:tcPr>
            <w:tcW w:type="dxa" w:w="950"/>
          </w:tcPr>
          <w:p>
            <w:pPr>
              <w:pStyle w:val="Compact"/>
              <w:spacing w:before="20" w:after="20" w:line="240" w:lineRule="auto"/>
              <w:jc w:val="center"/>
              <w:keepNext/>
            </w:pPr>
            <w:r>
              <w:rPr>
                <w:sz w:val="13"/>
                <w:szCs w:val="13"/>
              </w:rPr>
              <w:t xml:space="preserve">860</w:t>
            </w:r>
          </w:p>
        </w:tc>
        <w:tc>
          <w:tcPr>
            <w:tcW w:type="dxa" w:w="1163"/>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5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50"/>
          </w:tcPr>
          <w:p>
            <w:pPr>
              <w:pStyle w:val="Compact"/>
              <w:spacing w:before="20" w:after="20" w:line="240" w:lineRule="auto"/>
              <w:jc w:val="center"/>
              <w:keepNext/>
            </w:pPr>
            <w:r>
              <w:rPr>
                <w:sz w:val="13"/>
                <w:szCs w:val="13"/>
              </w:rPr>
              <w:t xml:space="preserve">−774.5</w:t>
            </w:r>
          </w:p>
        </w:tc>
        <w:tc>
          <w:tcPr>
            <w:tcW w:type="dxa" w:w="950"/>
          </w:tcPr>
          <w:p>
            <w:pPr>
              <w:pStyle w:val="Compact"/>
              <w:spacing w:before="20" w:after="20" w:line="240" w:lineRule="auto"/>
              <w:jc w:val="center"/>
              <w:keepNext/>
            </w:pPr>
            <w:r>
              <w:rPr>
                <w:sz w:val="13"/>
                <w:szCs w:val="13"/>
              </w:rPr>
              <w:t xml:space="preserve">−829.4</w:t>
            </w:r>
          </w:p>
        </w:tc>
        <w:tc>
          <w:tcPr>
            <w:tcW w:type="dxa" w:w="950"/>
          </w:tcPr>
          <w:p>
            <w:pPr>
              <w:pStyle w:val="Compact"/>
              <w:spacing w:before="20" w:after="20" w:line="240" w:lineRule="auto"/>
              <w:jc w:val="center"/>
              <w:keepNext/>
            </w:pPr>
            <w:r>
              <w:rPr>
                <w:sz w:val="13"/>
                <w:szCs w:val="13"/>
              </w:rPr>
              <w:t xml:space="preserve">−425.3</w:t>
            </w:r>
          </w:p>
        </w:tc>
        <w:tc>
          <w:tcPr>
            <w:tcW w:type="dxa" w:w="950"/>
          </w:tcPr>
          <w:p>
            <w:pPr>
              <w:pStyle w:val="Compact"/>
              <w:spacing w:before="20" w:after="20" w:line="240" w:lineRule="auto"/>
              <w:jc w:val="center"/>
              <w:keepNext/>
            </w:pPr>
            <w:r>
              <w:rPr>
                <w:sz w:val="13"/>
                <w:szCs w:val="13"/>
              </w:rPr>
              <w:t xml:space="preserve">−755.9</w:t>
            </w:r>
          </w:p>
        </w:tc>
        <w:tc>
          <w:tcPr>
            <w:tcW w:type="dxa" w:w="950"/>
          </w:tcPr>
          <w:p>
            <w:pPr>
              <w:pStyle w:val="Compact"/>
              <w:spacing w:before="20" w:after="20" w:line="240" w:lineRule="auto"/>
              <w:jc w:val="center"/>
              <w:keepNext/>
            </w:pPr>
            <w:r>
              <w:rPr>
                <w:sz w:val="13"/>
                <w:szCs w:val="13"/>
              </w:rPr>
              <w:t xml:space="preserve">−682.7</w:t>
            </w:r>
          </w:p>
        </w:tc>
        <w:tc>
          <w:tcPr>
            <w:tcW w:type="dxa" w:w="1163"/>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5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50"/>
        <w:gridCol w:w="950"/>
        <w:gridCol w:w="950"/>
        <w:gridCol w:w="950"/>
        <w:gridCol w:w="950"/>
        <w:gridCol w:w="1163"/>
        <w:gridCol w:w="1106"/>
        <w:gridCol w:w="95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5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63"/>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50"/>
          </w:tcPr>
          <w:p>
            <w:pPr>
              <w:pStyle w:val="Compact"/>
              <w:spacing w:before="20" w:after="20" w:line="240" w:lineRule="auto"/>
              <w:jc w:val="center"/>
              <w:keepNext/>
            </w:pPr>
            <w:r>
              <w:rPr>
                <w:sz w:val="13"/>
                <w:szCs w:val="13"/>
              </w:rPr>
              <w:t xml:space="preserve">0.913*** (0.015)</w:t>
            </w:r>
          </w:p>
        </w:tc>
        <w:tc>
          <w:tcPr>
            <w:tcW w:type="dxa" w:w="950"/>
          </w:tcPr>
          <w:p>
            <w:pPr>
              <w:pStyle w:val="Compact"/>
              <w:spacing w:before="20" w:after="20" w:line="240" w:lineRule="auto"/>
              <w:jc w:val="center"/>
              <w:keepNext/>
            </w:pPr>
            <w:r>
              <w:rPr>
                <w:sz w:val="13"/>
                <w:szCs w:val="13"/>
              </w:rPr>
              <w:t xml:space="preserve">0.911*** (0.015)</w:t>
            </w:r>
          </w:p>
        </w:tc>
        <w:tc>
          <w:tcPr>
            <w:tcW w:type="dxa" w:w="950"/>
          </w:tcPr>
          <w:p>
            <w:pPr>
              <w:pStyle w:val="Compact"/>
              <w:spacing w:before="20" w:after="20" w:line="240" w:lineRule="auto"/>
              <w:jc w:val="center"/>
              <w:keepNext/>
            </w:pPr>
            <w:r>
              <w:rPr>
                <w:sz w:val="13"/>
                <w:szCs w:val="13"/>
              </w:rPr>
              <w:t xml:space="preserve">0.935*** (0.016)</w:t>
            </w:r>
          </w:p>
        </w:tc>
        <w:tc>
          <w:tcPr>
            <w:tcW w:type="dxa" w:w="950"/>
          </w:tcPr>
          <w:p>
            <w:pPr>
              <w:pStyle w:val="Compact"/>
              <w:spacing w:before="20" w:after="20" w:line="240" w:lineRule="auto"/>
              <w:jc w:val="center"/>
              <w:keepNext/>
            </w:pPr>
            <w:r>
              <w:rPr>
                <w:sz w:val="13"/>
                <w:szCs w:val="13"/>
              </w:rPr>
              <w:t xml:space="preserve">0.898*** (0.015)</w:t>
            </w:r>
          </w:p>
        </w:tc>
        <w:tc>
          <w:tcPr>
            <w:tcW w:type="dxa" w:w="950"/>
          </w:tcPr>
          <w:p>
            <w:pPr>
              <w:pStyle w:val="Compact"/>
              <w:spacing w:before="20" w:after="20" w:line="240" w:lineRule="auto"/>
              <w:jc w:val="center"/>
              <w:keepNext/>
            </w:pPr>
            <w:r>
              <w:rPr>
                <w:sz w:val="13"/>
                <w:szCs w:val="13"/>
              </w:rPr>
              <w:t xml:space="preserve">0.820*** (0.023)</w:t>
            </w:r>
          </w:p>
        </w:tc>
        <w:tc>
          <w:tcPr>
            <w:tcW w:type="dxa" w:w="1163"/>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5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50"/>
          </w:tcPr>
          <w:p>
            <w:pPr>
              <w:pStyle w:val="Compact"/>
              <w:spacing w:before="20" w:after="20" w:line="240" w:lineRule="auto"/>
              <w:jc w:val="center"/>
              <w:keepNext/>
            </w:pPr>
            <w:r>
              <w:rPr>
                <w:sz w:val="13"/>
                <w:szCs w:val="13"/>
              </w:rPr>
              <w:t xml:space="preserve">0.905** (0.048)</w:t>
            </w:r>
          </w:p>
        </w:tc>
        <w:tc>
          <w:tcPr>
            <w:tcW w:type="dxa" w:w="950"/>
          </w:tcPr>
          <w:p>
            <w:pPr>
              <w:pStyle w:val="Compact"/>
              <w:spacing w:before="20" w:after="20" w:line="240" w:lineRule="auto"/>
              <w:jc w:val="center"/>
              <w:keepNext/>
            </w:pPr>
            <w:r>
              <w:rPr>
                <w:sz w:val="13"/>
                <w:szCs w:val="13"/>
              </w:rPr>
              <w:t xml:space="preserve">0.915** (0.044)</w:t>
            </w:r>
          </w:p>
        </w:tc>
        <w:tc>
          <w:tcPr>
            <w:tcW w:type="dxa" w:w="950"/>
          </w:tcPr>
          <w:p>
            <w:pPr>
              <w:pStyle w:val="Compact"/>
              <w:spacing w:before="20" w:after="20" w:line="240" w:lineRule="auto"/>
              <w:jc w:val="center"/>
              <w:keepNext/>
            </w:pPr>
            <w:r>
              <w:rPr>
                <w:sz w:val="13"/>
                <w:szCs w:val="13"/>
              </w:rPr>
              <w:t xml:space="preserve">0.826*** (0.061)</w:t>
            </w:r>
          </w:p>
        </w:tc>
        <w:tc>
          <w:tcPr>
            <w:tcW w:type="dxa" w:w="950"/>
          </w:tcPr>
          <w:p>
            <w:pPr>
              <w:pStyle w:val="Compact"/>
              <w:spacing w:before="20" w:after="20" w:line="240" w:lineRule="auto"/>
              <w:jc w:val="center"/>
              <w:keepNext/>
            </w:pPr>
            <w:r>
              <w:rPr>
                <w:sz w:val="13"/>
                <w:szCs w:val="13"/>
              </w:rPr>
              <w:t xml:space="preserve">0.923* (0.045)</w:t>
            </w:r>
          </w:p>
        </w:tc>
        <w:tc>
          <w:tcPr>
            <w:tcW w:type="dxa" w:w="950"/>
          </w:tcPr>
          <w:p>
            <w:pPr>
              <w:pStyle w:val="Compact"/>
              <w:spacing w:before="20" w:after="20" w:line="240" w:lineRule="auto"/>
              <w:jc w:val="center"/>
              <w:keepNext/>
            </w:pPr>
            <w:r>
              <w:rPr>
                <w:sz w:val="13"/>
                <w:szCs w:val="13"/>
              </w:rPr>
              <w:t xml:space="preserve">0.916* (0.050)</w:t>
            </w:r>
          </w:p>
        </w:tc>
        <w:tc>
          <w:tcPr>
            <w:tcW w:type="dxa" w:w="1163"/>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5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50"/>
          </w:tcPr>
          <w:p>
            <w:pPr>
              <w:pStyle w:val="Compact"/>
              <w:spacing w:before="20" w:after="20" w:line="240" w:lineRule="auto"/>
              <w:jc w:val="center"/>
              <w:keepNext/>
            </w:pPr>
            <w:r>
              <w:rPr>
                <w:sz w:val="13"/>
                <w:szCs w:val="13"/>
              </w:rPr>
              <w:t xml:space="preserve">2.687*** (0.276)</w:t>
            </w:r>
          </w:p>
        </w:tc>
        <w:tc>
          <w:tcPr>
            <w:tcW w:type="dxa" w:w="950"/>
          </w:tcPr>
          <w:p>
            <w:pPr>
              <w:pStyle w:val="Compact"/>
              <w:spacing w:before="20" w:after="20" w:line="240" w:lineRule="auto"/>
              <w:jc w:val="center"/>
              <w:keepNext/>
            </w:pPr>
            <w:r>
              <w:rPr>
                <w:sz w:val="13"/>
                <w:szCs w:val="13"/>
              </w:rPr>
              <w:t xml:space="preserve">2.720*** (0.274)</w:t>
            </w:r>
          </w:p>
        </w:tc>
        <w:tc>
          <w:tcPr>
            <w:tcW w:type="dxa" w:w="950"/>
          </w:tcPr>
          <w:p>
            <w:pPr>
              <w:pStyle w:val="Compact"/>
              <w:spacing w:before="20" w:after="20" w:line="240" w:lineRule="auto"/>
              <w:jc w:val="center"/>
              <w:keepNext/>
            </w:pPr>
            <w:r>
              <w:rPr>
                <w:sz w:val="13"/>
                <w:szCs w:val="13"/>
              </w:rPr>
              <w:t xml:space="preserve">2.721*** (0.320)</w:t>
            </w:r>
          </w:p>
        </w:tc>
        <w:tc>
          <w:tcPr>
            <w:tcW w:type="dxa" w:w="950"/>
          </w:tcPr>
          <w:p>
            <w:pPr>
              <w:pStyle w:val="Compact"/>
              <w:spacing w:before="20" w:after="20" w:line="240" w:lineRule="auto"/>
              <w:jc w:val="center"/>
              <w:keepNext/>
            </w:pPr>
            <w:r>
              <w:rPr>
                <w:sz w:val="13"/>
                <w:szCs w:val="13"/>
              </w:rPr>
              <w:t xml:space="preserve">3.299*** (0.285)</w:t>
            </w:r>
          </w:p>
        </w:tc>
        <w:tc>
          <w:tcPr>
            <w:tcW w:type="dxa" w:w="950"/>
          </w:tcPr>
          <w:p>
            <w:pPr>
              <w:pStyle w:val="Compact"/>
              <w:spacing w:before="20" w:after="20" w:line="240" w:lineRule="auto"/>
              <w:jc w:val="center"/>
              <w:keepNext/>
            </w:pPr>
            <w:r>
              <w:rPr>
                <w:sz w:val="13"/>
                <w:szCs w:val="13"/>
              </w:rPr>
              <w:t xml:space="preserve">3.235*** (0.303)</w:t>
            </w:r>
          </w:p>
        </w:tc>
        <w:tc>
          <w:tcPr>
            <w:tcW w:type="dxa" w:w="1163"/>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5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50"/>
          </w:tcPr>
          <w:p>
            <w:pPr>
              <w:pStyle w:val="Compact"/>
              <w:spacing w:before="20" w:after="20" w:line="240" w:lineRule="auto"/>
              <w:jc w:val="center"/>
              <w:keepNext/>
            </w:pPr>
            <w:r>
              <w:rPr>
                <w:sz w:val="13"/>
                <w:szCs w:val="13"/>
              </w:rPr>
              <w:t xml:space="preserve">1.906 (0.419)</w:t>
            </w:r>
          </w:p>
        </w:tc>
        <w:tc>
          <w:tcPr>
            <w:tcW w:type="dxa" w:w="950"/>
          </w:tcPr>
          <w:p>
            <w:pPr>
              <w:pStyle w:val="Compact"/>
              <w:spacing w:before="20" w:after="20" w:line="240" w:lineRule="auto"/>
              <w:jc w:val="center"/>
              <w:keepNext/>
            </w:pPr>
            <w:r>
              <w:rPr>
                <w:sz w:val="13"/>
                <w:szCs w:val="13"/>
              </w:rPr>
              <w:t xml:space="preserve">1.913 (0.419)</w:t>
            </w:r>
          </w:p>
        </w:tc>
        <w:tc>
          <w:tcPr>
            <w:tcW w:type="dxa" w:w="950"/>
          </w:tcPr>
          <w:p>
            <w:pPr>
              <w:pStyle w:val="Compact"/>
              <w:spacing w:before="20" w:after="20" w:line="240" w:lineRule="auto"/>
              <w:jc w:val="center"/>
              <w:keepNext/>
            </w:pPr>
            <w:r>
              <w:rPr>
                <w:sz w:val="13"/>
                <w:szCs w:val="13"/>
              </w:rPr>
              <w:t xml:space="preserve">1.807 (0.499)</w:t>
            </w:r>
          </w:p>
        </w:tc>
        <w:tc>
          <w:tcPr>
            <w:tcW w:type="dxa" w:w="950"/>
          </w:tcPr>
          <w:p>
            <w:pPr>
              <w:pStyle w:val="Compact"/>
              <w:spacing w:before="20" w:after="20" w:line="240" w:lineRule="auto"/>
              <w:jc w:val="center"/>
              <w:keepNext/>
            </w:pPr>
            <w:r>
              <w:rPr>
                <w:sz w:val="13"/>
                <w:szCs w:val="13"/>
              </w:rPr>
              <w:t xml:space="preserve">2.636** (0.422)</w:t>
            </w:r>
          </w:p>
        </w:tc>
        <w:tc>
          <w:tcPr>
            <w:tcW w:type="dxa" w:w="950"/>
          </w:tcPr>
          <w:p>
            <w:pPr>
              <w:pStyle w:val="Compact"/>
              <w:spacing w:before="20" w:after="20" w:line="240" w:lineRule="auto"/>
              <w:jc w:val="center"/>
              <w:keepNext/>
            </w:pPr>
            <w:r>
              <w:rPr>
                <w:sz w:val="13"/>
                <w:szCs w:val="13"/>
              </w:rPr>
              <w:t xml:space="preserve">1.175 (0.510)</w:t>
            </w:r>
          </w:p>
        </w:tc>
        <w:tc>
          <w:tcPr>
            <w:tcW w:type="dxa" w:w="1163"/>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5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50"/>
          </w:tcPr>
          <w:p>
            <w:pPr>
              <w:pStyle w:val="Compact"/>
              <w:spacing w:before="20" w:after="20" w:line="240" w:lineRule="auto"/>
              <w:jc w:val="center"/>
              <w:keepNext/>
            </w:pPr>
            <w:r>
              <w:rPr>
                <w:sz w:val="13"/>
                <w:szCs w:val="13"/>
              </w:rPr>
              <w:t xml:space="preserve">2.102* (0.407)</w:t>
            </w:r>
          </w:p>
        </w:tc>
        <w:tc>
          <w:tcPr>
            <w:tcW w:type="dxa" w:w="950"/>
          </w:tcPr>
          <w:p>
            <w:pPr>
              <w:pStyle w:val="Compact"/>
              <w:spacing w:before="20" w:after="20" w:line="240" w:lineRule="auto"/>
              <w:jc w:val="center"/>
              <w:keepNext/>
            </w:pPr>
            <w:r>
              <w:rPr>
                <w:sz w:val="13"/>
                <w:szCs w:val="13"/>
              </w:rPr>
              <w:t xml:space="preserve">2.131* (0.406)</w:t>
            </w:r>
          </w:p>
        </w:tc>
        <w:tc>
          <w:tcPr>
            <w:tcW w:type="dxa" w:w="950"/>
          </w:tcPr>
          <w:p>
            <w:pPr>
              <w:pStyle w:val="Compact"/>
              <w:spacing w:before="20" w:after="20" w:line="240" w:lineRule="auto"/>
              <w:jc w:val="center"/>
              <w:keepNext/>
            </w:pPr>
            <w:r>
              <w:rPr>
                <w:sz w:val="13"/>
                <w:szCs w:val="13"/>
              </w:rPr>
              <w:t xml:space="preserve">3.485** (0.636)</w:t>
            </w:r>
          </w:p>
        </w:tc>
        <w:tc>
          <w:tcPr>
            <w:tcW w:type="dxa" w:w="950"/>
          </w:tcPr>
          <w:p>
            <w:pPr>
              <w:pStyle w:val="Compact"/>
              <w:spacing w:before="20" w:after="20" w:line="240" w:lineRule="auto"/>
              <w:jc w:val="center"/>
              <w:keepNext/>
            </w:pPr>
            <w:r>
              <w:rPr>
                <w:sz w:val="13"/>
                <w:szCs w:val="13"/>
              </w:rPr>
              <w:t xml:space="preserve">2.683** (0.416)</w:t>
            </w:r>
          </w:p>
        </w:tc>
        <w:tc>
          <w:tcPr>
            <w:tcW w:type="dxa" w:w="950"/>
          </w:tcPr>
          <w:p>
            <w:pPr>
              <w:pStyle w:val="Compact"/>
              <w:spacing w:before="20" w:after="20" w:line="240" w:lineRule="auto"/>
              <w:jc w:val="center"/>
              <w:keepNext/>
            </w:pPr>
            <w:r>
              <w:rPr>
                <w:sz w:val="13"/>
                <w:szCs w:val="13"/>
              </w:rPr>
              <w:t xml:space="preserve">2.294* (0.445)</w:t>
            </w:r>
          </w:p>
        </w:tc>
        <w:tc>
          <w:tcPr>
            <w:tcW w:type="dxa" w:w="1163"/>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5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50"/>
          </w:tcPr>
          <w:p>
            <w:pPr>
              <w:pStyle w:val="Compact"/>
              <w:spacing w:before="20" w:after="20" w:line="240" w:lineRule="auto"/>
              <w:jc w:val="center"/>
              <w:keepNext/>
            </w:pPr>
            <w:r>
              <w:rPr>
                <w:sz w:val="13"/>
                <w:szCs w:val="13"/>
              </w:rPr>
              <w:t xml:space="preserve">0.086*** (0.816)</w:t>
            </w:r>
          </w:p>
        </w:tc>
        <w:tc>
          <w:tcPr>
            <w:tcW w:type="dxa" w:w="950"/>
          </w:tcPr>
          <w:p>
            <w:pPr>
              <w:pStyle w:val="Compact"/>
              <w:spacing w:before="20" w:after="20" w:line="240" w:lineRule="auto"/>
              <w:jc w:val="center"/>
              <w:keepNext/>
            </w:pPr>
            <w:r>
              <w:rPr>
                <w:sz w:val="13"/>
                <w:szCs w:val="13"/>
              </w:rPr>
              <w:t xml:space="preserve">0.087*** (0.817)</w:t>
            </w:r>
          </w:p>
        </w:tc>
        <w:tc>
          <w:tcPr>
            <w:tcW w:type="dxa" w:w="950"/>
          </w:tcPr>
          <w:p>
            <w:pPr>
              <w:pStyle w:val="Compact"/>
              <w:spacing w:before="20" w:after="20" w:line="240" w:lineRule="auto"/>
              <w:jc w:val="center"/>
              <w:keepNext/>
            </w:pPr>
            <w:r>
              <w:rPr>
                <w:sz w:val="13"/>
                <w:szCs w:val="13"/>
              </w:rPr>
              <w:t xml:space="preserve">0.061** (1.222)</w:t>
            </w:r>
          </w:p>
        </w:tc>
        <w:tc>
          <w:tcPr>
            <w:tcW w:type="dxa" w:w="950"/>
          </w:tcPr>
          <w:p>
            <w:pPr>
              <w:pStyle w:val="Compact"/>
              <w:spacing w:before="20" w:after="20" w:line="240" w:lineRule="auto"/>
              <w:jc w:val="center"/>
              <w:keepNext/>
            </w:pPr>
            <w:r>
              <w:rPr>
                <w:sz w:val="13"/>
                <w:szCs w:val="13"/>
              </w:rPr>
              <w:t xml:space="preserve">0.103*** (0.833)</w:t>
            </w:r>
          </w:p>
        </w:tc>
        <w:tc>
          <w:tcPr>
            <w:tcW w:type="dxa" w:w="950"/>
          </w:tcPr>
          <w:p>
            <w:pPr>
              <w:pStyle w:val="Compact"/>
              <w:spacing w:before="20" w:after="20" w:line="240" w:lineRule="auto"/>
              <w:jc w:val="center"/>
              <w:keepNext/>
            </w:pPr>
            <w:r>
              <w:rPr>
                <w:sz w:val="13"/>
                <w:szCs w:val="13"/>
              </w:rPr>
              <w:t xml:space="preserve">0.015*** (1.466)</w:t>
            </w:r>
          </w:p>
        </w:tc>
        <w:tc>
          <w:tcPr>
            <w:tcW w:type="dxa" w:w="1163"/>
          </w:tcPr>
          <w:p>
            <w:pPr>
              <w:pStyle w:val="Compact"/>
              <w:spacing w:before="20" w:after="20" w:line="240" w:lineRule="auto"/>
              <w:jc w:val="center"/>
              <w:keepNext/>
            </w:pPr>
            <w:r>
              <w:rPr>
                <w:sz w:val="13"/>
                <w:szCs w:val="13"/>
              </w:rPr>
              <w:t xml:space="preserve">0.000 (77497.743)</w:t>
            </w:r>
          </w:p>
        </w:tc>
        <w:tc>
          <w:tcPr>
            <w:tcW w:type="dxa" w:w="1106"/>
          </w:tcPr>
          <w:p>
            <w:pPr>
              <w:pStyle w:val="Compact"/>
              <w:spacing w:before="20" w:after="20" w:line="240" w:lineRule="auto"/>
              <w:jc w:val="center"/>
              <w:keepNext/>
            </w:pPr>
            <w:r>
              <w:rPr>
                <w:sz w:val="13"/>
                <w:szCs w:val="13"/>
              </w:rPr>
              <w:t xml:space="preserve">0.061*** (0.836)</w:t>
            </w:r>
          </w:p>
        </w:tc>
        <w:tc>
          <w:tcPr>
            <w:tcW w:type="dxa" w:w="95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50"/>
          </w:tcPr>
          <w:p>
            <w:pPr>
              <w:pStyle w:val="Compact"/>
              <w:spacing w:before="20" w:after="20" w:line="240" w:lineRule="auto"/>
              <w:jc w:val="center"/>
              <w:keepNext/>
            </w:pPr>
            <w:r>
              <w:rPr>
                <w:sz w:val="13"/>
                <w:szCs w:val="13"/>
              </w:rPr>
              <w:t xml:space="preserve">0.858 (0.438)</w:t>
            </w:r>
          </w:p>
        </w:tc>
        <w:tc>
          <w:tcPr>
            <w:tcW w:type="dxa" w:w="950"/>
          </w:tcPr>
          <w:p>
            <w:pPr>
              <w:pStyle w:val="Compact"/>
              <w:spacing w:before="20" w:after="20" w:line="240" w:lineRule="auto"/>
              <w:jc w:val="center"/>
              <w:keepNext/>
            </w:pPr>
            <w:r>
              <w:rPr>
                <w:sz w:val="13"/>
                <w:szCs w:val="13"/>
              </w:rPr>
              <w:t xml:space="preserve">0.868 (0.435)</w:t>
            </w:r>
          </w:p>
        </w:tc>
        <w:tc>
          <w:tcPr>
            <w:tcW w:type="dxa" w:w="950"/>
          </w:tcPr>
          <w:p>
            <w:pPr>
              <w:pStyle w:val="Compact"/>
              <w:spacing w:before="20" w:after="20" w:line="240" w:lineRule="auto"/>
              <w:jc w:val="center"/>
              <w:keepNext/>
            </w:pPr>
            <w:r>
              <w:rPr>
                <w:sz w:val="13"/>
                <w:szCs w:val="13"/>
              </w:rPr>
              <w:t xml:space="preserve">0.699 (0.764)</w:t>
            </w:r>
          </w:p>
        </w:tc>
        <w:tc>
          <w:tcPr>
            <w:tcW w:type="dxa" w:w="950"/>
          </w:tcPr>
          <w:p>
            <w:pPr>
              <w:pStyle w:val="Compact"/>
              <w:spacing w:before="20" w:after="20" w:line="240" w:lineRule="auto"/>
              <w:jc w:val="center"/>
              <w:keepNext/>
            </w:pPr>
            <w:r>
              <w:rPr>
                <w:sz w:val="13"/>
                <w:szCs w:val="13"/>
              </w:rPr>
              <w:t xml:space="preserve">0.956 (0.443)</w:t>
            </w:r>
          </w:p>
        </w:tc>
        <w:tc>
          <w:tcPr>
            <w:tcW w:type="dxa" w:w="950"/>
          </w:tcPr>
          <w:p>
            <w:pPr>
              <w:pStyle w:val="Compact"/>
              <w:spacing w:before="20" w:after="20" w:line="240" w:lineRule="auto"/>
              <w:jc w:val="center"/>
              <w:keepNext/>
            </w:pPr>
            <w:r>
              <w:rPr>
                <w:sz w:val="13"/>
                <w:szCs w:val="13"/>
              </w:rPr>
              <w:t xml:space="preserve">1.089 (0.494)</w:t>
            </w:r>
          </w:p>
        </w:tc>
        <w:tc>
          <w:tcPr>
            <w:tcW w:type="dxa" w:w="1163"/>
          </w:tcPr>
          <w:p>
            <w:pPr>
              <w:pStyle w:val="Compact"/>
              <w:spacing w:before="20" w:after="20" w:line="240" w:lineRule="auto"/>
              <w:jc w:val="center"/>
              <w:keepNext/>
            </w:pPr>
            <w:r>
              <w:rPr>
                <w:sz w:val="13"/>
                <w:szCs w:val="13"/>
              </w:rPr>
              <w:t xml:space="preserve">0.000 (77240.682)</w:t>
            </w:r>
          </w:p>
        </w:tc>
        <w:tc>
          <w:tcPr>
            <w:tcW w:type="dxa" w:w="1106"/>
          </w:tcPr>
          <w:p>
            <w:pPr>
              <w:pStyle w:val="Compact"/>
              <w:spacing w:before="20" w:after="20" w:line="240" w:lineRule="auto"/>
              <w:jc w:val="center"/>
              <w:keepNext/>
            </w:pPr>
            <w:r>
              <w:rPr>
                <w:sz w:val="13"/>
                <w:szCs w:val="13"/>
              </w:rPr>
              <w:t xml:space="preserve">0.804 (0.449)</w:t>
            </w:r>
          </w:p>
        </w:tc>
        <w:tc>
          <w:tcPr>
            <w:tcW w:type="dxa" w:w="95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50"/>
          </w:tcPr>
          <w:p>
            <w:pPr>
              <w:pStyle w:val="Compact"/>
              <w:spacing w:before="20" w:after="20" w:line="240" w:lineRule="auto"/>
              <w:jc w:val="center"/>
              <w:keepNext/>
            </w:pPr>
            <w:r>
              <w:rPr>
                <w:sz w:val="13"/>
                <w:szCs w:val="13"/>
              </w:rPr>
              <w:t xml:space="preserve">1.997** (0.323)</w:t>
            </w:r>
          </w:p>
        </w:tc>
        <w:tc>
          <w:tcPr>
            <w:tcW w:type="dxa" w:w="950"/>
          </w:tcPr>
          <w:p>
            <w:pPr>
              <w:pStyle w:val="Compact"/>
              <w:spacing w:before="20" w:after="20" w:line="240" w:lineRule="auto"/>
              <w:jc w:val="center"/>
              <w:keepNext/>
            </w:pPr>
            <w:r>
              <w:rPr>
                <w:sz w:val="13"/>
                <w:szCs w:val="13"/>
              </w:rPr>
              <w:t xml:space="preserve">2.016** (0.322)</w:t>
            </w:r>
          </w:p>
        </w:tc>
        <w:tc>
          <w:tcPr>
            <w:tcW w:type="dxa" w:w="950"/>
          </w:tcPr>
          <w:p>
            <w:pPr>
              <w:pStyle w:val="Compact"/>
              <w:spacing w:before="20" w:after="20" w:line="240" w:lineRule="auto"/>
              <w:jc w:val="center"/>
              <w:keepNext/>
            </w:pPr>
            <w:r>
              <w:rPr>
                <w:sz w:val="13"/>
                <w:szCs w:val="13"/>
              </w:rPr>
              <w:t xml:space="preserve">1.636 (0.496)</w:t>
            </w:r>
          </w:p>
        </w:tc>
        <w:tc>
          <w:tcPr>
            <w:tcW w:type="dxa" w:w="950"/>
          </w:tcPr>
          <w:p>
            <w:pPr>
              <w:pStyle w:val="Compact"/>
              <w:spacing w:before="20" w:after="20" w:line="240" w:lineRule="auto"/>
              <w:jc w:val="center"/>
              <w:keepNext/>
            </w:pPr>
            <w:r>
              <w:rPr>
                <w:sz w:val="13"/>
                <w:szCs w:val="13"/>
              </w:rPr>
              <w:t xml:space="preserve">2.170** (0.339)</w:t>
            </w:r>
          </w:p>
        </w:tc>
        <w:tc>
          <w:tcPr>
            <w:tcW w:type="dxa" w:w="950"/>
          </w:tcPr>
          <w:p>
            <w:pPr>
              <w:pStyle w:val="Compact"/>
              <w:spacing w:before="20" w:after="20" w:line="240" w:lineRule="auto"/>
              <w:jc w:val="center"/>
              <w:keepNext/>
            </w:pPr>
            <w:r>
              <w:rPr>
                <w:sz w:val="13"/>
                <w:szCs w:val="13"/>
              </w:rPr>
              <w:t xml:space="preserve">2.046* (0.366)</w:t>
            </w:r>
          </w:p>
        </w:tc>
        <w:tc>
          <w:tcPr>
            <w:tcW w:type="dxa" w:w="1163"/>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5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50"/>
          </w:tcPr>
          <w:p>
            <w:pPr>
              <w:pStyle w:val="Compact"/>
              <w:spacing w:before="20" w:after="20" w:line="240" w:lineRule="auto"/>
              <w:jc w:val="center"/>
              <w:keepNext/>
            </w:pPr>
            <w:r>
              <w:rPr>
                <w:sz w:val="13"/>
                <w:szCs w:val="13"/>
              </w:rPr>
              <w:t xml:space="preserve">1.901 (0.779)</w:t>
            </w:r>
          </w:p>
        </w:tc>
        <w:tc>
          <w:tcPr>
            <w:tcW w:type="dxa" w:w="950"/>
          </w:tcPr>
          <w:p>
            <w:pPr>
              <w:pStyle w:val="Compact"/>
              <w:spacing w:before="20" w:after="20" w:line="240" w:lineRule="auto"/>
              <w:jc w:val="center"/>
              <w:keepNext/>
            </w:pPr>
            <w:r>
              <w:rPr>
                <w:sz w:val="13"/>
                <w:szCs w:val="13"/>
              </w:rPr>
              <w:t xml:space="preserve">1.923 (0.775)</w:t>
            </w:r>
          </w:p>
        </w:tc>
        <w:tc>
          <w:tcPr>
            <w:tcW w:type="dxa" w:w="950"/>
          </w:tcPr>
          <w:p>
            <w:pPr>
              <w:pStyle w:val="Compact"/>
              <w:spacing w:before="20" w:after="20" w:line="240" w:lineRule="auto"/>
              <w:jc w:val="center"/>
              <w:keepNext/>
            </w:pPr>
            <w:r>
              <w:rPr>
                <w:sz w:val="13"/>
                <w:szCs w:val="13"/>
              </w:rPr>
              <w:t xml:space="preserve">1.847 (1.010)</w:t>
            </w:r>
          </w:p>
        </w:tc>
        <w:tc>
          <w:tcPr>
            <w:tcW w:type="dxa" w:w="950"/>
          </w:tcPr>
          <w:p>
            <w:pPr>
              <w:pStyle w:val="Compact"/>
              <w:spacing w:before="20" w:after="20" w:line="240" w:lineRule="auto"/>
              <w:jc w:val="center"/>
              <w:keepNext/>
            </w:pPr>
            <w:r>
              <w:rPr>
                <w:sz w:val="13"/>
                <w:szCs w:val="13"/>
              </w:rPr>
              <w:t xml:space="preserve">2.385 (0.758)</w:t>
            </w:r>
          </w:p>
        </w:tc>
        <w:tc>
          <w:tcPr>
            <w:tcW w:type="dxa" w:w="950"/>
          </w:tcPr>
          <w:p>
            <w:pPr>
              <w:pStyle w:val="Compact"/>
              <w:spacing w:before="20" w:after="20" w:line="240" w:lineRule="auto"/>
              <w:jc w:val="center"/>
              <w:keepNext/>
            </w:pPr>
            <w:r>
              <w:rPr>
                <w:sz w:val="13"/>
                <w:szCs w:val="13"/>
              </w:rPr>
              <w:t xml:space="preserve">0.996 (0.914)</w:t>
            </w:r>
          </w:p>
        </w:tc>
        <w:tc>
          <w:tcPr>
            <w:tcW w:type="dxa" w:w="1163"/>
          </w:tcPr>
          <w:p>
            <w:pPr>
              <w:pStyle w:val="Compact"/>
              <w:spacing w:before="20" w:after="20" w:line="240" w:lineRule="auto"/>
              <w:jc w:val="center"/>
              <w:keepNext/>
            </w:pPr>
            <w:r>
              <w:rPr>
                <w:sz w:val="13"/>
                <w:szCs w:val="13"/>
              </w:rPr>
              <w:t xml:space="preserve">0.000 (77776.491)</w:t>
            </w:r>
          </w:p>
        </w:tc>
        <w:tc>
          <w:tcPr>
            <w:tcW w:type="dxa" w:w="1106"/>
          </w:tcPr>
          <w:p>
            <w:pPr>
              <w:pStyle w:val="Compact"/>
              <w:spacing w:before="20" w:after="20" w:line="240" w:lineRule="auto"/>
              <w:jc w:val="center"/>
              <w:keepNext/>
            </w:pPr>
            <w:r>
              <w:rPr>
                <w:sz w:val="13"/>
                <w:szCs w:val="13"/>
              </w:rPr>
              <w:t xml:space="preserve">2.172 (0.837)</w:t>
            </w:r>
          </w:p>
        </w:tc>
        <w:tc>
          <w:tcPr>
            <w:tcW w:type="dxa" w:w="95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473</w:t>
            </w:r>
          </w:p>
        </w:tc>
        <w:tc>
          <w:tcPr>
            <w:tcW w:type="dxa" w:w="950"/>
          </w:tcPr>
          <w:p>
            <w:pPr>
              <w:pStyle w:val="Compact"/>
              <w:spacing w:before="20" w:after="20" w:line="240" w:lineRule="auto"/>
              <w:jc w:val="center"/>
              <w:keepNext/>
            </w:pPr>
            <w:r>
              <w:rPr>
                <w:sz w:val="13"/>
                <w:szCs w:val="13"/>
              </w:rPr>
              <w:t xml:space="preserve">908</w:t>
            </w:r>
          </w:p>
        </w:tc>
        <w:tc>
          <w:tcPr>
            <w:tcW w:type="dxa" w:w="950"/>
          </w:tcPr>
          <w:p>
            <w:pPr>
              <w:pStyle w:val="Compact"/>
              <w:spacing w:before="20" w:after="20" w:line="240" w:lineRule="auto"/>
              <w:jc w:val="center"/>
              <w:keepNext/>
            </w:pPr>
            <w:r>
              <w:rPr>
                <w:sz w:val="13"/>
                <w:szCs w:val="13"/>
              </w:rPr>
              <w:t xml:space="preserve">860</w:t>
            </w:r>
          </w:p>
        </w:tc>
        <w:tc>
          <w:tcPr>
            <w:tcW w:type="dxa" w:w="1163"/>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5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50"/>
          </w:tcPr>
          <w:p>
            <w:pPr>
              <w:pStyle w:val="Compact"/>
              <w:spacing w:before="20" w:after="20" w:line="240" w:lineRule="auto"/>
              <w:jc w:val="center"/>
              <w:keepNext/>
            </w:pPr>
            <w:r>
              <w:rPr>
                <w:sz w:val="13"/>
                <w:szCs w:val="13"/>
              </w:rPr>
              <w:t xml:space="preserve">−774.5</w:t>
            </w:r>
          </w:p>
        </w:tc>
        <w:tc>
          <w:tcPr>
            <w:tcW w:type="dxa" w:w="950"/>
          </w:tcPr>
          <w:p>
            <w:pPr>
              <w:pStyle w:val="Compact"/>
              <w:spacing w:before="20" w:after="20" w:line="240" w:lineRule="auto"/>
              <w:jc w:val="center"/>
              <w:keepNext/>
            </w:pPr>
            <w:r>
              <w:rPr>
                <w:sz w:val="13"/>
                <w:szCs w:val="13"/>
              </w:rPr>
              <w:t xml:space="preserve">−829.4</w:t>
            </w:r>
          </w:p>
        </w:tc>
        <w:tc>
          <w:tcPr>
            <w:tcW w:type="dxa" w:w="950"/>
          </w:tcPr>
          <w:p>
            <w:pPr>
              <w:pStyle w:val="Compact"/>
              <w:spacing w:before="20" w:after="20" w:line="240" w:lineRule="auto"/>
              <w:jc w:val="center"/>
              <w:keepNext/>
            </w:pPr>
            <w:r>
              <w:rPr>
                <w:sz w:val="13"/>
                <w:szCs w:val="13"/>
              </w:rPr>
              <w:t xml:space="preserve">−425.3</w:t>
            </w:r>
          </w:p>
        </w:tc>
        <w:tc>
          <w:tcPr>
            <w:tcW w:type="dxa" w:w="950"/>
          </w:tcPr>
          <w:p>
            <w:pPr>
              <w:pStyle w:val="Compact"/>
              <w:spacing w:before="20" w:after="20" w:line="240" w:lineRule="auto"/>
              <w:jc w:val="center"/>
              <w:keepNext/>
            </w:pPr>
            <w:r>
              <w:rPr>
                <w:sz w:val="13"/>
                <w:szCs w:val="13"/>
              </w:rPr>
              <w:t xml:space="preserve">−755.9</w:t>
            </w:r>
          </w:p>
        </w:tc>
        <w:tc>
          <w:tcPr>
            <w:tcW w:type="dxa" w:w="950"/>
          </w:tcPr>
          <w:p>
            <w:pPr>
              <w:pStyle w:val="Compact"/>
              <w:spacing w:before="20" w:after="20" w:line="240" w:lineRule="auto"/>
              <w:jc w:val="center"/>
              <w:keepNext/>
            </w:pPr>
            <w:r>
              <w:rPr>
                <w:sz w:val="13"/>
                <w:szCs w:val="13"/>
              </w:rPr>
              <w:t xml:space="preserve">−682.7</w:t>
            </w:r>
          </w:p>
        </w:tc>
        <w:tc>
          <w:tcPr>
            <w:tcW w:type="dxa" w:w="1163"/>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5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않는다(표시 생략).</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무관 대안의 독립성(IIA).</w:t>
      </w:r>
      <w:r>
        <w:t xml:space="preserve"> </w:t>
      </w:r>
      <w:r>
        <w:t xml:space="preserve">다항 로짓의 IIA 가정을 간접 점검하기 위해 공정 단독형을 제외한 표본(N = 763)에서 통합형 대 조립 단독형을 이항 로짓으로 추정하면 기술범위 OR 1.463, 출원연도 0.987, 중국 출원청 1.177로, 다항 로짓 통합형 방정식의 값(1.403, 0.993, 1.205)과 거의 같다. 세 번째 대안의 존재가 통합형 방정식의 추정을 왜곡한다는 징후는 없다.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3"/>
    <w:bookmarkStart w:id="54"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4"/>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2026-09-24T23:49:59Z</dcterms:created>
  <dcterms:modified xsi:type="dcterms:W3CDTF">2026-09-24T23:49:59Z</dcterms:modified>
</cp:coreProperties>
</file>

<file path=docProps/custom.xml><?xml version="1.0" encoding="utf-8"?>
<Properties xmlns="http://schemas.openxmlformats.org/officeDocument/2006/custom-properties" xmlns:vt="http://schemas.openxmlformats.org/officeDocument/2006/docPropsVTypes"/>
</file>