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w:t>
      </w:r>
      <w:r>
        <w:rPr>
          <w:rFonts w:ascii="Times New Roman" w:hAnsi="Times New Roman" w:cs="Times New Roman"/>
          <w:b/>
          <w:bCs/>
          <w:color w:val="000000"/>
          <w:sz w:val="28"/>
          <w:highlight w:val="yellow"/>
        </w:rPr>
        <w:t xml:space="preserve">과 지식 통합</w:t>
      </w:r>
      <w:r>
        <w:rPr>
          <w:rFonts w:ascii="Times New Roman" w:hAnsi="Times New Roman" w:cs="Times New Roman"/>
          <w:b/>
          <w:bCs/>
          <w:color w:val="000000"/>
          <w:sz w:val="28"/>
        </w:rPr>
        <w:t xml:space="preserve">: 특허 기반 종단 분석</w:t>
      </w:r>
    </w:p>
    <w:p>
      <w:pPr>
        <w:pStyle w:val="BodyText"/>
      </w:pPr>
      <w:r>
        <w:rPr>
          <w:rFonts w:ascii="Times New Roman" w:hAnsi="Times New Roman" w:cs="Times New Roman"/>
          <w:b/>
          <w:bCs/>
          <w:color w:val="000000"/>
          <w:sz w:val="28"/>
        </w:rPr>
        <w:t xml:space="preserve">Cross-stage technology convergence</w:t>
      </w:r>
      <w:r>
        <w:rPr>
          <w:rFonts w:ascii="Times New Roman" w:hAnsi="Times New Roman" w:cs="Times New Roman"/>
          <w:b/>
          <w:bCs/>
          <w:color w:val="000000"/>
          <w:sz w:val="28"/>
        </w:rPr>
        <w:t xml:space="preserve"> </w:t>
      </w:r>
      <w:r>
        <w:rPr>
          <w:rFonts w:ascii="Times New Roman" w:hAnsi="Times New Roman" w:cs="Times New Roman"/>
          <w:b/>
          <w:bCs/>
          <w:color w:val="000000"/>
          <w:sz w:val="28"/>
          <w:highlight w:val="yellow"/>
        </w:rPr>
        <w:t xml:space="preserve">as knowledge integration</w:t>
      </w:r>
      <w:r>
        <w:rPr>
          <w:rFonts w:ascii="Times New Roman" w:hAnsi="Times New Roman" w:cs="Times New Roman"/>
          <w:b/>
          <w:bCs/>
          <w:color w:val="000000"/>
          <w:sz w:val="28"/>
        </w:rPr>
        <w:t xml:space="preserve"> </w:t>
      </w:r>
      <w:r>
        <w:rPr>
          <w:rFonts w:ascii="Times New Roman" w:hAnsi="Times New Roman" w:cs="Times New Roman"/>
          <w:b/>
          <w:bCs/>
          <w:color w:val="000000"/>
          <w:sz w:val="28"/>
        </w:rPr>
        <w:t xml:space="preserve">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pPr>
        <w:pStyle w:val="BodyText"/>
        <w:ind w:left="240"/>
      </w:pPr>
      <w:r>
        <w:rPr>
          <w:rFonts w:ascii="Times New Roman" w:hAnsi="Times New Roman" w:cs="Times New Roman"/>
          <w:highlight w:val="yellow"/>
        </w:rPr>
        <w:t xml:space="preserve">* Corresponding author.</w:t>
      </w:r>
    </w:p>
    <w:p>
      <w:r>
        <w:pict>
          <v:rect style="width:0;height:1.5pt" o:hralign="center" o:hrstd="t" o:hr="t"/>
        </w:pict>
      </w:r>
    </w:p>
    <w:bookmarkStart w:id="9" w:name="감사의-글"/>
    <w:p>
      <w:pPr>
        <w:pStyle w:val="Heading2"/>
      </w:pPr>
      <w:r>
        <w:rPr>
          <w:highlight w:val="yellow"/>
        </w:rPr>
        <w:t xml:space="preserve">감사의 글</w:t>
      </w:r>
    </w:p>
    <w:p>
      <w:pPr>
        <w:pStyle w:val="FirstParagraph"/>
      </w:pPr>
      <w:r>
        <w:rPr>
          <w:highlight w:val="yellow"/>
        </w:rPr>
        <w:t xml:space="preserve">없음, 또는 저자가 추가.</w:t>
      </w:r>
    </w:p>
    <w:bookmarkEnd w:id="9"/>
    <w:bookmarkStart w:id="10" w:name="연구비"/>
    <w:p>
      <w:pPr>
        <w:pStyle w:val="Heading2"/>
      </w:pPr>
      <w:r>
        <w:rPr>
          <w:highlight w:val="yellow"/>
        </w:rPr>
        <w:t xml:space="preserve">연구비</w:t>
      </w:r>
    </w:p>
    <w:p>
      <w:pPr>
        <w:pStyle w:val="FirstParagraph"/>
      </w:pPr>
      <w:r>
        <w:rPr>
          <w:highlight w:val="yellow"/>
        </w:rPr>
        <w:t xml:space="preserve">본 연구는 공공, 상업, 비영리 부문의 어떠한 기관으로부터도 특정 연구비를 지원받지 않았다.</w:t>
      </w:r>
    </w:p>
    <w:bookmarkEnd w:id="10"/>
    <w:bookmarkStart w:id="11" w:name="이해상충-선언"/>
    <w:p>
      <w:pPr>
        <w:pStyle w:val="Heading2"/>
      </w:pPr>
      <w:r>
        <w:rPr>
          <w:highlight w:val="yellow"/>
        </w:rPr>
        <w:t xml:space="preserve">이해상충 선언</w:t>
      </w:r>
    </w:p>
    <w:p>
      <w:pPr>
        <w:pStyle w:val="FirstParagraph"/>
      </w:pPr>
      <w:r>
        <w:rPr>
          <w:highlight w:val="yellow"/>
        </w:rPr>
        <w:t xml:space="preserve">저자들은 본 논문에 보고된 연구에 영향을 미친 것으로 보일 수 있는 재정적 이해관계나 개인적 관계가 없음을 밝힌다.</w:t>
      </w:r>
    </w:p>
    <w:bookmarkEnd w:id="11"/>
    <w:bookmarkStart w:id="12" w:name="credit-저자-기여"/>
    <w:p>
      <w:pPr>
        <w:pStyle w:val="Heading2"/>
      </w:pPr>
      <w:r>
        <w:rPr>
          <w:highlight w:val="yellow"/>
        </w:rPr>
        <w:t xml:space="preserve">CRediT 저자 기여</w:t>
      </w:r>
    </w:p>
    <w:p>
      <w:pPr>
        <w:pStyle w:val="FirstParagraph"/>
      </w:pPr>
      <w:r>
        <w:rPr>
          <w:b/>
          <w:bCs/>
          <w:highlight w:val="yellow"/>
        </w:rPr>
        <w:t xml:space="preserve">HyungKyu Lee:</w:t>
      </w:r>
      <w:r>
        <w:rPr>
          <w:highlight w:val="yellow"/>
        </w:rPr>
        <w:t xml:space="preserve"> </w:t>
      </w:r>
      <w:r>
        <w:rPr>
          <w:highlight w:val="yellow"/>
        </w:rPr>
        <w:t xml:space="preserve">연구 착상(Conceptualization), 자료 정리(Data curation), 분석(Formal analysis), 조사(Investigation), 방법론(Methodology), 시각화(Visualization), 초고 작성(Writing – original draft).</w:t>
      </w:r>
      <w:r>
        <w:rPr>
          <w:highlight w:val="yellow"/>
        </w:rPr>
        <w:t xml:space="preserve"> </w:t>
      </w:r>
      <w:r>
        <w:rPr>
          <w:b/>
          <w:bCs/>
          <w:highlight w:val="yellow"/>
        </w:rPr>
        <w:t xml:space="preserve">Mingu Kang:</w:t>
      </w:r>
      <w:r>
        <w:rPr>
          <w:highlight w:val="yellow"/>
        </w:rPr>
        <w:t xml:space="preserve"> </w:t>
      </w:r>
      <w:r>
        <w:rPr>
          <w:highlight w:val="yellow"/>
        </w:rPr>
        <w:t xml:space="preserve">연구 착상(Conceptualization), 지도(Supervision), 검토 및 수정(Writing – review &amp; editing).</w:t>
      </w:r>
    </w:p>
    <w:p>
      <w:r>
        <w:br w:type="page"/>
      </w:r>
    </w:p>
    <w:bookmarkEnd w:id="12"/>
    <w:bookmarkStart w:id="13" w:name="하이라이트highlights"/>
    <w:p>
      <w:pPr>
        <w:pStyle w:val="Heading2"/>
      </w:pPr>
      <w:r>
        <w:rPr>
          <w:highlight w:val="yellow"/>
        </w:rPr>
        <w:t xml:space="preserve">하이라이트(Highlights)</w:t>
      </w:r>
    </w:p>
    <w:p>
      <w:pPr>
        <w:pStyle w:val="Compact"/>
        <w:numPr>
          <w:ilvl w:val="0"/>
          <w:numId w:val="1001"/>
        </w:numPr>
      </w:pPr>
      <w:r>
        <w:rPr>
          <w:highlight w:val="yellow"/>
        </w:rPr>
        <w:t xml:space="preserve">하이브리드 본딩 특허에서 전공정과 후공정 지식의 통합을 확인함</w:t>
      </w:r>
    </w:p>
    <w:p>
      <w:pPr>
        <w:pStyle w:val="Compact"/>
        <w:numPr>
          <w:ilvl w:val="0"/>
          <w:numId w:val="1001"/>
        </w:numPr>
      </w:pPr>
      <w:r>
        <w:rPr>
          <w:highlight w:val="yellow"/>
        </w:rPr>
        <w:t xml:space="preserve">접합 지식과 제조공정 지식을 통합한 발명이 가장 큰 비중을 차지함</w:t>
      </w:r>
    </w:p>
    <w:p>
      <w:pPr>
        <w:pStyle w:val="Compact"/>
        <w:numPr>
          <w:ilvl w:val="0"/>
          <w:numId w:val="1001"/>
        </w:numPr>
      </w:pPr>
      <w:r>
        <w:rPr>
          <w:highlight w:val="yellow"/>
        </w:rPr>
        <w:t xml:space="preserve">공정 단계 간 지식 통합은 형성기, 확산기, 재편기의 세 국면을 거쳐 전개됨</w:t>
      </w:r>
    </w:p>
    <w:p>
      <w:pPr>
        <w:pStyle w:val="Compact"/>
        <w:numPr>
          <w:ilvl w:val="0"/>
          <w:numId w:val="1001"/>
        </w:numPr>
      </w:pPr>
      <w:r>
        <w:rPr>
          <w:highlight w:val="yellow"/>
        </w:rPr>
        <w:t xml:space="preserve">출원의 무게중심이 제조공정에서 접합 쪽으로 이동함</w:t>
      </w:r>
    </w:p>
    <w:p>
      <w:pPr>
        <w:pStyle w:val="Compact"/>
        <w:numPr>
          <w:ilvl w:val="0"/>
          <w:numId w:val="1001"/>
        </w:numPr>
      </w:pPr>
      <w:r>
        <w:rPr>
          <w:highlight w:val="yellow"/>
        </w:rPr>
        <w:t xml:space="preserve">핵심 설계가 성숙하면서 지식 통합의 위치가 핵심에서 주변 공정으로 이동함</w:t>
      </w:r>
    </w:p>
    <w:p>
      <w:r>
        <w:br w:type="page"/>
      </w:r>
    </w:p>
    <w:p>
      <w:pPr>
        <w:pStyle w:val="FirstParagraph"/>
      </w:pPr>
      <w:r>
        <w:rPr>
          <w:b/>
          <w:bCs/>
        </w:rPr>
        <w:t xml:space="preserve">반도체 하이브리드 본딩의 공정 단계 간 기술융합</w:t>
      </w:r>
      <w:r>
        <w:rPr>
          <w:b/>
          <w:bCs/>
          <w:highlight w:val="yellow"/>
        </w:rPr>
        <w:t xml:space="preserve">과 지식 통합</w:t>
      </w:r>
      <w:r>
        <w:rPr>
          <w:b/>
          <w:bCs/>
        </w:rPr>
        <w:t xml:space="preserve">: 특허 기반 종단 분석</w:t>
      </w:r>
    </w:p>
    <w:p>
      <w:pPr>
        <w:pStyle w:val="BodyText"/>
      </w:pPr>
      <w:r>
        <w:rPr>
          <w:b/>
          <w:bCs/>
        </w:rPr>
        <w:t xml:space="preserve">Cross-stage technology convergence</w:t>
      </w:r>
      <w:r>
        <w:rPr>
          <w:b/>
          <w:bCs/>
        </w:rPr>
        <w:t xml:space="preserve"> </w:t>
      </w:r>
      <w:r>
        <w:rPr>
          <w:b/>
          <w:bCs/>
          <w:highlight w:val="yellow"/>
        </w:rPr>
        <w:t xml:space="preserve">as knowledge integration</w:t>
      </w:r>
      <w:r>
        <w:rPr>
          <w:b/>
          <w:bCs/>
        </w:rPr>
        <w:t xml:space="preserve"> </w:t>
      </w:r>
      <w:r>
        <w:rPr>
          <w:b/>
          <w:bCs/>
        </w:rPr>
        <w:t xml:space="preserve">in semiconductor hybrid bonding: A patent-based longitudinal analysis</w:t>
      </w:r>
    </w:p>
    <w:p>
      <w:r>
        <w:pict>
          <v:rect style="width:0;height:1.5pt" o:hralign="center" o:hrstd="t" o:hr="t"/>
        </w:pict>
      </w:r>
    </w:p>
    <w:bookmarkEnd w:id="13"/>
    <w:bookmarkStart w:id="14"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w:t>
      </w:r>
      <w:r>
        <w:t xml:space="preserve"> </w:t>
      </w:r>
      <w:r>
        <w:rPr>
          <w:highlight w:val="yellow"/>
        </w:rPr>
        <w:t xml:space="preserve">지식</w:t>
      </w:r>
      <w:r>
        <w:t xml:space="preserve"> </w:t>
      </w:r>
      <w:r>
        <w:t xml:space="preserve">영역으로 다루어져 왔다. 그러나 후공정의 접합 기술인 하이브리드 본딩은 전공정의 제조공정</w:t>
      </w:r>
      <w:r>
        <w:t xml:space="preserve"> </w:t>
      </w:r>
      <w:r>
        <w:rPr>
          <w:highlight w:val="yellow"/>
        </w:rPr>
        <w:t xml:space="preserve">지식</w:t>
      </w:r>
      <w:r>
        <w:t xml:space="preserve">이 뒷받침되어야 요구 성능을 확보할 수 있어 공정 단계 간의 기술융합</w:t>
      </w:r>
      <w:r>
        <w:rPr>
          <w:highlight w:val="yellow"/>
        </w:rPr>
        <w:t xml:space="preserve">, 즉 두 공정 단계의 지식 통합</w:t>
      </w:r>
      <w:r>
        <w:t xml:space="preserve">이 이루어지고 있다. 본 연구는 하이브리드 본딩 특허를 대상으로 공정 단계 간</w:t>
      </w:r>
      <w:r>
        <w:t xml:space="preserve"> </w:t>
      </w:r>
      <w:r>
        <w:rPr>
          <w:highlight w:val="yellow"/>
        </w:rPr>
        <w:t xml:space="preserve">지식 통합</w:t>
      </w:r>
      <w:r>
        <w:t xml:space="preserve">의 수준과 유형, 그 시간적 변화, 그리고</w:t>
      </w:r>
      <w:r>
        <w:t xml:space="preserve"> </w:t>
      </w:r>
      <w:r>
        <w:rPr>
          <w:highlight w:val="yellow"/>
        </w:rPr>
        <w:t xml:space="preserve">통합이 일어나는 위치의</w:t>
      </w:r>
      <w:r>
        <w:t xml:space="preserve"> </w:t>
      </w:r>
      <w:r>
        <w:t xml:space="preserve">변화를 분석하고자 한다. 유럽특허청 PATSTAT에서 추출한 하이브리드 본딩 특허를</w:t>
      </w:r>
      <w:r>
        <w:t xml:space="preserve"> </w:t>
      </w:r>
      <w:r>
        <w:rPr>
          <w:highlight w:val="yellow"/>
        </w:rPr>
        <w:t xml:space="preserve">이러한 지식 통합의 흔적인</w:t>
      </w:r>
      <w:r>
        <w:t xml:space="preserve"> </w:t>
      </w:r>
      <w:r>
        <w:t xml:space="preserve">CPC 분류에 따라 접합 단독형, 공정 단독형, 통합형으로 구분하고, 다항·이항 로짓 분석과 기술 클러스터 및 네트워크 분석을 통해 공정 단계 간</w:t>
      </w:r>
      <w:r>
        <w:t xml:space="preserve"> </w:t>
      </w:r>
      <w:r>
        <w:rPr>
          <w:highlight w:val="yellow"/>
        </w:rPr>
        <w:t xml:space="preserve">지식 통합</w:t>
      </w:r>
      <w:r>
        <w:t xml:space="preserve">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w:t>
      </w:r>
      <w:r>
        <w:t xml:space="preserve"> </w:t>
      </w:r>
      <w:r>
        <w:rPr>
          <w:highlight w:val="yellow"/>
        </w:rPr>
        <w:t xml:space="preserve">또한 통합형 출원은 세부 기술을 더 다양하게 포함하였다.</w:t>
      </w:r>
      <w:r>
        <w:t xml:space="preserve"> </w:t>
      </w:r>
      <w:r>
        <w:t xml:space="preserve">둘째,</w:t>
      </w:r>
      <w:r>
        <w:t xml:space="preserve"> </w:t>
      </w:r>
      <w:r>
        <w:rPr>
          <w:highlight w:val="yellow"/>
        </w:rPr>
        <w:t xml:space="preserve">지식 통합</w:t>
      </w:r>
      <w:r>
        <w:t xml:space="preserve">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w:t>
      </w:r>
      <w:r>
        <w:t xml:space="preserve"> </w:t>
      </w:r>
      <w:r>
        <w:rPr>
          <w:highlight w:val="yellow"/>
        </w:rPr>
        <w:t xml:space="preserve">핵심 기술 설계의 고착화가 진행되었다는 해석과 부합하게 공정 단계 간 지식 통합이 사라지는 것이 아니라 그 위치를 옮겨 감을 시사한다.</w:t>
      </w:r>
    </w:p>
    <w:p>
      <w:pPr>
        <w:pStyle w:val="BodyText"/>
      </w:pPr>
      <w:r>
        <w:rPr>
          <w:b/>
          <w:bCs/>
        </w:rPr>
        <w:t xml:space="preserve">주제어:</w:t>
      </w:r>
      <w:r>
        <w:t xml:space="preserve"> </w:t>
      </w:r>
      <w:r>
        <w:t xml:space="preserve">기술융합; 공정 단계 간 융합; 하이브리드 본딩; 첨단 패키징;</w:t>
      </w:r>
      <w:r>
        <w:t xml:space="preserve"> </w:t>
      </w:r>
      <w:r>
        <w:rPr>
          <w:highlight w:val="yellow"/>
        </w:rPr>
        <w:t xml:space="preserve">지식 통합</w:t>
      </w:r>
      <w:r>
        <w:t xml:space="preserve">;</w:t>
      </w:r>
      <w:r>
        <w:t xml:space="preserve"> </w:t>
      </w:r>
      <w:r>
        <w:rPr>
          <w:highlight w:val="yellow"/>
        </w:rPr>
        <w:t xml:space="preserve">지식 경계</w:t>
      </w:r>
    </w:p>
    <w:p>
      <w:pPr>
        <w:pStyle w:val="BodyText"/>
      </w:pPr>
      <w:r>
        <w:rPr>
          <w:b/>
          <w:bCs/>
          <w:highlight w:val="yellow"/>
        </w:rPr>
        <w:t xml:space="preserve">JEL 분류:</w:t>
      </w:r>
      <w:r>
        <w:rPr>
          <w:highlight w:val="yellow"/>
        </w:rPr>
        <w:t xml:space="preserve"> </w:t>
      </w:r>
      <w:r>
        <w:rPr>
          <w:highlight w:val="yellow"/>
        </w:rPr>
        <w:t xml:space="preserve">L63; O32; O33; O34</w:t>
      </w:r>
    </w:p>
    <w:p>
      <w:r>
        <w:pict>
          <v:rect style="width:0;height:1.5pt" o:hralign="center" o:hrstd="t" o:hr="t"/>
        </w:pict>
      </w:r>
    </w:p>
    <w:bookmarkEnd w:id="14"/>
    <w:bookmarkStart w:id="15"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외주화되었다(Brown &amp; Linden, 2009; Macher &amp; Mowery, 2004). 이러한 분업은 두 단계 사이의 인터페이스가 비교적 안정적으로 관리되었기 때문에 가능하였다.</w:t>
      </w:r>
      <w:r>
        <w:t xml:space="preserve"> </w:t>
      </w:r>
      <w:r>
        <w:rPr>
          <w:highlight w:val="yellow"/>
        </w:rPr>
        <w:t xml:space="preserve">안정적인 인터페이스는 각 공정 단계가 서로 구분되는 지식 영역을 유지하면서 전문화할 수 있게 한다(Brusoni et al., 2001; Henderson &amp; Clark, 1990).</w:t>
      </w:r>
      <w:r>
        <w:t xml:space="preserve"> </w:t>
      </w:r>
      <w:r>
        <w:t xml:space="preserve">그러나 첨단 패키징이 등장하면서 이 인터페이스에도 변화가 나타나고 있다. 한 단계의 성능이 다른 단계의 공정 역량에 보다 직접적으로 의존하게 된 것이다.</w:t>
      </w:r>
      <w:r>
        <w:t xml:space="preserve"> </w:t>
      </w:r>
      <w:r>
        <w:rPr>
          <w:highlight w:val="yellow"/>
        </w:rPr>
        <w:t xml:space="preserve">기술 변화가 이러한 인터페이스를 불안정하게 만들면, 혁신은 경계 양쪽의 전문 지식을 통합할 것을 점점 더 요구하게 된다(Grant, 1996).</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있다(KnowMade, 2024; Lau, 2022).</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왔다(Curran &amp; Leker, 2011; Kodama, 1992; Rosenberg, 1963; Sick &amp;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r>
        <w:t xml:space="preserve"> </w:t>
      </w:r>
      <w:r>
        <w:rPr>
          <w:highlight w:val="yellow"/>
        </w:rPr>
        <w:t xml:space="preserve">지식의 관점에서 보면, 이는 두 단계의 지식 영역이 융합하는지뿐 아니라 기술 아키텍처가 진화함에 따라 그 지식이 통합되는 위치가 어떻게 달라지는지에 관한 질문이기도 하다.</w:t>
      </w:r>
    </w:p>
    <w:p>
      <w:pPr>
        <w:pStyle w:val="BodyText"/>
      </w:pPr>
      <w:r>
        <w:t xml:space="preserve">이에 본 연구는 공정 단계 간 기술 경계의 융합</w:t>
      </w:r>
      <w:r>
        <w:rPr>
          <w:highlight w:val="yellow"/>
        </w:rPr>
        <w:t xml:space="preserve">, 즉 두 단계의 지식이 하나의 발명 안에서 통합되는 현상</w:t>
      </w:r>
      <w:r>
        <w:t xml:space="preserve">을 개별 특허 수준에서 확인할 수 있는지, 그리고 그</w:t>
      </w:r>
      <w:r>
        <w:t xml:space="preserve"> </w:t>
      </w:r>
      <w:r>
        <w:rPr>
          <w:highlight w:val="yellow"/>
        </w:rPr>
        <w:t xml:space="preserve">통합</w:t>
      </w:r>
      <w:r>
        <w:t xml:space="preserve">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w:t>
      </w:r>
      <w:r>
        <w:t xml:space="preserve"> </w:t>
      </w:r>
      <w:r>
        <w:rPr>
          <w:highlight w:val="yellow"/>
        </w:rPr>
        <w:t xml:space="preserve">발명은 기존 지식의 새로운 결합이므로(Fleming, 2001), 한 출원의 공동분류는 두 공정 영역의 지식이 하나의 발명 안에서 통합되었음을 보여 주는, 불완전하지만 관찰 가능한 흔적이다.</w:t>
      </w:r>
      <w:r>
        <w:t xml:space="preserve"> </w:t>
      </w:r>
      <w:r>
        <w:t xml:space="preserve">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w:t>
      </w:r>
      <w:r>
        <w:t xml:space="preserve"> </w:t>
      </w:r>
      <w:r>
        <w:rPr>
          <w:highlight w:val="yellow"/>
        </w:rPr>
        <w:t xml:space="preserve">하이브리드 본딩 발명에서 제조공정 영역과 접합 영역의 지식이 어느 정도로, 어떠한 형태로 통합되는가</w:t>
      </w:r>
      <w:r>
        <w:t xml:space="preserve">? 둘째(RQ2),</w:t>
      </w:r>
      <w:r>
        <w:t xml:space="preserve"> </w:t>
      </w:r>
      <w:r>
        <w:rPr>
          <w:highlight w:val="yellow"/>
        </w:rPr>
        <w:t xml:space="preserve">공정 단계 간 지식 통합은 시간에 따라 어떻게 변화해 왔는가</w:t>
      </w:r>
      <w:r>
        <w:t xml:space="preserve">? 셋째(RQ3),</w:t>
      </w:r>
      <w:r>
        <w:t xml:space="preserve"> </w:t>
      </w:r>
      <w:r>
        <w:rPr>
          <w:highlight w:val="yellow"/>
        </w:rPr>
        <w:t xml:space="preserve">공정 단계 간 지식 통합이 일어나는 위치는 핵심 기술과 주변 기술 사이에서 시기에 따라 어떻게 이동하는가</w:t>
      </w:r>
      <w:r>
        <w:t xml:space="preserve">?</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r>
        <w:t xml:space="preserve"> </w:t>
      </w:r>
      <w:r>
        <w:rPr>
          <w:highlight w:val="yellow"/>
        </w:rPr>
        <w:t xml:space="preserve">지식의 관점에서 이는 지식 경계에 관한 논의를 한 산업 내에서 수직적으로 분리된 공정 영역으로 확장하는 것이다.</w:t>
      </w:r>
      <w:r>
        <w:t xml:space="preserve"> </w:t>
      </w:r>
      <w:r>
        <w:t xml:space="preserve">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r>
        <w:t xml:space="preserve"> </w:t>
      </w:r>
      <w:r>
        <w:rPr>
          <w:highlight w:val="yellow"/>
        </w:rPr>
        <w:t xml:space="preserve">즉, 공정 단계 간 지식 통합의 강도와 형태는 기술이 발전함에 따라 비선형적으로 재편된다.</w:t>
      </w:r>
      <w:r>
        <w:t xml:space="preserve"> </w:t>
      </w:r>
      <w:r>
        <w:t xml:space="preserve">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r>
        <w:t xml:space="preserve"> </w:t>
      </w:r>
      <w:r>
        <w:rPr>
          <w:highlight w:val="yellow"/>
        </w:rPr>
        <w:t xml:space="preserve">또한 핵심 설계가 고착화됨에 따라 지식 통합이 사라지는 것이 아니라 핵심 접합부에서 이를 구현하는 주변 공정으로 그 위치를 옮겨 간다는 점을 시사한다.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5"/>
    <w:bookmarkStart w:id="20" w:name="이론적-배경"/>
    <w:p>
      <w:pPr>
        <w:pStyle w:val="Heading2"/>
      </w:pPr>
      <w:r>
        <w:t xml:space="preserve">2. 이론적 배경</w:t>
      </w:r>
    </w:p>
    <w:bookmarkStart w:id="16"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w:t>
      </w:r>
      <w:r>
        <w:t xml:space="preserve"> </w:t>
      </w:r>
      <w:r>
        <w:rPr>
          <w:highlight w:val="yellow"/>
        </w:rPr>
        <w:t xml:space="preserve">지식 기반 관점에서 보면 이러한 결합은 분리되어 있던 전문 지식의 통합에 해당하며(Grant, 1996), 각 발명은 기존 지식 요소의 새로운 결합으로 볼 수 있다(Fleming, 2001).</w:t>
      </w:r>
      <w:r>
        <w:t xml:space="preserve"> </w:t>
      </w:r>
      <w:r>
        <w:t xml:space="preserve">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&amp;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해당한다(Bröring et al., 2006; Gambardella &amp; Torrisi, 1998; No &amp; Park, 2010). 둘째, 융합은 일반적으로 두 분야 사이의 공동분류나 인용을 집계한 분야 수준의 지표로 측정된다(Cho &amp; Kim, 2014; Choi et al., 2022; Curran et al., 2010; Song et al., 2017).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w:t>
      </w:r>
      <w:r>
        <w:rPr>
          <w:highlight w:val="yellow"/>
        </w:rPr>
        <w:t xml:space="preserve">과 지식 경계</w:t>
      </w:r>
      <w:r>
        <w:t xml:space="preserve">(제2.2절), 기술융합의 동태적 전개</w:t>
      </w:r>
      <w:r>
        <w:rPr>
          <w:highlight w:val="yellow"/>
        </w:rPr>
        <w:t xml:space="preserve">와 지식 통합의 위치</w:t>
      </w:r>
      <w:r>
        <w:t xml:space="preserve">(제2.3절),</w:t>
      </w:r>
      <w:r>
        <w:t xml:space="preserve"> </w:t>
      </w:r>
      <w:r>
        <w:rPr>
          <w:highlight w:val="yellow"/>
        </w:rPr>
        <w:t xml:space="preserve">지식 통합의 관점에서 본</w:t>
      </w:r>
      <w:r>
        <w:t xml:space="preserve"> </w:t>
      </w:r>
      <w:r>
        <w:t xml:space="preserve">특허 기반 기술융합 측정(제2.4절)을 차례로 검토한다.</w:t>
      </w:r>
    </w:p>
    <w:bookmarkEnd w:id="16"/>
    <w:bookmarkStart w:id="17" w:name="가치사슬-내-공정-단계-간-기술융합과-지식-경계"/>
    <w:p>
      <w:pPr>
        <w:pStyle w:val="Heading3"/>
      </w:pPr>
      <w:r>
        <w:t xml:space="preserve">2.2 가치사슬 내 공정 단계 간 기술융합</w:t>
      </w:r>
      <w:r>
        <w:rPr>
          <w:highlight w:val="yellow"/>
        </w:rPr>
        <w:t xml:space="preserve">과 지식 경계</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w:t>
      </w:r>
      <w:r>
        <w:t xml:space="preserve"> </w:t>
      </w:r>
      <w:r>
        <w:rPr>
          <w:highlight w:val="yellow"/>
        </w:rPr>
        <w:t xml:space="preserve">Henderson과 Clark(1990)은 반도체 노광 정렬 장비 산업을 분석하여 부품에 관한 지식과 부품들이 어떻게 연결되는지에 관한 아키텍처 지식을 구분하고, 연결 방식이 바뀌면 기존 아키텍처 지식의 유용성이 훼손됨을 보였다.</w:t>
      </w:r>
      <w:r>
        <w:t xml:space="preserve"> </w:t>
      </w:r>
      <w:r>
        <w:t xml:space="preserve">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7"/>
    <w:bookmarkStart w:id="18" w:name="기술융합의-동태적-전개와-지식-통합의-위치"/>
    <w:p>
      <w:pPr>
        <w:pStyle w:val="Heading3"/>
      </w:pPr>
      <w:r>
        <w:t xml:space="preserve">2.3 기술융합의 동태적 전개</w:t>
      </w:r>
      <w:r>
        <w:rPr>
          <w:highlight w:val="yellow"/>
        </w:rPr>
        <w:t xml:space="preserve">와 지식 통합의 위치</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&amp;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&amp;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&amp;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w:t>
      </w:r>
      <w:r>
        <w:rPr>
          <w:b/>
          <w:bCs/>
        </w:rPr>
        <w:t xml:space="preserve"> </w:t>
      </w:r>
      <w:r>
        <w:rPr>
          <w:b/>
          <w:bCs/>
          <w:highlight w:val="yellow"/>
        </w:rPr>
        <w:t xml:space="preserve">지식 통합</w:t>
      </w:r>
      <w:r>
        <w:rPr>
          <w:b/>
          <w:bCs/>
        </w:rPr>
        <w:t xml:space="preserve">의 수준과 형태가 시간에 따라 어떻게 변화하는지, 그리고</w:t>
      </w:r>
      <w:r>
        <w:rPr>
          <w:b/>
          <w:bCs/>
        </w:rPr>
        <w:t xml:space="preserve"> </w:t>
      </w:r>
      <w:r>
        <w:rPr>
          <w:b/>
          <w:bCs/>
          <w:highlight w:val="yellow"/>
        </w:rPr>
        <w:t xml:space="preserve">통합이 일어나는 위치</w:t>
      </w:r>
      <w:r>
        <w:rPr>
          <w:b/>
          <w:bCs/>
        </w:rPr>
        <w:t xml:space="preserve">가 핵심 기술과 주변 기술 사이에서 어떻게 이동하는지를 분석한다.</w:t>
      </w:r>
    </w:p>
    <w:bookmarkEnd w:id="18"/>
    <w:bookmarkStart w:id="19" w:name="지식-통합의-관점에서-본-특허-기반-기술융합-측정"/>
    <w:p>
      <w:pPr>
        <w:pStyle w:val="Heading3"/>
      </w:pPr>
      <w:r>
        <w:t xml:space="preserve">2.4</w:t>
      </w:r>
      <w:r>
        <w:t xml:space="preserve"> </w:t>
      </w:r>
      <w:r>
        <w:rPr>
          <w:highlight w:val="yellow"/>
        </w:rPr>
        <w:t xml:space="preserve">지식 통합의 관점에서 본</w:t>
      </w:r>
      <w:r>
        <w:t xml:space="preserve"> </w:t>
      </w:r>
      <w:r>
        <w:t xml:space="preserve">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&amp; Leker, 2011). 기존 연구는 대체로 두 분야의 기호가 함께 부여된 특허의 수를 집계하여 분야 수준의 지수로 융합을 측정해 왔다(Cho &amp; Kim, 2014; Jeong et al., 2015; Kwon et al., 2020; Lee et al., 2015; Yun &amp; Geum, 2019). 한편 분류 체계가 발명을 사후적으로 반영한다는 한계를 보완하기 위해 특허 텍스트를 활용하는 연구도 이루어졌다(Preschitschek et al., 2013; Zhu &amp;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w:t>
      </w:r>
      <w:r>
        <w:t xml:space="preserve"> </w:t>
      </w:r>
      <w:r>
        <w:rPr>
          <w:highlight w:val="yellow"/>
        </w:rPr>
        <w:t xml:space="preserve">이러한 의미에서 공동분류는 발명 수준의 지식 통합을 보여 주는 관찰 가능한 흔적이며, 조직 간 지식 이전의 측정치는 아니다.</w:t>
      </w:r>
      <w:r>
        <w:t xml:space="preserve"> </w:t>
      </w:r>
      <w:r>
        <w:t xml:space="preserve">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&amp;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w:t>
      </w:r>
      <w:r>
        <w:rPr>
          <w:b/>
          <w:bCs/>
        </w:rPr>
        <w:t xml:space="preserve"> </w:t>
      </w:r>
      <w:r>
        <w:rPr>
          <w:b/>
          <w:bCs/>
          <w:highlight w:val="yellow"/>
        </w:rPr>
        <w:t xml:space="preserve">지식 통합</w:t>
      </w:r>
      <w:r>
        <w:rPr>
          <w:b/>
          <w:bCs/>
        </w:rPr>
        <w:t xml:space="preserve">의 수준과 함께 기술적 다양성과 통합형의 관계를 분석한다.</w:t>
      </w:r>
    </w:p>
    <w:bookmarkEnd w:id="19"/>
    <w:bookmarkEnd w:id="20"/>
    <w:bookmarkStart w:id="29"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r>
        <w:t xml:space="preserve"> </w:t>
      </w:r>
      <w:r>
        <w:rPr>
          <w:highlight w:val="yellow"/>
        </w:rPr>
        <w:t xml:space="preserve">여기서 하이브리드 본딩은 수직적으로 분리된 제조 단계의 지식이 발명 안에서 어떻게 통합되는지를 관찰하는 실증적 배경이다.</w:t>
      </w:r>
    </w:p>
    <w:bookmarkStart w:id="24"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22" name="Picture"/>
            <a:graphic>
              <a:graphicData uri="http://schemas.openxmlformats.org/drawingml/2006/picture">
                <pic:pic>
                  <pic:nvPicPr>
                    <pic:cNvPr descr="figures/fig_framework_psp.png" id="23" name="Picture"/>
                    <pic:cNvPicPr>
                      <a:picLocks noChangeArrowheads="1" noChangeAspect="1"/>
                    </pic:cNvPicPr>
                  </pic:nvPicPr>
                  <pic:blipFill>
                    <a:blip r:embed="rId21"/>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24"/>
    <w:bookmarkStart w:id="28"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r>
        <w:t xml:space="preserve"> </w:t>
      </w:r>
      <w:r>
        <w:rPr>
          <w:highlight w:val="yellow"/>
        </w:rPr>
        <w:t xml:space="preserve">따라서 하이브리드 본딩 발명은 평탄화, 표면 화학, 정렬에 관한 전공정 지식과 다이 처리, 적층, 패키징에 관한 후공정 지식을 함께 결합해야 하며, 이 지식들은 오랫동안 서로 다른 생산 단계, 흔히 서로 다른 기업에 나뉘어 있었다.</w:t>
      </w:r>
    </w:p>
    <w:p>
      <w:pPr>
        <w:pStyle w:val="BodyText"/>
        <w:keepNext/>
      </w:pPr>
      <w:r>
        <w:drawing>
          <wp:inline>
            <wp:extent cx="5334000" cy="3412748"/>
            <wp:effectExtent b="0" l="0" r="0" t="0"/>
            <wp:docPr descr="" title="" id="26" name="Picture"/>
            <a:graphic>
              <a:graphicData uri="http://schemas.openxmlformats.org/drawingml/2006/picture">
                <pic:pic>
                  <pic:nvPicPr>
                    <pic:cNvPr descr="figures/fig_d2w_flow_amat_ko.png" id="27" name="Picture"/>
                    <pic:cNvPicPr>
                      <a:picLocks noChangeArrowheads="1" noChangeAspect="1"/>
                    </pic:cNvPicPr>
                  </pic:nvPicPr>
                  <pic:blipFill>
                    <a:blip r:embed="rId25"/>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w:t>
      </w:r>
      <w:r>
        <w:t xml:space="preserve"> </w:t>
      </w:r>
      <w:r>
        <w:rPr>
          <w:highlight w:val="yellow"/>
        </w:rPr>
        <w:t xml:space="preserve">즉, 이 기술에 필요한 지식은 수직적 분업으로 나뉘어 있던 여러 조직에 걸쳐 분포한다.</w:t>
      </w:r>
      <w:r>
        <w:t xml:space="preserve"> </w:t>
      </w:r>
      <w:r>
        <w:t xml:space="preserve">이상의 기술적·산업적 특성은 하이브리드 본딩이 공정 단계 간 기술융합</w:t>
      </w:r>
      <w:r>
        <w:rPr>
          <w:highlight w:val="yellow"/>
        </w:rPr>
        <w:t xml:space="preserve">, 곧 공정 단계 간 지식 통합</w:t>
      </w:r>
      <w:r>
        <w:t xml:space="preserve">을 분석하기에 적합한 사례임을 시사한다. 다음 절에서는 이를 실증적으로 분석하기 위한 자료와 방법을 제시한다.</w:t>
      </w:r>
    </w:p>
    <w:bookmarkEnd w:id="28"/>
    <w:bookmarkEnd w:id="29"/>
    <w:bookmarkStart w:id="41" w:name="자료와-방법"/>
    <w:p>
      <w:pPr>
        <w:pStyle w:val="Heading2"/>
      </w:pPr>
      <w:r>
        <w:t xml:space="preserve">4. 자료와 방법</w:t>
      </w:r>
    </w:p>
    <w:bookmarkStart w:id="30"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30"/>
    <w:bookmarkStart w:id="31"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w:t>
      </w:r>
      <w:r>
        <w:t xml:space="preserve"> </w:t>
      </w:r>
      <w:r>
        <w:rPr>
          <w:highlight w:val="yellow"/>
        </w:rPr>
        <w:t xml:space="preserve">지식의 관점에서 두 클래스는 제조공정 지식과 접합·인터커넥트 지식이라는 서로 구분되는 지식 영역에 해당하며, 접합 단독형과 공정 단독형 출원은 한 영역의 지식에 기반한 발명이고 통합형 출원은 두 영역의 지식을 통합한 발명이다.</w:t>
      </w:r>
      <w:r>
        <w:t xml:space="preserve"> </w:t>
      </w:r>
      <w:r>
        <w:t xml:space="preserve">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r>
              <w:rPr>
                <w:highlight w:val="yellow"/>
                <w:sz w:val="18"/>
                <w:szCs w:val="18"/>
              </w:rPr>
              <w:t xml:space="preserve">(공정 단계 간 지식 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r>
              <w:rPr>
                <w:highlight w:val="yellow"/>
                <w:sz w:val="18"/>
                <w:szCs w:val="18"/>
              </w:rPr>
              <w:t xml:space="preserve">(지식을 통합한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31"/>
    <w:bookmarkStart w:id="35"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33" name="Picture"/>
            <a:graphic>
              <a:graphicData uri="http://schemas.openxmlformats.org/drawingml/2006/picture">
                <pic:pic>
                  <pic:nvPicPr>
                    <pic:cNvPr descr="figures/fig2_applications_by_year_ko.png" id="34" name="Picture"/>
                    <pic:cNvPicPr>
                      <a:picLocks noChangeArrowheads="1" noChangeAspect="1"/>
                    </pic:cNvPicPr>
                  </pic:nvPicPr>
                  <pic:blipFill>
                    <a:blip r:embed="rId3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5"/>
    <w:bookmarkStart w:id="39"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r>
        <w:t xml:space="preserve"> </w:t>
      </w:r>
      <w:r>
        <w:rPr>
          <w:highlight w:val="yellow"/>
        </w:rPr>
        <w:t xml:space="preserve">지식의 관점에서 핵심 기술은 하이브리드 본딩 아키텍처의 핵심 지식 요소이며, 기술 네트워크는 지식 요소들이 결합하는 구조를 보여 준다.</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7" name="Picture"/>
            <a:graphic>
              <a:graphicData uri="http://schemas.openxmlformats.org/drawingml/2006/picture">
                <pic:pic>
                  <pic:nvPicPr>
                    <pic:cNvPr descr="figures/fig_core_network_v58_ko.png" id="38" name="Picture"/>
                    <pic:cNvPicPr>
                      <a:picLocks noChangeArrowheads="1" noChangeAspect="1"/>
                    </pic:cNvPicPr>
                  </pic:nvPicPr>
                  <pic:blipFill>
                    <a:blip r:embed="rId36"/>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9"/>
    <w:bookmarkStart w:id="40"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위함이다(Lee et al., 2017).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r>
        <w:t xml:space="preserve"> </w:t>
      </w:r>
      <w:r>
        <w:rPr>
          <w:highlight w:val="yellow"/>
        </w:rPr>
        <w:t xml:space="preserve">지식의 관점에서 Jaccard 계수는 각 제조공정 지식 영역이 접합 지식과 얼마나 강하게 통합되는지를, 매개 중심성은 어떤 지식 영역이 두 영역을 잇는지, 곧 통합이 일어나는 위치를 보여 준다.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40"/>
    <w:bookmarkEnd w:id="41"/>
    <w:bookmarkStart w:id="52"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5" w:name="기술융합과-지식-통합의-수준과-유형-rq1"/>
    <w:p>
      <w:pPr>
        <w:pStyle w:val="Heading3"/>
      </w:pPr>
      <w:r>
        <w:t xml:space="preserve">5.1 기술융합</w:t>
      </w:r>
      <w:r>
        <w:rPr>
          <w:highlight w:val="yellow"/>
        </w:rPr>
        <w:t xml:space="preserve">과 지식 통합</w:t>
      </w:r>
      <w:r>
        <w:t xml:space="preserve">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r>
        <w:t xml:space="preserve"> </w:t>
      </w:r>
      <w:r>
        <w:rPr>
          <w:highlight w:val="yellow"/>
        </w:rPr>
        <w:t xml:space="preserve">출원의 절반 가까이가 두 공정 영역의 지식을 하나의 발명 안에서 통합하고 있는 것이다.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43" name="Picture"/>
            <a:graphic>
              <a:graphicData uri="http://schemas.openxmlformats.org/drawingml/2006/picture">
                <pic:pic>
                  <pic:nvPicPr>
                    <pic:cNvPr descr="figures/fig_pred_types_v37_ko.png" id="44" name="Picture"/>
                    <pic:cNvPicPr>
                      <a:picLocks noChangeArrowheads="1" noChangeAspect="1"/>
                    </pic:cNvPicPr>
                  </pic:nvPicPr>
                  <pic:blipFill>
                    <a:blip r:embed="rId42"/>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5"/>
    <w:bookmarkStart w:id="49" w:name="기술융합과-지식-통합의-시간적-변화-rq2"/>
    <w:p>
      <w:pPr>
        <w:pStyle w:val="Heading3"/>
      </w:pPr>
      <w:r>
        <w:t xml:space="preserve">5.2 기술융합</w:t>
      </w:r>
      <w:r>
        <w:rPr>
          <w:highlight w:val="yellow"/>
        </w:rPr>
        <w:t xml:space="preserve">과 지식 통합</w:t>
      </w:r>
      <w:r>
        <w:t xml:space="preserve">의 시간적 변화 (RQ2)</w:t>
      </w:r>
    </w:p>
    <w:p>
      <w:pPr>
        <w:pStyle w:val="FirstParagraph"/>
      </w:pPr>
      <w:r>
        <w:t xml:space="preserve">제5.1절에서 확인한 융합의 수준은 시기에 따라 크게 달랐다. 표 9와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r>
        <w:t xml:space="preserve"> </w:t>
      </w:r>
      <w:r>
        <w:rPr>
          <w:highlight w:val="yellow"/>
        </w:rPr>
        <w:t xml:space="preserve">두 공정 단계의 지식 통합은 꾸준히 누적되기보다 강화되었다가 다시 약해진 것이다.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7" name="Picture"/>
            <a:graphic>
              <a:graphicData uri="http://schemas.openxmlformats.org/drawingml/2006/picture">
                <pic:pic>
                  <pic:nvPicPr>
                    <pic:cNvPr descr="figures/fig7_period_shares_v37_ko.png" id="48" name="Picture"/>
                    <pic:cNvPicPr>
                      <a:picLocks noChangeArrowheads="1" noChangeAspect="1"/>
                    </pic:cNvPicPr>
                  </pic:nvPicPr>
                  <pic:blipFill>
                    <a:blip r:embed="rId46"/>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9"/>
    <w:bookmarkStart w:id="50" w:name="기술융합의-구조적-중심과-지식-통합-위치의-변화-rq3"/>
    <w:p>
      <w:pPr>
        <w:pStyle w:val="Heading3"/>
      </w:pPr>
      <w:r>
        <w:t xml:space="preserve">5.3 기술융합의 구조적 중심</w:t>
      </w:r>
      <w:r>
        <w:rPr>
          <w:highlight w:val="yellow"/>
        </w:rPr>
        <w:t xml:space="preserve">과 지식 통합 위치의</w:t>
      </w:r>
      <w:r>
        <w:t xml:space="preserve"> </w:t>
      </w:r>
      <w:r>
        <w:t xml:space="preserve">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w:t>
      </w:r>
      <w:r>
        <w:t xml:space="preserve"> </w:t>
      </w:r>
      <w:r>
        <w:rPr>
          <w:highlight w:val="yellow"/>
        </w:rPr>
        <w:t xml:space="preserve">즉, 각 국면에서 두 단계의 지식이 기술 아키텍처의 어느 지점에서 통합되었는지를 살펴본다.</w:t>
      </w:r>
      <w:r>
        <w:t xml:space="preserve"> </w:t>
      </w:r>
      <w:r>
        <w:t xml:space="preserve">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r>
        <w:t xml:space="preserve"> </w:t>
      </w:r>
      <w:r>
        <w:rPr>
          <w:highlight w:val="yellow"/>
        </w:rPr>
        <w:t xml:space="preserve">핵심 기술이 허브로 남은 가운데 지식 통합이 일어나는 위치가 웨이퍼 제조공정에서 공정 장치와 패키징 단계 공정으로 옮겨 간 것이다.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50"/>
    <w:bookmarkStart w:id="51"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로짓의 핵심 계수를, 표 13은 핵심 기술 모형의 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90"/>
        <w:gridCol w:w="2182"/>
        <w:gridCol w:w="2533"/>
        <w:gridCol w:w="2863"/>
      </w:tblGrid>
      <w:tr>
        <w:trPr>
          <w:tblHeader w:val="on"/>
          <w:cantSplit/>
        </w:trPr>
        <w:tc>
          <w:tcPr>
            <w:tcW w:type="dxa" w:w="1490"/>
            <w:tcBorders>
              <w:bottom w:val="single" w:sz="4" w:space="0" w:color="000000"/>
            </w:tcBorders>
          </w:tcPr>
          <w:p>
            <w:pPr>
              <w:pStyle w:val="Compact"/>
              <w:spacing w:before="20" w:after="20" w:line="240" w:lineRule="auto"/>
              <w:keepNext/>
            </w:pPr>
            <w:r>
              <w:rPr>
                <w:sz w:val="18"/>
                <w:szCs w:val="18"/>
              </w:rPr>
              <w:t xml:space="preserve">연구 질문</w:t>
            </w:r>
          </w:p>
        </w:tc>
        <w:tc>
          <w:tcPr>
            <w:tcW w:type="dxa" w:w="2182"/>
            <w:tcBorders>
              <w:bottom w:val="single" w:sz="4" w:space="0" w:color="000000"/>
            </w:tcBorders>
          </w:tcPr>
          <w:p>
            <w:pPr>
              <w:pStyle w:val="Compact"/>
              <w:spacing w:before="20" w:after="20" w:line="240" w:lineRule="auto"/>
              <w:keepNext/>
            </w:pPr>
            <w:r>
              <w:rPr>
                <w:sz w:val="18"/>
                <w:szCs w:val="18"/>
              </w:rPr>
              <w:t xml:space="preserve">분석</w:t>
            </w:r>
          </w:p>
        </w:tc>
        <w:tc>
          <w:tcPr>
            <w:tcW w:type="dxa" w:w="2533"/>
            <w:tcBorders>
              <w:bottom w:val="single" w:sz="4" w:space="0" w:color="000000"/>
            </w:tcBorders>
          </w:tcPr>
          <w:p>
            <w:pPr>
              <w:pStyle w:val="Compact"/>
              <w:spacing w:before="20" w:after="20" w:line="240" w:lineRule="auto"/>
              <w:keepNext/>
            </w:pPr>
            <w:r>
              <w:rPr>
                <w:sz w:val="18"/>
                <w:szCs w:val="18"/>
              </w:rPr>
              <w:t xml:space="preserve">주요 결과</w:t>
            </w:r>
          </w:p>
        </w:tc>
        <w:tc>
          <w:tcPr>
            <w:tcW w:type="dxa" w:w="2863"/>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490"/>
          </w:tcPr>
          <w:p>
            <w:pPr>
              <w:pStyle w:val="Compact"/>
              <w:spacing w:before="20" w:after="20" w:line="240" w:lineRule="auto"/>
              <w:keepNext/>
            </w:pPr>
            <w:r>
              <w:rPr>
                <w:sz w:val="18"/>
                <w:szCs w:val="18"/>
              </w:rPr>
              <w:t xml:space="preserve">RQ1</w:t>
            </w:r>
            <w:r>
              <w:rPr>
                <w:sz w:val="18"/>
                <w:szCs w:val="18"/>
              </w:rPr>
              <w:t xml:space="preserve"> </w:t>
            </w:r>
            <w:r>
              <w:rPr>
                <w:highlight w:val="yellow"/>
                <w:sz w:val="18"/>
                <w:szCs w:val="18"/>
              </w:rPr>
              <w:t xml:space="preserve">지식 통합의</w:t>
            </w:r>
            <w:r>
              <w:rPr>
                <w:sz w:val="18"/>
                <w:szCs w:val="18"/>
              </w:rPr>
              <w:t xml:space="preserve"> </w:t>
            </w:r>
            <w:r>
              <w:rPr>
                <w:sz w:val="18"/>
                <w:szCs w:val="18"/>
              </w:rPr>
              <w:t xml:space="preserve">수준과 유형</w:t>
            </w:r>
          </w:p>
        </w:tc>
        <w:tc>
          <w:tcPr>
            <w:tcW w:type="dxa" w:w="2182"/>
          </w:tcPr>
          <w:p>
            <w:pPr>
              <w:pStyle w:val="Compact"/>
              <w:spacing w:before="20" w:after="20" w:line="240" w:lineRule="auto"/>
              <w:keepNext/>
            </w:pPr>
            <w:r>
              <w:rPr>
                <w:sz w:val="18"/>
                <w:szCs w:val="18"/>
              </w:rPr>
              <w:t xml:space="preserve">유형 분포, 다항 로짓(기술범위 → 통합형)</w:t>
            </w:r>
          </w:p>
        </w:tc>
        <w:tc>
          <w:tcPr>
            <w:tcW w:type="dxa" w:w="2533"/>
          </w:tcPr>
          <w:p>
            <w:pPr>
              <w:pStyle w:val="Compact"/>
              <w:spacing w:before="20" w:after="20" w:line="240" w:lineRule="auto"/>
              <w:keepNext/>
            </w:pPr>
            <w:r>
              <w:rPr>
                <w:sz w:val="18"/>
                <w:szCs w:val="18"/>
              </w:rPr>
              <w:t xml:space="preserve">통합형 45.8%(좁은 정의 37.2%); RRR 1.403***(95% CI 1.321–1.489; 표 8)</w:t>
            </w:r>
          </w:p>
        </w:tc>
        <w:tc>
          <w:tcPr>
            <w:tcW w:type="dxa" w:w="2863"/>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490"/>
          </w:tcPr>
          <w:p>
            <w:pPr>
              <w:pStyle w:val="Compact"/>
              <w:spacing w:before="20" w:after="20" w:line="240" w:lineRule="auto"/>
              <w:keepNext/>
            </w:pPr>
            <w:r>
              <w:rPr>
                <w:sz w:val="18"/>
                <w:szCs w:val="18"/>
              </w:rPr>
              <w:t xml:space="preserve">RQ2</w:t>
            </w:r>
            <w:r>
              <w:rPr>
                <w:sz w:val="18"/>
                <w:szCs w:val="18"/>
              </w:rPr>
              <w:t xml:space="preserve"> </w:t>
            </w:r>
            <w:r>
              <w:rPr>
                <w:highlight w:val="yellow"/>
                <w:sz w:val="18"/>
                <w:szCs w:val="18"/>
              </w:rPr>
              <w:t xml:space="preserve">지식 통합의</w:t>
            </w:r>
            <w:r>
              <w:rPr>
                <w:sz w:val="18"/>
                <w:szCs w:val="18"/>
              </w:rPr>
              <w:t xml:space="preserve"> </w:t>
            </w:r>
            <w:r>
              <w:rPr>
                <w:sz w:val="18"/>
                <w:szCs w:val="18"/>
              </w:rPr>
              <w:t xml:space="preserve">시간적 변화</w:t>
            </w:r>
          </w:p>
        </w:tc>
        <w:tc>
          <w:tcPr>
            <w:tcW w:type="dxa" w:w="2182"/>
          </w:tcPr>
          <w:p>
            <w:pPr>
              <w:pStyle w:val="Compact"/>
              <w:spacing w:before="20" w:after="20" w:line="240" w:lineRule="auto"/>
              <w:keepNext/>
            </w:pPr>
            <w:r>
              <w:rPr>
                <w:sz w:val="18"/>
                <w:szCs w:val="18"/>
              </w:rPr>
              <w:t xml:space="preserve">시기별 유형 분포, 다항 로짓(출원연도 → 공정 단독형)</w:t>
            </w:r>
          </w:p>
        </w:tc>
        <w:tc>
          <w:tcPr>
            <w:tcW w:type="dxa" w:w="2533"/>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63"/>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490"/>
          </w:tcPr>
          <w:p>
            <w:pPr>
              <w:pStyle w:val="Compact"/>
              <w:spacing w:before="20" w:after="20" w:line="240" w:lineRule="auto"/>
              <w:keepNext/>
            </w:pPr>
            <w:r>
              <w:rPr>
                <w:sz w:val="18"/>
                <w:szCs w:val="18"/>
              </w:rPr>
              <w:t xml:space="preserve">RQ3</w:t>
            </w:r>
            <w:r>
              <w:rPr>
                <w:sz w:val="18"/>
                <w:szCs w:val="18"/>
              </w:rPr>
              <w:t xml:space="preserve"> </w:t>
            </w:r>
            <w:r>
              <w:rPr>
                <w:highlight w:val="yellow"/>
                <w:sz w:val="18"/>
                <w:szCs w:val="18"/>
              </w:rPr>
              <w:t xml:space="preserve">지식 통합 위치의</w:t>
            </w:r>
            <w:r>
              <w:rPr>
                <w:sz w:val="18"/>
                <w:szCs w:val="18"/>
              </w:rPr>
              <w:t xml:space="preserve"> </w:t>
            </w:r>
            <w:r>
              <w:rPr>
                <w:sz w:val="18"/>
                <w:szCs w:val="18"/>
              </w:rPr>
              <w:t xml:space="preserve">변화</w:t>
            </w:r>
          </w:p>
        </w:tc>
        <w:tc>
          <w:tcPr>
            <w:tcW w:type="dxa" w:w="2182"/>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33"/>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63"/>
          </w:tcPr>
          <w:p>
            <w:pPr>
              <w:pStyle w:val="Compact"/>
              <w:spacing w:before="20" w:after="20" w:line="240" w:lineRule="auto"/>
              <w:keepNext/>
            </w:pPr>
            <w:r>
              <w:rPr>
                <w:sz w:val="18"/>
                <w:szCs w:val="18"/>
              </w:rPr>
              <w:t xml:space="preserve">모든 재추정에서 상호작용 0.050–0.185, 모두 5% 수준에서 유의(표 13)</w:t>
            </w:r>
          </w:p>
        </w:tc>
      </w:tr>
    </w:tbl>
    <w:bookmarkEnd w:id="51"/>
    <w:bookmarkEnd w:id="52"/>
    <w:bookmarkStart w:id="56"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53"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나타나</w:t>
      </w:r>
      <w:r>
        <w:rPr>
          <w:b/>
          <w:bCs/>
          <w:highlight w:val="yellow"/>
        </w:rPr>
        <w:t xml:space="preserve">며, 이때 수직적으로 분리된 영역의 지식이 개별 발명 안에서 통합된다</w:t>
      </w:r>
      <w:r>
        <w:rPr>
          <w:b/>
          <w:bCs/>
        </w:rPr>
        <w:t xml:space="preserve">(RQ1).</w:t>
      </w:r>
      <w:r>
        <w:t xml:space="preserve"> </w:t>
      </w:r>
      <w:r>
        <w:t xml:space="preserve">기존 문헌은 융합을 주로 산업과 산업, 기술 분야와 기술 분야 사이의 현상으로 다루어 왔다(Curran &amp; Leker, 2011; Hacklin et al., 2010; Zhang &amp;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w:t>
      </w:r>
      <w:r>
        <w:t xml:space="preserve"> </w:t>
      </w:r>
      <w:r>
        <w:rPr>
          <w:highlight w:val="yellow"/>
        </w:rPr>
        <w:t xml:space="preserve">지식의 관점에서 이는 기업 경계를 중심으로 논의되어 온 지식 경계(Brusoni et al., 2001; Kapoor &amp; Adner, 2012)를 한 산업 내에서 수직적으로 분리된 공정 영역으로 확장하는 것이다.</w:t>
      </w:r>
      <w:r>
        <w:t xml:space="preserve"> </w:t>
      </w:r>
      <w:r>
        <w:t xml:space="preserve">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w:t>
      </w:r>
      <w:r>
        <w:t xml:space="preserve"> </w:t>
      </w:r>
      <w:r>
        <w:rPr>
          <w:highlight w:val="yellow"/>
        </w:rPr>
        <w:t xml:space="preserve">다만 이는 유형의 정의에 일부 내재된 구성상의 연관이며, 다양성이 통합을 유발한다는 증거는 아니다(제5.4절, 제6.3절).</w:t>
      </w:r>
      <w:r>
        <w:t xml:space="preserve"> </w:t>
      </w:r>
      <w:r>
        <w:t xml:space="preserve">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w:t>
      </w:r>
      <w:r>
        <w:rPr>
          <w:b/>
          <w:bCs/>
        </w:rPr>
        <w:t xml:space="preserve"> </w:t>
      </w:r>
      <w:r>
        <w:rPr>
          <w:b/>
          <w:bCs/>
          <w:highlight w:val="yellow"/>
        </w:rPr>
        <w:t xml:space="preserve">지식 통합</w:t>
      </w:r>
      <w:r>
        <w:rPr>
          <w:b/>
          <w:bCs/>
        </w:rPr>
        <w:t xml:space="preserve">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w:t>
      </w:r>
      <w:r>
        <w:t xml:space="preserve"> </w:t>
      </w:r>
      <w:r>
        <w:rPr>
          <w:highlight w:val="yellow"/>
        </w:rPr>
        <w:t xml:space="preserve">달리 말하면, 공정 단계 간 지식 통합의 강도와 형태가 기술 아키텍처의 진화와 함께 비선형적으로 재편된 것이다.</w:t>
      </w:r>
      <w:r>
        <w:t xml:space="preserve"> </w:t>
      </w:r>
      <w:r>
        <w:t xml:space="preserve">이러한 국면 전환의 배경은 융합의 구조적 중심 변화에 관한 다음의 결과를 통해 보다 구체적으로 이해할 수 있다.</w:t>
      </w:r>
    </w:p>
    <w:p>
      <w:pPr>
        <w:pStyle w:val="BodyText"/>
      </w:pPr>
      <w:r>
        <w:rPr>
          <w:b/>
          <w:bCs/>
        </w:rPr>
        <w:t xml:space="preserve">셋째,</w:t>
      </w:r>
      <w:r>
        <w:rPr>
          <w:b/>
          <w:bCs/>
        </w:rPr>
        <w:t xml:space="preserve"> </w:t>
      </w:r>
      <w:r>
        <w:rPr>
          <w:b/>
          <w:bCs/>
          <w:highlight w:val="yellow"/>
        </w:rPr>
        <w:t xml:space="preserve">지식 통합이 일어나는 위치</w:t>
      </w:r>
      <w:r>
        <w:rPr>
          <w:b/>
          <w:bCs/>
        </w:rPr>
        <w:t xml:space="preserve">는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&amp;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w:t>
      </w:r>
      <w:r>
        <w:t xml:space="preserve"> </w:t>
      </w:r>
      <w:r>
        <w:rPr>
          <w:highlight w:val="yellow"/>
        </w:rPr>
        <w:t xml:space="preserve">이러한 결과는 기술 아키텍처의 성숙이 영역 간 지식 통합을 없애는 것이 아니라, 통합이 일어나는 위치를 핵심 접합부에서 확립된 아키텍처를 새로운 응용에 구현하는 데 필요한 주변 공정으로 옮긴다는 점을 시사한다.</w:t>
      </w:r>
      <w:r>
        <w:t xml:space="preserve"> </w:t>
      </w:r>
      <w:r>
        <w:t xml:space="preserve">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53"/>
    <w:bookmarkStart w:id="54"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w:t>
      </w:r>
      <w:r>
        <w:t xml:space="preserve"> </w:t>
      </w:r>
      <w:r>
        <w:rPr>
          <w:highlight w:val="yellow"/>
        </w:rPr>
        <w:t xml:space="preserve">생산 경계와 지식 경계가 반드시 일치하지는 않으므로(Brusoni et al., 2001), 기업은 직접 수행하지 않는 인접 공정 단계의 지식도 유지할 필요가 있다.</w:t>
      </w:r>
      <w:r>
        <w:t xml:space="preserve"> </w:t>
      </w:r>
      <w:r>
        <w:t xml:space="preserve">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54"/>
    <w:bookmarkStart w:id="55"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w:t>
      </w:r>
      <w:r>
        <w:t xml:space="preserve"> </w:t>
      </w:r>
      <w:r>
        <w:rPr>
          <w:highlight w:val="yellow"/>
        </w:rPr>
        <w:t xml:space="preserve">따라서 공동분류는 두 공정 영역의 지식이 하나의 발명 안에서 통합되었음을 보여 주는 관찰 가능한 흔적으로 사용되었으며, 조직 간 지식 이전, 기업의 흡수역량, 혁신 성과를 측정한 것은 아니다.</w:t>
      </w:r>
      <w:r>
        <w:t xml:space="preserve"> </w:t>
      </w:r>
      <w:r>
        <w:t xml:space="preserve">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추출한 자료에 특허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함께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방법(Lei et al., 2019; Preschitschek et al., 2013; Zhu &amp; Motohashi, 2022)은 보다 이른 탐지가 가능하지만 학습된 모형에 의존한다. H01L21과 H01L24의 경계가 제도적으로 명확한 본 연구에서는 재현성을 우선하였다.</w:t>
      </w:r>
      <w:r>
        <w:t xml:space="preserve"> </w:t>
      </w:r>
      <w:r>
        <w:rPr>
          <w:highlight w:val="yellow"/>
        </w:rPr>
        <w:t xml:space="preserve">또한 특허출원은 일반적으로 우선일로부터 18개월 뒤에 공개되므로 최근 연도의 출원은 아직 모두 관찰되지 않았으며(그림 3), 세 시기의 경계는 자료에서 추정한 것이 아니라 출원의 집중도를 고려하여 정한 것이다. 따라서 재편기의 결과는 이러한 절단을 감안하여 해석할 필요가 있으며, 다른 시기 구분에 따른 검토는 향후 과제로 남긴다.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5"/>
    <w:bookmarkEnd w:id="56"/>
    <w:bookmarkStart w:id="57"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w:t>
      </w:r>
      <w:r>
        <w:t xml:space="preserve"> </w:t>
      </w:r>
      <w:r>
        <w:rPr>
          <w:highlight w:val="yellow"/>
        </w:rPr>
        <w:t xml:space="preserve">그러나 융합을 분리되어 있던 영역의 지식이 통합되는 과정으로 이해하면, 융합은 한 산업 안에서 가치사슬의 단계 사이에서도 일어날 수 있다.</w:t>
      </w:r>
      <w:r>
        <w:t xml:space="preserve"> </w:t>
      </w:r>
      <w:r>
        <w:t xml:space="preserve">본 연구는</w:t>
      </w:r>
      <w:r>
        <w:t xml:space="preserve"> </w:t>
      </w:r>
      <w:r>
        <w:rPr>
          <w:highlight w:val="yellow"/>
        </w:rPr>
        <w:t xml:space="preserve">한 산업의 공정 단계 지식이 발명 안에서 어느 정도로, 어떠한 형태로 통합되는지</w:t>
      </w:r>
      <w:r>
        <w:t xml:space="preserve">, 그 수준과 형태가 시간에 따라 어떻게 변화하는지, 그리고</w:t>
      </w:r>
      <w:r>
        <w:t xml:space="preserve"> </w:t>
      </w:r>
      <w:r>
        <w:rPr>
          <w:highlight w:val="yellow"/>
        </w:rPr>
        <w:t xml:space="preserve">통합이 일어나는 위치</w:t>
      </w:r>
      <w:r>
        <w:t xml:space="preserve">가 핵심 기술과 주변 기술 사이에서 어떻게 이동하는지를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w:t>
      </w:r>
      <w:r>
        <w:t xml:space="preserve"> </w:t>
      </w:r>
      <w:r>
        <w:rPr>
          <w:highlight w:val="yellow"/>
        </w:rPr>
        <w:t xml:space="preserve">지식 통합</w:t>
      </w:r>
      <w:r>
        <w:t xml:space="preserve">은 예외적인 현상이 아닌 것으로 나타났다. 통합형은 45.8%로 가장 큰 비중을 차지하였고 좁은 정의에서도 37.2%였으며, 세부 기술을 더 다양하게 포함한 특허일수록 경계를 넘을 가능성이 높았다. 둘째, RQ2와 관련하여</w:t>
      </w:r>
      <w:r>
        <w:t xml:space="preserve"> </w:t>
      </w:r>
      <w:r>
        <w:rPr>
          <w:highlight w:val="yellow"/>
        </w:rPr>
        <w:t xml:space="preserve">지식 통합</w:t>
      </w:r>
      <w:r>
        <w:t xml:space="preserve">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w:t>
      </w:r>
      <w:r>
        <w:t xml:space="preserve"> </w:t>
      </w:r>
      <w:r>
        <w:rPr>
          <w:highlight w:val="yellow"/>
        </w:rPr>
        <w:t xml:space="preserve">지식 통합이 일어나는 위치</w:t>
      </w:r>
      <w:r>
        <w:t xml:space="preserve">는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융합의 중심이 핵심에서 주변으로 이동하는 동태적 과정이었음을 시사</w:t>
      </w:r>
      <w:r>
        <w:rPr>
          <w:highlight w:val="yellow"/>
        </w:rPr>
        <w:t xml:space="preserve">하며, 이는 핵심 기술 설계의 고착화가 진행되었다는 해석과 부합한다. 기술 아키텍처가 성숙하면서 두 공정 단계의 지식 통합은 사라지지 않았고, 핵심 접합부에서 아키텍처를 구현하는 주변 공정으로 그 위치를 옮겼다.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 기술융합을 시간에 따라 유형별 구성이 변화하는 동태적 과정으로 분석하였으며, 융합의 구조적 중심 변화를 기술 아키텍처의 핵심–주변 관계와 기술 순환 관점에서 실증하였다.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r>
        <w:t xml:space="preserve"> </w:t>
      </w:r>
      <w:r>
        <w:rPr>
          <w:highlight w:val="yellow"/>
        </w:rPr>
        <w:t xml:space="preserve">종합하면, 본 연구는 발명의 공동분류를 통해 수직적으로 분리된 공정 영역의 지식이 어떻게 통합되고 기술이 성숙함에 따라 그 통합이 어디에서 일어나는지를 추적함으로써 혁신과 지식을 연결한다.</w:t>
      </w:r>
    </w:p>
    <w:p>
      <w:r>
        <w:pict>
          <v:rect style="width:0;height:1.5pt" o:hralign="center" o:hrstd="t" o:hr="t"/>
        </w:pict>
      </w:r>
    </w:p>
    <w:bookmarkEnd w:id="57"/>
    <w:bookmarkStart w:id="58" w:name="데이터-가용성"/>
    <w:p>
      <w:pPr>
        <w:pStyle w:val="Heading2"/>
      </w:pPr>
      <w:r>
        <w:rPr>
          <w:highlight w:val="yellow"/>
        </w:rPr>
        <w:t xml:space="preserve">데이터 가용성</w:t>
      </w:r>
    </w:p>
    <w:p>
      <w:pPr>
        <w:pStyle w:val="FirstParagraph"/>
      </w:pPr>
      <w:r>
        <w:rPr>
          <w:highlight w:val="yellow"/>
        </w:rPr>
        <w:t xml:space="preserve">특허 자료는 유럽특허청의 유료 데이터베이스인 PATSTAT Global에서 추출한 것이므로 재배포할 수 없다. 출원 식별번호와 분석 코드는 합리적인 요청이 있으면 교신저자에게서 받을 수 있다.</w:t>
      </w:r>
    </w:p>
    <w:bookmarkEnd w:id="58"/>
    <w:bookmarkStart w:id="59" w:name="생성형-ai-사용-선언"/>
    <w:p>
      <w:pPr>
        <w:pStyle w:val="Heading2"/>
      </w:pPr>
      <w:r>
        <w:rPr>
          <w:highlight w:val="yellow"/>
        </w:rPr>
        <w:t xml:space="preserve">생성형 AI 사용 선언</w:t>
      </w:r>
    </w:p>
    <w:p>
      <w:pPr>
        <w:pStyle w:val="FirstParagraph"/>
      </w:pPr>
      <w:r>
        <w:rPr>
          <w:highlight w:val="yellow"/>
        </w:rPr>
        <w:t xml:space="preserve">본 논문을 준비하는 과정에서 저자들은 국문 원고를 영어로 번역하고 영문을 교정하기 위해 Claude(Anthropic)를 사용하였다. 저자들은 이 도구를 사용한 뒤 내용을 검토하고 필요에 따라 수정하였으며, 출판된 논문의 내용에 대해 전적인 책임을 진다.</w:t>
      </w:r>
    </w:p>
    <w:bookmarkEnd w:id="59"/>
    <w:bookmarkStart w:id="60" w:name="참고문헌-references"/>
    <w:p>
      <w:pPr>
        <w:pStyle w:val="Heading2"/>
      </w:pPr>
      <w:r>
        <w:t xml:space="preserve">참고문헌 (References)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Kinex(키넥스) 다이 투 웨이퍼 하이브리드 본딩 통합 시스템</w:t>
      </w:r>
      <w:r>
        <w:t xml:space="preserve">(김지혜 작성) [Web page]. 어플라이드 머티어리얼즈(Applied Materials) 홈페이지.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rPr>
          <w:highlight w:val="yellow"/>
        </w:rPr>
        <w:t xml:space="preserve">Fleming, L. (2001). Recombinant uncertainty in technological search.</w:t>
      </w:r>
      <w:r>
        <w:rPr>
          <w:highlight w:val="yellow"/>
        </w:rPr>
        <w:t xml:space="preserve"> </w:t>
      </w:r>
      <w:r>
        <w:rPr>
          <w:i/>
          <w:iCs/>
          <w:highlight w:val="yellow"/>
        </w:rPr>
        <w:t xml:space="preserve">Management Science</w:t>
      </w:r>
      <w:r>
        <w:rPr>
          <w:highlight w:val="yellow"/>
        </w:rPr>
        <w:t xml:space="preserve">,</w:t>
      </w:r>
      <w:r>
        <w:rPr>
          <w:highlight w:val="yellow"/>
        </w:rPr>
        <w:t xml:space="preserve"> </w:t>
      </w:r>
      <w:r>
        <w:rPr>
          <w:i/>
          <w:iCs/>
          <w:highlight w:val="yellow"/>
        </w:rPr>
        <w:t xml:space="preserve">47</w:t>
      </w:r>
      <w:r>
        <w:rPr>
          <w:highlight w:val="yellow"/>
        </w:rP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rPr>
          <w:highlight w:val="yellow"/>
        </w:rPr>
        <w:t xml:space="preserve">Grant, R. M. (1996). Toward a knowledge-based theory of the firm.</w:t>
      </w:r>
      <w:r>
        <w:rPr>
          <w:highlight w:val="yellow"/>
        </w:rPr>
        <w:t xml:space="preserve"> </w:t>
      </w:r>
      <w:r>
        <w:rPr>
          <w:i/>
          <w:iCs/>
          <w:highlight w:val="yellow"/>
        </w:rPr>
        <w:t xml:space="preserve">Strategic Management Journal</w:t>
      </w:r>
      <w:r>
        <w:rPr>
          <w:highlight w:val="yellow"/>
        </w:rPr>
        <w:t xml:space="preserve">,</w:t>
      </w:r>
      <w:r>
        <w:rPr>
          <w:highlight w:val="yellow"/>
        </w:rPr>
        <w:t xml:space="preserve"> </w:t>
      </w:r>
      <w:r>
        <w:rPr>
          <w:i/>
          <w:iCs/>
          <w:highlight w:val="yellow"/>
        </w:rPr>
        <w:t xml:space="preserve">17</w:t>
      </w:r>
      <w:r>
        <w:rPr>
          <w:highlight w:val="yellow"/>
        </w:rP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rPr>
          <w:highlight w:val="yellow"/>
        </w:rPr>
        <w:t xml:space="preserve">Henderson, R. M., &amp; Clark, K. B. (1990). Architectural innovation: The reconfiguration of existing product technologies and the failure of established firms.</w:t>
      </w:r>
      <w:r>
        <w:rPr>
          <w:highlight w:val="yellow"/>
        </w:rPr>
        <w:t xml:space="preserve"> </w:t>
      </w:r>
      <w:r>
        <w:rPr>
          <w:i/>
          <w:iCs/>
          <w:highlight w:val="yellow"/>
        </w:rPr>
        <w:t xml:space="preserve">Administrative Science Quarterly</w:t>
      </w:r>
      <w:r>
        <w:rPr>
          <w:highlight w:val="yellow"/>
        </w:rPr>
        <w:t xml:space="preserve">,</w:t>
      </w:r>
      <w:r>
        <w:rPr>
          <w:highlight w:val="yellow"/>
        </w:rPr>
        <w:t xml:space="preserve"> </w:t>
      </w:r>
      <w:r>
        <w:rPr>
          <w:i/>
          <w:iCs/>
          <w:highlight w:val="yellow"/>
        </w:rPr>
        <w:t xml:space="preserve">35</w:t>
      </w:r>
      <w:r>
        <w:rPr>
          <w:highlight w:val="yellow"/>
        </w:rP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60"/>
    <w:bookmarkStart w:id="63" w:name="부록"/>
    <w:p>
      <w:pPr>
        <w:pStyle w:val="Heading2"/>
      </w:pPr>
      <w:r>
        <w:t xml:space="preserve">부록</w:t>
      </w:r>
    </w:p>
    <w:bookmarkStart w:id="61"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61"/>
    <w:bookmarkStart w:id="62"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62"/>
    <w:bookmarkEnd w:id="63"/>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png"/><Relationship Id="rId46" Type="http://schemas.openxmlformats.org/officeDocument/2006/relationships/image" Target="media/rId46.png"/><Relationship Id="rId36" Type="http://schemas.openxmlformats.org/officeDocument/2006/relationships/image" Target="media/rId36.png"/><Relationship Id="rId25" Type="http://schemas.openxmlformats.org/officeDocument/2006/relationships/image" Target="media/rId25.png"/><Relationship Id="rId21" Type="http://schemas.openxmlformats.org/officeDocument/2006/relationships/image" Target="media/rId21.png"/><Relationship Id="rId42" Type="http://schemas.openxmlformats.org/officeDocument/2006/relationships/image" Target="media/rId4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2026-10-13T09:12:22Z</dcterms:created>
  <dcterms:modified xsi:type="dcterms:W3CDTF">2026-10-13T09:12:22Z</dcterms:modified>
  <cp:lastModifiedBy/>
  <dc:description/>
</cp:coreProperties>
</file>

<file path=docProps/custom.xml><?xml version="1.0" encoding="utf-8"?>
<Properties xmlns="http://schemas.openxmlformats.org/officeDocument/2006/custom-properties" xmlns:vt="http://schemas.openxmlformats.org/officeDocument/2006/docPropsVTypes"/>
</file>