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영역이다. 하이브리드 본딩은 후공정의 접합 기술인데도 표면 평탄화, 표면 처리 같은 전공정의 제조공정 기술 없이는 성능이 나오지 않는다. 이 논문은 그 두 영역의 기술이 실제로 한 특허 안에 함께 담기는지, 담긴다면 어떤 특허에서 그러한지를 유럽특허청 PATSTAT의 하이브리드 본딩 관련 특허출원 928건으로 살핀다. 출원마다 부여된 CPC 기호를 보아 접합 기술 분류(H01L24)만 있으면 조립 단독형, 제조공정 기술 분류(H01L21)만 있으면 공정 단독형, 둘이 함께 있으면 통합형으로 나누었고, 분석단위는 개별 특허출원이다. 두 클래스가 함께 부여된 공동분류는 제조공정 영역과 접합 영역 사이의 경계 넘기를 재는 특허 기반 대리측정치다. 통합형이 45.8%로 가장 많았으며 조립 단계 공정을 뺀 좁은 정의로도 37.2%였다. 회귀분석 결과, 두 클래스 안에서 세부 기술을 더 다양하게 포함한 출원일수록 통합형일 가능성이 높았다(조립 단독형 대비 상대위험비 1.40). 다만 두 변수가 같은 CPC 정보로 만들어지므로 이는 통합형 특허의 구성적 특징으로 본다. 출원연도가 최근일수록 공정 단독형으로 분류될 상대적 가능성은 낮아져, 그 비중은 2014년 이전 43.6%에서 2020–2024년 10.4%로 줄었다. 중국 출원청 출원은 미국 출원청 출원보다 기술범위가 좁았고 표본을 바꾸어도 그러했지만, 공정 단독형 편중은 최근 출원에 민감한 제한적 결과였다. 이러한 결과는 기술융합이 산업과 산업 사이만이 아니라 한 산업의 공정 단계 사이에서도 일어난다는 견해와 맞아떨어지는 특허 수준의 증거이고, 그 융합을 개별 출원 단위에서 잴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been separate worlds in semiconductor manufacturing for decades. Hybrid bonding belongs to the back end, but it does not work without front-end capabilities, surface planarisation and surface treatment above all. This paper asks whether the two bodies of technology are actually being combined within single patents and, if so, in which ones. Using 928 hybrid-bonding-related applications drawn from EPO PATSTAT, we read the CPC symbols assigned to each application and label it assembly-only when it carries only H01L24 symbols (bonding technology), process-only when it carries only H01L21 symbols (fabrication processes), and integrated when it carries both; the unit of analysis is the individual application. Co-classification in the two classes serves as a patent-based proxy for boundary spanning between the fabrication-process and bonding domains. Integrated applications are the largest group at 45.8%, and still 37.2% under a narrower definition that leaves out assembly-stage processes. In the regressions, applications that span more diverse technical elements within the two classes are more likely to be integrated (relative-risk ratio 1.40 against assembly-only), which we treat as a compositional feature of integrated patents since both variables come from the same CPC information. Process-only classification becomes relatively less likely for more recent filings, falling from 43.6% before 2015 to 10.4% in 2020–2024. Applications filed at the Chinese office are narrower in scope than those filed at the US office whatever the sample, whereas their tilt towards process-only classification hinges on the most recent filings and remains limited evidence. The findings are patent-level evidence consistent with technological convergence across the process stages of a single industry, and they show that such convergence can be measured one application at a time.</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첨단 패키징은 이 전제를 흔든다. 한 단계의 성능이 다른 단계의 공정 역량에 훨씬 직접적으로 기대게 된 것이다.</w:t>
      </w:r>
    </w:p>
    <w:p>
      <w:pPr>
        <w:pStyle w:val="BodyText"/>
      </w:pPr>
      <w:r>
        <w:t xml:space="preserve">왜 지금인가. 회로를 더 작게 만드는 미세화가 한계에 부딪히자,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pPr>
      <w:r>
        <w:t xml:space="preserve">이러한 경계의 흐려짐을 개별 특허 수준에서 볼 수 있는가. 이것이 이 논문의 질문이다. 기술융합 문헌은 서로 구분되던 기술 영역이 겹치고 결합하는 과정을 오랫동안 다루어 왔고(Rosenberg, 1963; Kodama, 1992; Curran and Leker, 2011; Sick and Bröring, 2022), 그런 점에서 자연스러운 출발점이다. 그런데 이 문헌의 실증 연구는 정보통신과 가전을 다룬 Hacklin et al.(2009), 식품과 제약을 다룬 Bröring et al.(2006), 나노기술과 바이오기술을 다룬 No와 Park(2010)에서 보듯 서로 다른 산업이나 기술 분야가 겹치는 경우에 관심을 두어 왔다. 한 산업 안에서 가치사슬의 단계를 가로지르는 융합은 좀처럼 다루어지지 않았다. 가치사슬 상·하류 기업 간의 특허 인용을 분석한 Karvonen과 Kässi(2012)가 그나마 가까운 선례이지만, 하나의 기술이 공정 단계의 경계를 넘는지를 특허 단위에서 검정한 것은 아니다. 산업 아키텍처, 곧 누가 무엇을 만들고 누가 가치를 가져가는가를 정하는 틀(Jacobides et al., 2006)에 압력을 가하는 융합이 있다면 그것은 바로 이런 종류의 융합이다.</w:t>
      </w:r>
    </w:p>
    <w:p>
      <w:pPr>
        <w:pStyle w:val="BodyText"/>
      </w:pPr>
      <w:r>
        <w:t xml:space="preserve">자료는 유럽특허청(EPO) PATSTAT에서 추출한 하이브리드 본딩 관련 특허출원 928건이고, 여기에 부여된 협력적 특허분류(CPC) 기호가 분석의 재료다. 접합·인터커넥트 기술(H01L24)의 기호와 반도체 제조공정 기술(H01L21)의 기호가 한 출원에 함께 붙어 있으면 그 출원을 통합형, 곧 경계를 넘는 특허로 본다. 접합 기호만 있으면 조립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답하려는 질문은 셋이다. 하이브리드 본딩 특허에서 제조공정과 접합 기술의 공동분류는 얼마나 일반적이며 시간에 따라 어떻게 변했는가. 어떤 특허 특성이 공동분류 유형과 관련되는가. 이러한 유형과 기술범위는 출원청별로 어떻게 다른가.</w:t>
      </w:r>
    </w:p>
    <w:p>
      <w:pPr>
        <w:pStyle w:val="BodyText"/>
      </w:pPr>
      <w:r>
        <w:t xml:space="preserve">결론부터 적으면 통합형은 출원의 45.8%로 가장 많은 유형이고 좁은 정의로도 37.2%다. 세부 기술을 더 다양하게 포함한 출원일수록 통합형이었고, 최근 출원일수록 공정 단독형은 드물었으며, 중국 출원청 출원은 기술범위가 좁았다. 이 논문의 기여는 세 갈래로 나뉜다. 개념적으로는 산업 간 사례에 머물던 융합 이론을 산업 내 공정 단계 간 사례로 넓히고, 이를 Langlois와 Steinmueller(1999), Kapoor와 Adner(2012), Kapoor(2013)의 반도체 산업 아키텍처 문헌과 잇는다. 방법론적으로는 융합지수를 하나 더 만드는 대신 공동분류를 개별 특허의 유형으로 재구성함으로써, 분야 수준 지수가 평균 속에 묻어 버리는 특허 간 이질성과 그 관련 요인을 추정할 수 있게 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융합과 수직통합은 묻는 것이 다르다. Macher와 Mowery(2004), Kapoor(2013)의 수직통합 문헌이 묻는 것은 어느 기업이 어느 단계를 직접 수행하는가, 곧 조직의 경계다. 융합 문헌은 서로 다른 영역의 기술이 하나의 발명 안에서 결합되는가, 곧 지식의 경계를 묻는다(Kodama, 1992; Curran and Leker, 2011). Hacklin et al.(2010)의 단계 모형에서 기술의 융합은 산업의 융합보다 먼저 온다. 이 논문이 특허에서 보려는 것도 그 앞선 단계다. 기업이 조직적 결정을 내리기 전에, 또는 그 이면에서 진행되는 기술의 결합이다. 산업 아키텍처는 그래서 여기서 직접 검정하는 결과변수가 아니라 결과를 해석하는 상위의 이론적 맥락으로 두고, 수직통합은 직접 측정하지 않는 후속 현상으로 남긴다.</w:t>
      </w:r>
    </w:p>
    <w:bookmarkEnd w:id="13"/>
    <w:bookmarkStart w:id="14"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설명변수는 두 갈래의 특허 연구에 기대어 고른다.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관할권에 따라 특허 행태가 달라진다는 연구다. 어느 특허청에 출원하는가에는 출원인 집단, 심사 관행, 출원 목적이 함께 반영된다. 중국의 특허 급증은 제도 변화와 외국인직접투자(Hu and Jefferson, 2009), 그리고 건수를 보상하는 보조금 정책(Dang and Motohashi, 2015)에 힘입은 것이고,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것이라는 예상이 나온다.</w:t>
      </w:r>
    </w:p>
    <w:bookmarkEnd w:id="14"/>
    <w:bookmarkStart w:id="15" w:name="가설"/>
    <w:p>
      <w:pPr>
        <w:pStyle w:val="Heading3"/>
      </w:pPr>
      <w:r>
        <w:t xml:space="preserve">2.4 가설</w:t>
      </w:r>
    </w:p>
    <w:p>
      <w:pPr>
        <w:pStyle w:val="FirstParagraph"/>
      </w:pPr>
      <w:r>
        <w:t xml:space="preserve">이상의 논의에서 네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웨이퍼 준비에서 접합된 적층까지 공정 흐름 전반의 기술 요소를 포괄하는 출원은 제조공정 분류를 받을 수밖에 없지만, 접합 구조만 다루는 출원은 그렇지 않다. 다만 이 관계에는 기계적인 부분이 있다. 기술범위와 공동분류 유형이 같은 CPC 집합에서 만들어지고, 통합형은 정의상 두 클래스의 기호를 하나씩은 가지므로 범위가 2 이상이기 때문이다. 따라서 H1은 인과적 결정요인이 아니라 통합형 특허의 구성적 특징, 곧 기술적 다양성과 공동분류 사이의 연관에 관한 가설이다. 정의에서 오는 최소 기호 수의 차이는 제5.4절에서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 다만 출원연도에는 기술의 발전만 담기는 것이 아니다. 분류 체계와 심사 관행, 출원인 구성, 최근 출원의 공개 시차도 함께 반영된다. 그래서 본 연구는 연도 효과를 기술 성숙의 효과라기보다 시간에 따른 변화로 읽는다.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출원청.</w:t>
      </w:r>
      <w:r>
        <w:t xml:space="preserve"> </w:t>
      </w:r>
      <w:r>
        <w:t xml:space="preserve">어디에 출원하는가에는 누가 무엇을 위해 발명하는가가 묻어난다. Lee와 Lim(2001)의 단계별 추격 논리, Hu와 Jefferson(2009) 및 Dang과 Motohashi(2015)가 보인 중국 특허의 증거, Grimes와 Du(2022)가 기술한 반도체 가치사슬 속 중국의 위치를 함께 놓으면, 중국 출원청 출원은 특정 제조 단계의 확보에 집중되어 범위가 좁고 공정 단독형이 많으리라는 예상에 이른다. 다만 이 예상은 중간 논리를 거쳐야 성립한다. 중국 특허가 늘었다거나 보조금이 있다거나 추격 중이라는 사실만으로 좁은 CPC 범위와 공정 단독형이 따라 나오지는 않기 때문이다. 후발국의 특허 활동이 생산 역량의 국산화, 공정별 병목의 해소, 특정 제조 단계의 권리 확보에 집중된다고 하자. 그러면 하나의 출원이 포괄하는 기술 요소는 시스템 전체의 통합보다 개별 공정 문제의 해결에 가까워지고, 두 클래스 안의 CPC 범위는 좁아지며 공정 단독형의 비중은 높아질 것이다. 이는 중국 특허 선행연구가 직접 내린 결론이 아니라 단계별 추격의 논리를 이 논문의 특허 구성에 적용해 끌어낸 예상이며, 범위와 유형은 서로 다른 모형으로 검정되므로 가설도 둘로 나눈다.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않으며 본문에서도 해석하지 않는다(부록 B). 네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제조공정 클래스(H01L21)에, 접합 형태는 접합·인터커넥트 클래스(H01L24)에 대응한다.</w:t>
      </w:r>
    </w:p>
    <w:p>
      <w:pPr>
        <w:pStyle w:val="BodyText"/>
        <w:keepNext/>
      </w:pPr>
      <w:r>
        <w:drawing>
          <wp:inline>
            <wp:extent cx="5334000" cy="3710608"/>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710608"/>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8"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23"/>
        <w:gridCol w:w="3184"/>
        <w:gridCol w:w="1592"/>
        <w:gridCol w:w="2769"/>
      </w:tblGrid>
      <w:tr>
        <w:trPr>
          <w:tblHeader w:val="on"/>
          <w:cantSplit/>
        </w:trPr>
        <w:tc>
          <w:tcPr>
            <w:tcW w:type="dxa" w:w="1523"/>
            <w:tcBorders>
              <w:bottom w:val="single" w:sz="4" w:space="0" w:color="000000"/>
            </w:tcBorders>
          </w:tcPr>
          <w:p>
            <w:pPr>
              <w:pStyle w:val="Compact"/>
              <w:spacing w:before="20" w:after="20" w:line="240" w:lineRule="auto"/>
              <w:keepNext/>
            </w:pPr>
            <w:r>
              <w:rPr>
                <w:sz w:val="18"/>
                <w:szCs w:val="18"/>
              </w:rPr>
              <w:t xml:space="preserve">변수</w:t>
            </w:r>
          </w:p>
        </w:tc>
        <w:tc>
          <w:tcPr>
            <w:tcW w:type="dxa" w:w="3184"/>
            <w:tcBorders>
              <w:bottom w:val="single" w:sz="4" w:space="0" w:color="000000"/>
            </w:tcBorders>
          </w:tcPr>
          <w:p>
            <w:pPr>
              <w:pStyle w:val="Compact"/>
              <w:spacing w:before="20" w:after="20" w:line="240" w:lineRule="auto"/>
              <w:keepNext/>
            </w:pPr>
            <w:r>
              <w:rPr>
                <w:sz w:val="18"/>
                <w:szCs w:val="18"/>
              </w:rPr>
              <w:t xml:space="preserve">정의</w:t>
            </w:r>
          </w:p>
        </w:tc>
        <w:tc>
          <w:tcPr>
            <w:tcW w:type="dxa" w:w="1592"/>
            <w:tcBorders>
              <w:bottom w:val="single" w:sz="4" w:space="0" w:color="000000"/>
            </w:tcBorders>
          </w:tcPr>
          <w:p>
            <w:pPr>
              <w:pStyle w:val="Compact"/>
              <w:spacing w:before="20" w:after="20" w:line="240" w:lineRule="auto"/>
              <w:keepNext/>
            </w:pPr>
            <w:r>
              <w:rPr>
                <w:sz w:val="18"/>
                <w:szCs w:val="18"/>
              </w:rPr>
              <w:t xml:space="preserve">유형</w:t>
            </w:r>
          </w:p>
        </w:tc>
        <w:tc>
          <w:tcPr>
            <w:tcW w:type="dxa" w:w="2769"/>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523"/>
          </w:tcPr>
          <w:p>
            <w:pPr>
              <w:pStyle w:val="Compact"/>
              <w:spacing w:before="20" w:after="20" w:line="240" w:lineRule="auto"/>
              <w:keepNext/>
            </w:pPr>
            <w:r>
              <w:rPr>
                <w:sz w:val="18"/>
                <w:szCs w:val="18"/>
              </w:rPr>
              <w:t xml:space="preserve">breadth</w:t>
            </w:r>
          </w:p>
        </w:tc>
        <w:tc>
          <w:tcPr>
            <w:tcW w:type="dxa" w:w="3184"/>
          </w:tcPr>
          <w:p>
            <w:pPr>
              <w:pStyle w:val="Compact"/>
              <w:spacing w:before="20" w:after="20" w:line="240" w:lineRule="auto"/>
              <w:keepNext/>
            </w:pPr>
            <w:r>
              <w:rPr>
                <w:sz w:val="18"/>
                <w:szCs w:val="18"/>
              </w:rPr>
              <w:t xml:space="preserve">H01L21·H01L24 계열의 서로 다른 CPC 서브그룹 기호 수(클래스 내 기술범위)</w:t>
            </w:r>
          </w:p>
        </w:tc>
        <w:tc>
          <w:tcPr>
            <w:tcW w:type="dxa" w:w="1592"/>
          </w:tcPr>
          <w:p>
            <w:pPr>
              <w:pStyle w:val="Compact"/>
              <w:spacing w:before="20" w:after="20" w:line="240" w:lineRule="auto"/>
              <w:keepNext/>
            </w:pPr>
            <w:r>
              <w:rPr>
                <w:sz w:val="18"/>
                <w:szCs w:val="18"/>
              </w:rPr>
              <w:t xml:space="preserve">카운트, 1–21</w:t>
            </w:r>
          </w:p>
        </w:tc>
        <w:tc>
          <w:tcPr>
            <w:tcW w:type="dxa" w:w="2769"/>
          </w:tcPr>
          <w:p>
            <w:pPr>
              <w:pStyle w:val="Compact"/>
              <w:spacing w:before="20" w:after="20" w:line="240" w:lineRule="auto"/>
              <w:keepNext/>
            </w:pPr>
            <w:r>
              <w:rPr>
                <w:sz w:val="18"/>
                <w:szCs w:val="18"/>
              </w:rPr>
              <w:t xml:space="preserve">전체 CPC 범위나 법적 청구범위가 아님</w:t>
            </w:r>
          </w:p>
        </w:tc>
      </w:tr>
      <w:tr>
        <w:trPr>
          <w:cantSplit/>
        </w:trPr>
        <w:tc>
          <w:tcPr>
            <w:tcW w:type="dxa" w:w="1523"/>
          </w:tcPr>
          <w:p>
            <w:pPr>
              <w:pStyle w:val="Compact"/>
              <w:spacing w:before="20" w:after="20" w:line="240" w:lineRule="auto"/>
              <w:keepNext/>
            </w:pPr>
            <w:r>
              <w:rPr>
                <w:sz w:val="18"/>
                <w:szCs w:val="18"/>
              </w:rPr>
              <w:t xml:space="preserve">breadth_adj</w:t>
            </w:r>
          </w:p>
        </w:tc>
        <w:tc>
          <w:tcPr>
            <w:tcW w:type="dxa" w:w="3184"/>
          </w:tcPr>
          <w:p>
            <w:pPr>
              <w:pStyle w:val="Compact"/>
              <w:spacing w:before="20" w:after="20" w:line="240" w:lineRule="auto"/>
              <w:keepNext/>
            </w:pPr>
            <w:r>
              <w:rPr>
                <w:sz w:val="18"/>
                <w:szCs w:val="18"/>
              </w:rPr>
              <w:t xml:space="preserve">breadth에서 각 클래스의 첫 기호를 뺀 값(제5.4절)</w:t>
            </w:r>
          </w:p>
        </w:tc>
        <w:tc>
          <w:tcPr>
            <w:tcW w:type="dxa" w:w="1592"/>
          </w:tcPr>
          <w:p>
            <w:pPr>
              <w:pStyle w:val="Compact"/>
              <w:spacing w:before="20" w:after="20" w:line="240" w:lineRule="auto"/>
              <w:keepNext/>
            </w:pPr>
            <w:r>
              <w:rPr>
                <w:sz w:val="18"/>
                <w:szCs w:val="18"/>
              </w:rPr>
              <w:t xml:space="preserve">카운트, 0–19</w:t>
            </w:r>
          </w:p>
        </w:tc>
        <w:tc>
          <w:tcPr>
            <w:tcW w:type="dxa" w:w="2769"/>
          </w:tcPr>
          <w:p>
            <w:pPr>
              <w:pStyle w:val="Compact"/>
              <w:spacing w:before="20" w:after="20" w:line="240" w:lineRule="auto"/>
              <w:keepNext/>
            </w:pPr>
            <w:r>
              <w:rPr>
                <w:sz w:val="18"/>
                <w:szCs w:val="18"/>
              </w:rPr>
              <w:t xml:space="preserve">유형 정보를 이용해 구성한 탐색적 지표</w:t>
            </w:r>
          </w:p>
        </w:tc>
      </w:tr>
      <w:tr>
        <w:trPr>
          <w:cantSplit/>
        </w:trPr>
        <w:tc>
          <w:tcPr>
            <w:tcW w:type="dxa" w:w="1523"/>
          </w:tcPr>
          <w:p>
            <w:pPr>
              <w:pStyle w:val="Compact"/>
              <w:spacing w:before="20" w:after="20" w:line="240" w:lineRule="auto"/>
              <w:keepNext/>
            </w:pPr>
            <w:r>
              <w:rPr>
                <w:sz w:val="18"/>
                <w:szCs w:val="18"/>
              </w:rPr>
              <w:t xml:space="preserve">tech_cat</w:t>
            </w:r>
          </w:p>
        </w:tc>
        <w:tc>
          <w:tcPr>
            <w:tcW w:type="dxa" w:w="31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92"/>
          </w:tcPr>
          <w:p>
            <w:pPr>
              <w:pStyle w:val="Compact"/>
              <w:spacing w:before="20" w:after="20" w:line="240" w:lineRule="auto"/>
              <w:keepNext/>
            </w:pPr>
            <w:r>
              <w:rPr>
                <w:sz w:val="18"/>
                <w:szCs w:val="18"/>
              </w:rPr>
              <w:t xml:space="preserve">범주, 3</w:t>
            </w:r>
          </w:p>
        </w:tc>
        <w:tc>
          <w:tcPr>
            <w:tcW w:type="dxa" w:w="2769"/>
          </w:tcPr>
          <w:p>
            <w:pPr>
              <w:pStyle w:val="Compact"/>
              <w:spacing w:before="20" w:after="20" w:line="240" w:lineRule="auto"/>
              <w:keepNext/>
            </w:pPr>
            <w:r>
              <w:rPr>
                <w:sz w:val="18"/>
                <w:szCs w:val="18"/>
              </w:rPr>
              <w:t xml:space="preserve">기업의 전략이 아닌 분류의 조합</w:t>
            </w:r>
          </w:p>
        </w:tc>
      </w:tr>
      <w:tr>
        <w:trPr>
          <w:cantSplit/>
        </w:trPr>
        <w:tc>
          <w:tcPr>
            <w:tcW w:type="dxa" w:w="1523"/>
          </w:tcPr>
          <w:p>
            <w:pPr>
              <w:pStyle w:val="Compact"/>
              <w:spacing w:before="20" w:after="20" w:line="240" w:lineRule="auto"/>
              <w:keepNext/>
            </w:pPr>
            <w:r>
              <w:rPr>
                <w:sz w:val="18"/>
                <w:szCs w:val="18"/>
              </w:rPr>
              <w:t xml:space="preserve">has_process</w:t>
            </w:r>
          </w:p>
        </w:tc>
        <w:tc>
          <w:tcPr>
            <w:tcW w:type="dxa" w:w="3184"/>
          </w:tcPr>
          <w:p>
            <w:pPr>
              <w:pStyle w:val="Compact"/>
              <w:spacing w:before="20" w:after="20" w:line="240" w:lineRule="auto"/>
              <w:keepNext/>
            </w:pPr>
            <w:r>
              <w:rPr>
                <w:sz w:val="18"/>
                <w:szCs w:val="18"/>
              </w:rPr>
              <w:t xml:space="preserve">H01L21 기호를 하나라도 가지면 1(제조공정 분류), 아니면 0</w:t>
            </w:r>
          </w:p>
        </w:tc>
        <w:tc>
          <w:tcPr>
            <w:tcW w:type="dxa" w:w="1592"/>
          </w:tcPr>
          <w:p>
            <w:pPr>
              <w:pStyle w:val="Compact"/>
              <w:spacing w:before="20" w:after="20" w:line="240" w:lineRule="auto"/>
              <w:keepNext/>
            </w:pPr>
            <w:r>
              <w:rPr>
                <w:sz w:val="18"/>
                <w:szCs w:val="18"/>
              </w:rPr>
              <w:t xml:space="preserve">이항</w:t>
            </w:r>
          </w:p>
        </w:tc>
        <w:tc>
          <w:tcPr>
            <w:tcW w:type="dxa" w:w="2769"/>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523"/>
          </w:tcPr>
          <w:p>
            <w:pPr>
              <w:pStyle w:val="Compact"/>
              <w:spacing w:before="20" w:after="20" w:line="240" w:lineRule="auto"/>
              <w:keepNext/>
            </w:pPr>
            <w:r>
              <w:rPr>
                <w:sz w:val="18"/>
                <w:szCs w:val="18"/>
              </w:rPr>
              <w:t xml:space="preserve">ccode</w:t>
            </w:r>
          </w:p>
        </w:tc>
        <w:tc>
          <w:tcPr>
            <w:tcW w:type="dxa" w:w="3184"/>
          </w:tcPr>
          <w:p>
            <w:pPr>
              <w:pStyle w:val="Compact"/>
              <w:spacing w:before="20" w:after="20" w:line="240" w:lineRule="auto"/>
              <w:keepNext/>
            </w:pPr>
            <w:r>
              <w:rPr>
                <w:sz w:val="18"/>
                <w:szCs w:val="18"/>
              </w:rPr>
              <w:t xml:space="preserve">출원청 또는 출원 경로: US(기준), CN, KR, TW, JP, EP, WO(PCT), 기타</w:t>
            </w:r>
          </w:p>
        </w:tc>
        <w:tc>
          <w:tcPr>
            <w:tcW w:type="dxa" w:w="1592"/>
          </w:tcPr>
          <w:p>
            <w:pPr>
              <w:pStyle w:val="Compact"/>
              <w:spacing w:before="20" w:after="20" w:line="240" w:lineRule="auto"/>
              <w:keepNext/>
            </w:pPr>
            <w:r>
              <w:rPr>
                <w:sz w:val="18"/>
                <w:szCs w:val="18"/>
              </w:rPr>
              <w:t xml:space="preserve">범주, 8</w:t>
            </w:r>
          </w:p>
        </w:tc>
        <w:tc>
          <w:tcPr>
            <w:tcW w:type="dxa" w:w="2769"/>
          </w:tcPr>
          <w:p>
            <w:pPr>
              <w:pStyle w:val="Compact"/>
              <w:spacing w:before="20" w:after="20" w:line="240" w:lineRule="auto"/>
              <w:keepNext/>
            </w:pPr>
            <w:r>
              <w:rPr>
                <w:sz w:val="18"/>
                <w:szCs w:val="18"/>
              </w:rPr>
              <w:t xml:space="preserve">출원인의 국적과 다름</w:t>
            </w:r>
          </w:p>
        </w:tc>
      </w:tr>
      <w:tr>
        <w:trPr>
          <w:cantSplit/>
        </w:trPr>
        <w:tc>
          <w:tcPr>
            <w:tcW w:type="dxa" w:w="1523"/>
          </w:tcPr>
          <w:p>
            <w:pPr>
              <w:pStyle w:val="Compact"/>
              <w:spacing w:before="20" w:after="20" w:line="240" w:lineRule="auto"/>
              <w:keepNext/>
            </w:pPr>
            <w:r>
              <w:rPr>
                <w:sz w:val="18"/>
                <w:szCs w:val="18"/>
              </w:rPr>
              <w:t xml:space="preserve">yc</w:t>
            </w:r>
          </w:p>
        </w:tc>
        <w:tc>
          <w:tcPr>
            <w:tcW w:type="dxa" w:w="3184"/>
          </w:tcPr>
          <w:p>
            <w:pPr>
              <w:pStyle w:val="Compact"/>
              <w:spacing w:before="20" w:after="20" w:line="240" w:lineRule="auto"/>
              <w:keepNext/>
            </w:pPr>
            <w:r>
              <w:rPr>
                <w:sz w:val="18"/>
                <w:szCs w:val="18"/>
              </w:rPr>
              <w:t xml:space="preserve">출원연도(1968년 = 0부터 지난 햇수); 표본 평균 49.7(2017.7년)</w:t>
            </w:r>
          </w:p>
        </w:tc>
        <w:tc>
          <w:tcPr>
            <w:tcW w:type="dxa" w:w="1592"/>
          </w:tcPr>
          <w:p>
            <w:pPr>
              <w:pStyle w:val="Compact"/>
              <w:spacing w:before="20" w:after="20" w:line="240" w:lineRule="auto"/>
              <w:keepNext/>
            </w:pPr>
            <w:r>
              <w:rPr>
                <w:sz w:val="18"/>
                <w:szCs w:val="18"/>
              </w:rPr>
              <w:t xml:space="preserve">정수, 0–56</w:t>
            </w:r>
          </w:p>
        </w:tc>
        <w:tc>
          <w:tcPr>
            <w:tcW w:type="dxa" w:w="2769"/>
          </w:tcPr>
          <w:p>
            <w:pPr>
              <w:pStyle w:val="Compact"/>
              <w:spacing w:before="20" w:after="20" w:line="240" w:lineRule="auto"/>
              <w:keepNext/>
            </w:pPr>
            <w:r>
              <w:rPr>
                <w:sz w:val="18"/>
                <w:szCs w:val="18"/>
              </w:rPr>
              <w:t xml:space="preserve">기술 성숙의 직접 측정치가 아님</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2844799"/>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p>
      <w:pPr>
        <w:pStyle w:val="BodyText"/>
      </w:pPr>
      <w:r>
        <w:t xml:space="preserve">출원청별 유형 분포와 기술범위는 표 4에 정리했다. 통합형은 EPO, 대만, 일본, 미국에서 절반 안팎으로 가장 많은 유형이지만 중국과 PCT 경로에서는 40% 수준에 그친다. 공정 단독형의 비중은 중국(24.6%)과 한국(27.6%)에서 높은 편이고 일본(11.5%), EPO(12.0%), 미국(13.9%)에서는 낮다. 기술범위 평균을 보면 중국(4.83)과 PCT(5.04)가 가장 좁고 일본(6.88)이 가장 넓다. 다만 출원청마다 출원 시기가 크게 다르다는 점을 함께 보아야 한다. 일본 출원은 절반이 2011년 이전 출원인 반면(중앙값 2011.5년) PCT 출원의 중앙값은 2022년이다. 이런 차이가 출원 시기와 범위를 통제한 뒤에도 남는지는 제5절의 회귀분석에서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분석-방법"/>
    <w:p>
      <w:pPr>
        <w:pStyle w:val="Heading3"/>
      </w:pPr>
      <w:r>
        <w:t xml:space="preserve">4.4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제조공정 분류 여부는 이항 로짓으로 추정하고 승산비(OR)로 보고한다. 셋째, 세 공동분류 유형은 조립 단독형을 기준으로 하는 다항 로짓(McFadden, 1974)으로 추정하고 상대위험비(RRR)로 보고한다. 다항 로짓이 H1, H2, H3b의 본 검정이며, H3a는 음이항으로 검정한다. 기준 모형은 이용 가능한 전체 출원을 쓴다는 원칙에 따라 2024년까지 포함하되, 2023–2024년 출원은 공개와 분류가 완결되지 않았을 수 있으므로 이 두 해를 제외한 결과를 가설 판정에 함께 반영한다. 모든 모형의 설명변수는 출원연도와 출원청 더미이고, 로짓 모형에는 기술범위가 추가된다. 비율 척도의 계수만으로는 크기를 가늠하기 어려우므로, 다항 로짓에 대해서는 기술범위, 출원연도, 출원청을 바꾸었을 때의 유형별 예측확률도 함께 제시한다. 다항 로짓은 무관 대안의 독립성(IIA)을 가정하므로 한 대안을 제외한 표본으로 결과가 달라지는지 확인하고(부록 B), 같은 제목의 출원이 독립이 아닐 가능성에 대해서는 동일 제목 군집 표준오차로 유의성을 다시 확인한다. 가설 판정에는 5% 유의수준을 쓴다. 표본과 변수 정의에 따라 결과가 달라지는지는 제5.4절에서 확인한다.</w:t>
      </w:r>
    </w:p>
    <w:bookmarkEnd w:id="27"/>
    <w:bookmarkEnd w:id="28"/>
    <w:bookmarkStart w:id="46" w:name="결과"/>
    <w:p>
      <w:pPr>
        <w:pStyle w:val="Heading2"/>
      </w:pPr>
      <w:r>
        <w:t xml:space="preserve">5. 결과</w:t>
      </w:r>
    </w:p>
    <w:bookmarkStart w:id="32" w:name="기술범위"/>
    <w:p>
      <w:pPr>
        <w:pStyle w:val="Heading3"/>
      </w:pPr>
      <w:r>
        <w:t xml:space="preserve">5.1 기술범위</w:t>
      </w:r>
    </w:p>
    <w:p>
      <w:pPr>
        <w:pStyle w:val="FirstParagraph"/>
      </w:pPr>
      <w:r>
        <w:t xml:space="preserve">표 5는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H3a를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5.</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1.015***</w:t>
            </w:r>
          </w:p>
        </w:tc>
        <w:tc>
          <w:tcPr>
            <w:tcW w:type="dxa" w:w="2771"/>
          </w:tcPr>
          <w:p>
            <w:pPr>
              <w:pStyle w:val="Compact"/>
              <w:spacing w:before="20" w:after="20" w:line="240" w:lineRule="auto"/>
              <w:jc w:val="center"/>
              <w:keepNext/>
            </w:pPr>
            <w:r>
              <w:rPr>
                <w:sz w:val="18"/>
                <w:szCs w:val="18"/>
              </w:rPr>
              <w:t xml:space="preserve">(0.003)</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0.785***</w:t>
            </w:r>
          </w:p>
        </w:tc>
        <w:tc>
          <w:tcPr>
            <w:tcW w:type="dxa" w:w="2771"/>
          </w:tcPr>
          <w:p>
            <w:pPr>
              <w:pStyle w:val="Compact"/>
              <w:spacing w:before="20" w:after="20" w:line="240" w:lineRule="auto"/>
              <w:jc w:val="center"/>
              <w:keepNext/>
            </w:pPr>
            <w:r>
              <w:rPr>
                <w:sz w:val="18"/>
                <w:szCs w:val="18"/>
              </w:rPr>
              <w:t xml:space="preserve">(0.062)</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1.018</w:t>
            </w:r>
          </w:p>
        </w:tc>
        <w:tc>
          <w:tcPr>
            <w:tcW w:type="dxa" w:w="2771"/>
          </w:tcPr>
          <w:p>
            <w:pPr>
              <w:pStyle w:val="Compact"/>
              <w:spacing w:before="20" w:after="20" w:line="240" w:lineRule="auto"/>
              <w:jc w:val="center"/>
              <w:keepNext/>
            </w:pPr>
            <w:r>
              <w:rPr>
                <w:sz w:val="18"/>
                <w:szCs w:val="18"/>
              </w:rPr>
              <w:t xml:space="preserve">(0.094)</w:t>
            </w:r>
          </w:p>
        </w:tc>
        <w:tc>
          <w:tcPr>
            <w:tcW w:type="dxa" w:w="1539"/>
          </w:tcPr>
          <w:p>
            <w:pPr>
              <w:pStyle w:val="Compact"/>
              <w:spacing w:before="20" w:after="20" w:line="240" w:lineRule="auto"/>
              <w:jc w:val="center"/>
              <w:keepNext/>
            </w:pPr>
            <w:r>
              <w:rPr>
                <w:sz w:val="18"/>
                <w:szCs w:val="18"/>
              </w:rPr>
              <w:t xml:space="preserve">0.853</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1.021</w:t>
            </w:r>
          </w:p>
        </w:tc>
        <w:tc>
          <w:tcPr>
            <w:tcW w:type="dxa" w:w="2771"/>
          </w:tcPr>
          <w:p>
            <w:pPr>
              <w:pStyle w:val="Compact"/>
              <w:spacing w:before="20" w:after="20" w:line="240" w:lineRule="auto"/>
              <w:jc w:val="center"/>
              <w:keepNext/>
            </w:pPr>
            <w:r>
              <w:rPr>
                <w:sz w:val="18"/>
                <w:szCs w:val="18"/>
              </w:rPr>
              <w:t xml:space="preserve">(0.083)</w:t>
            </w:r>
          </w:p>
        </w:tc>
        <w:tc>
          <w:tcPr>
            <w:tcW w:type="dxa" w:w="1539"/>
          </w:tcPr>
          <w:p>
            <w:pPr>
              <w:pStyle w:val="Compact"/>
              <w:spacing w:before="20" w:after="20" w:line="240" w:lineRule="auto"/>
              <w:jc w:val="center"/>
              <w:keepNext/>
            </w:pPr>
            <w:r>
              <w:rPr>
                <w:sz w:val="18"/>
                <w:szCs w:val="18"/>
              </w:rPr>
              <w:t xml:space="preserve">0.801</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1.270*</w:t>
            </w:r>
          </w:p>
        </w:tc>
        <w:tc>
          <w:tcPr>
            <w:tcW w:type="dxa" w:w="2771"/>
          </w:tcPr>
          <w:p>
            <w:pPr>
              <w:pStyle w:val="Compact"/>
              <w:spacing w:before="20" w:after="20" w:line="240" w:lineRule="auto"/>
              <w:jc w:val="center"/>
              <w:keepNext/>
            </w:pPr>
            <w:r>
              <w:rPr>
                <w:sz w:val="18"/>
                <w:szCs w:val="18"/>
              </w:rPr>
              <w:t xml:space="preserve">(0.133)</w:t>
            </w:r>
          </w:p>
        </w:tc>
        <w:tc>
          <w:tcPr>
            <w:tcW w:type="dxa" w:w="1539"/>
          </w:tcPr>
          <w:p>
            <w:pPr>
              <w:pStyle w:val="Compact"/>
              <w:spacing w:before="20" w:after="20" w:line="240" w:lineRule="auto"/>
              <w:jc w:val="center"/>
              <w:keepNext/>
            </w:pPr>
            <w:r>
              <w:rPr>
                <w:sz w:val="18"/>
                <w:szCs w:val="18"/>
              </w:rPr>
              <w:t xml:space="preserve">0.073</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0.993</w:t>
            </w:r>
          </w:p>
        </w:tc>
        <w:tc>
          <w:tcPr>
            <w:tcW w:type="dxa" w:w="2771"/>
          </w:tcPr>
          <w:p>
            <w:pPr>
              <w:pStyle w:val="Compact"/>
              <w:spacing w:before="20" w:after="20" w:line="240" w:lineRule="auto"/>
              <w:jc w:val="center"/>
              <w:keepNext/>
            </w:pPr>
            <w:r>
              <w:rPr>
                <w:sz w:val="18"/>
                <w:szCs w:val="18"/>
              </w:rPr>
              <w:t xml:space="preserve">(0.080)</w:t>
            </w:r>
          </w:p>
        </w:tc>
        <w:tc>
          <w:tcPr>
            <w:tcW w:type="dxa" w:w="1539"/>
          </w:tcPr>
          <w:p>
            <w:pPr>
              <w:pStyle w:val="Compact"/>
              <w:spacing w:before="20" w:after="20" w:line="240" w:lineRule="auto"/>
              <w:jc w:val="center"/>
              <w:keepNext/>
            </w:pPr>
            <w:r>
              <w:rPr>
                <w:sz w:val="18"/>
                <w:szCs w:val="18"/>
              </w:rPr>
              <w:t xml:space="preserve">0.933</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0.826***</w:t>
            </w:r>
          </w:p>
        </w:tc>
        <w:tc>
          <w:tcPr>
            <w:tcW w:type="dxa" w:w="2771"/>
          </w:tcPr>
          <w:p>
            <w:pPr>
              <w:pStyle w:val="Compact"/>
              <w:spacing w:before="20" w:after="20" w:line="240" w:lineRule="auto"/>
              <w:jc w:val="center"/>
              <w:keepNext/>
            </w:pPr>
            <w:r>
              <w:rPr>
                <w:sz w:val="18"/>
                <w:szCs w:val="18"/>
              </w:rPr>
              <w:t xml:space="preserve">(0.073)</w:t>
            </w:r>
          </w:p>
        </w:tc>
        <w:tc>
          <w:tcPr>
            <w:tcW w:type="dxa" w:w="1539"/>
          </w:tcPr>
          <w:p>
            <w:pPr>
              <w:pStyle w:val="Compact"/>
              <w:spacing w:before="20" w:after="20" w:line="240" w:lineRule="auto"/>
              <w:jc w:val="center"/>
              <w:keepNext/>
            </w:pPr>
            <w:r>
              <w:rPr>
                <w:sz w:val="18"/>
                <w:szCs w:val="18"/>
              </w:rPr>
              <w:t xml:space="preserve">0.009</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1.057</w:t>
            </w:r>
          </w:p>
        </w:tc>
        <w:tc>
          <w:tcPr>
            <w:tcW w:type="dxa" w:w="2771"/>
          </w:tcPr>
          <w:p>
            <w:pPr>
              <w:pStyle w:val="Compact"/>
              <w:spacing w:before="20" w:after="20" w:line="240" w:lineRule="auto"/>
              <w:jc w:val="center"/>
              <w:keepNext/>
            </w:pPr>
            <w:r>
              <w:rPr>
                <w:sz w:val="18"/>
                <w:szCs w:val="18"/>
              </w:rPr>
              <w:t xml:space="preserve">(0.171)</w:t>
            </w:r>
          </w:p>
        </w:tc>
        <w:tc>
          <w:tcPr>
            <w:tcW w:type="dxa" w:w="1539"/>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델타법 95% 신뢰구간; 출원청별 N은 표 4. 일본과 기타는 표본이 작아 구간이 넓다).</w:t>
      </w:r>
    </w:p>
    <w:bookmarkEnd w:id="32"/>
    <w:bookmarkStart w:id="33" w:name="제조공정-분류-여부"/>
    <w:p>
      <w:pPr>
        <w:pStyle w:val="Heading3"/>
      </w:pPr>
      <w:r>
        <w:t xml:space="preserve">5.2 제조공정 분류 여부</w:t>
      </w:r>
    </w:p>
    <w:p>
      <w:pPr>
        <w:pStyle w:val="FirstParagraph"/>
      </w:pPr>
      <w:r>
        <w:t xml:space="preserve">표 6은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작아(연간 OR 0.946, p &lt; 0.01), 최근 출원일수록 제조공정 기호를 가질 승산이 낮다. 출원청 가운데는 중국만 미국과 유의하게 달라서, 제조공정 기호를 가질 승산이 65% 높다(OR 1.650, p &lt; 0.05). 모형의 판별력을 나타내는 ROC 곡선 하면적은 0.707로, Hosmer et al.(2013)의 기준에서 받아들일 만한 수준의 하한에 해당한다. 이 모형은 제조공정 기호의 유무만을 묻는다. 경계를 넘는 통합형과 제조공정 기호만 있는 공정 단독형을 가르는 것은 다음 절의 다항 로짓이다.</w:t>
      </w:r>
    </w:p>
    <w:p>
      <w:pPr>
        <w:pStyle w:val="BodyText"/>
        <w:keepNext/>
      </w:pPr>
      <w:r>
        <w:rPr>
          <w:b/>
          <w:bCs/>
        </w:rPr>
        <w:t xml:space="preserve">표 6.</w:t>
      </w:r>
      <w:r>
        <w:t xml:space="preserve"> </w:t>
      </w:r>
      <w:r>
        <w:t xml:space="preserve">제조공정 분류 여부의 이항 로짓(종속변수 has_process; N = 928; 출원청 기준 = 미국; 로그우도 −547.6; 우도비 χ²(9) = 122.0, p &lt; 0.001; McFadden 의사 R² = 0.100;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0.946***</w:t>
            </w:r>
          </w:p>
        </w:tc>
        <w:tc>
          <w:tcPr>
            <w:tcW w:type="dxa" w:w="2771"/>
          </w:tcPr>
          <w:p>
            <w:pPr>
              <w:pStyle w:val="Compact"/>
              <w:spacing w:before="20" w:after="20" w:line="240" w:lineRule="auto"/>
              <w:jc w:val="center"/>
              <w:keepNext/>
            </w:pPr>
            <w:r>
              <w:rPr>
                <w:sz w:val="18"/>
                <w:szCs w:val="18"/>
              </w:rPr>
              <w:t xml:space="preserve">(0.011)</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기술범위</w:t>
            </w:r>
          </w:p>
        </w:tc>
        <w:tc>
          <w:tcPr>
            <w:tcW w:type="dxa" w:w="1679"/>
          </w:tcPr>
          <w:p>
            <w:pPr>
              <w:pStyle w:val="Compact"/>
              <w:spacing w:before="20" w:after="20" w:line="240" w:lineRule="auto"/>
              <w:jc w:val="center"/>
              <w:keepNext/>
            </w:pPr>
            <w:r>
              <w:rPr>
                <w:sz w:val="18"/>
                <w:szCs w:val="18"/>
              </w:rPr>
              <w:t xml:space="preserve">1.267***</w:t>
            </w:r>
          </w:p>
        </w:tc>
        <w:tc>
          <w:tcPr>
            <w:tcW w:type="dxa" w:w="2771"/>
          </w:tcPr>
          <w:p>
            <w:pPr>
              <w:pStyle w:val="Compact"/>
              <w:spacing w:before="20" w:after="20" w:line="240" w:lineRule="auto"/>
              <w:jc w:val="center"/>
              <w:keepNext/>
            </w:pPr>
            <w:r>
              <w:rPr>
                <w:sz w:val="18"/>
                <w:szCs w:val="18"/>
              </w:rPr>
              <w:t xml:space="preserve">(0.027)</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1.650**</w:t>
            </w:r>
          </w:p>
        </w:tc>
        <w:tc>
          <w:tcPr>
            <w:tcW w:type="dxa" w:w="2771"/>
          </w:tcPr>
          <w:p>
            <w:pPr>
              <w:pStyle w:val="Compact"/>
              <w:spacing w:before="20" w:after="20" w:line="240" w:lineRule="auto"/>
              <w:jc w:val="center"/>
              <w:keepNext/>
            </w:pPr>
            <w:r>
              <w:rPr>
                <w:sz w:val="18"/>
                <w:szCs w:val="18"/>
              </w:rPr>
              <w:t xml:space="preserve">(0.205)</w:t>
            </w:r>
          </w:p>
        </w:tc>
        <w:tc>
          <w:tcPr>
            <w:tcW w:type="dxa" w:w="1539"/>
          </w:tcPr>
          <w:p>
            <w:pPr>
              <w:pStyle w:val="Compact"/>
              <w:spacing w:before="20" w:after="20" w:line="240" w:lineRule="auto"/>
              <w:jc w:val="center"/>
              <w:keepNext/>
            </w:pPr>
            <w:r>
              <w:rPr>
                <w:sz w:val="18"/>
                <w:szCs w:val="18"/>
              </w:rPr>
              <w:t xml:space="preserve">0.015</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1.430</w:t>
            </w:r>
          </w:p>
        </w:tc>
        <w:tc>
          <w:tcPr>
            <w:tcW w:type="dxa" w:w="2771"/>
          </w:tcPr>
          <w:p>
            <w:pPr>
              <w:pStyle w:val="Compact"/>
              <w:spacing w:before="20" w:after="20" w:line="240" w:lineRule="auto"/>
              <w:jc w:val="center"/>
              <w:keepNext/>
            </w:pPr>
            <w:r>
              <w:rPr>
                <w:sz w:val="18"/>
                <w:szCs w:val="18"/>
              </w:rPr>
              <w:t xml:space="preserve">(0.327)</w:t>
            </w:r>
          </w:p>
        </w:tc>
        <w:tc>
          <w:tcPr>
            <w:tcW w:type="dxa" w:w="1539"/>
          </w:tcPr>
          <w:p>
            <w:pPr>
              <w:pStyle w:val="Compact"/>
              <w:spacing w:before="20" w:after="20" w:line="240" w:lineRule="auto"/>
              <w:jc w:val="center"/>
              <w:keepNext/>
            </w:pPr>
            <w:r>
              <w:rPr>
                <w:sz w:val="18"/>
                <w:szCs w:val="18"/>
              </w:rPr>
              <w:t xml:space="preserve">0.274</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1.555</w:t>
            </w:r>
          </w:p>
        </w:tc>
        <w:tc>
          <w:tcPr>
            <w:tcW w:type="dxa" w:w="2771"/>
          </w:tcPr>
          <w:p>
            <w:pPr>
              <w:pStyle w:val="Compact"/>
              <w:spacing w:before="20" w:after="20" w:line="240" w:lineRule="auto"/>
              <w:jc w:val="center"/>
              <w:keepNext/>
            </w:pPr>
            <w:r>
              <w:rPr>
                <w:sz w:val="18"/>
                <w:szCs w:val="18"/>
              </w:rPr>
              <w:t xml:space="preserve">(0.290)</w:t>
            </w:r>
          </w:p>
        </w:tc>
        <w:tc>
          <w:tcPr>
            <w:tcW w:type="dxa" w:w="1539"/>
          </w:tcPr>
          <w:p>
            <w:pPr>
              <w:pStyle w:val="Compact"/>
              <w:spacing w:before="20" w:after="20" w:line="240" w:lineRule="auto"/>
              <w:jc w:val="center"/>
              <w:keepNext/>
            </w:pPr>
            <w:r>
              <w:rPr>
                <w:sz w:val="18"/>
                <w:szCs w:val="18"/>
              </w:rPr>
              <w:t xml:space="preserve">0.128</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0.483</w:t>
            </w:r>
          </w:p>
        </w:tc>
        <w:tc>
          <w:tcPr>
            <w:tcW w:type="dxa" w:w="2771"/>
          </w:tcPr>
          <w:p>
            <w:pPr>
              <w:pStyle w:val="Compact"/>
              <w:spacing w:before="20" w:after="20" w:line="240" w:lineRule="auto"/>
              <w:jc w:val="center"/>
              <w:keepNext/>
            </w:pPr>
            <w:r>
              <w:rPr>
                <w:sz w:val="18"/>
                <w:szCs w:val="18"/>
              </w:rPr>
              <w:t xml:space="preserve">(0.482)</w:t>
            </w:r>
          </w:p>
        </w:tc>
        <w:tc>
          <w:tcPr>
            <w:tcW w:type="dxa" w:w="1539"/>
          </w:tcPr>
          <w:p>
            <w:pPr>
              <w:pStyle w:val="Compact"/>
              <w:spacing w:before="20" w:after="20" w:line="240" w:lineRule="auto"/>
              <w:jc w:val="center"/>
              <w:keepNext/>
            </w:pPr>
            <w:r>
              <w:rPr>
                <w:sz w:val="18"/>
                <w:szCs w:val="18"/>
              </w:rPr>
              <w:t xml:space="preserve">0.131</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1.170</w:t>
            </w:r>
          </w:p>
        </w:tc>
        <w:tc>
          <w:tcPr>
            <w:tcW w:type="dxa" w:w="2771"/>
          </w:tcPr>
          <w:p>
            <w:pPr>
              <w:pStyle w:val="Compact"/>
              <w:spacing w:before="20" w:after="20" w:line="240" w:lineRule="auto"/>
              <w:jc w:val="center"/>
              <w:keepNext/>
            </w:pPr>
            <w:r>
              <w:rPr>
                <w:sz w:val="18"/>
                <w:szCs w:val="18"/>
              </w:rPr>
              <w:t xml:space="preserve">(0.267)</w:t>
            </w:r>
          </w:p>
        </w:tc>
        <w:tc>
          <w:tcPr>
            <w:tcW w:type="dxa" w:w="1539"/>
          </w:tcPr>
          <w:p>
            <w:pPr>
              <w:pStyle w:val="Compact"/>
              <w:spacing w:before="20" w:after="20" w:line="240" w:lineRule="auto"/>
              <w:jc w:val="center"/>
              <w:keepNext/>
            </w:pPr>
            <w:r>
              <w:rPr>
                <w:sz w:val="18"/>
                <w:szCs w:val="18"/>
              </w:rPr>
              <w:t xml:space="preserve">0.555</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1.398</w:t>
            </w:r>
          </w:p>
        </w:tc>
        <w:tc>
          <w:tcPr>
            <w:tcW w:type="dxa" w:w="2771"/>
          </w:tcPr>
          <w:p>
            <w:pPr>
              <w:pStyle w:val="Compact"/>
              <w:spacing w:before="20" w:after="20" w:line="240" w:lineRule="auto"/>
              <w:jc w:val="center"/>
              <w:keepNext/>
            </w:pPr>
            <w:r>
              <w:rPr>
                <w:sz w:val="18"/>
                <w:szCs w:val="18"/>
              </w:rPr>
              <w:t xml:space="preserve">(0.235)</w:t>
            </w:r>
          </w:p>
        </w:tc>
        <w:tc>
          <w:tcPr>
            <w:tcW w:type="dxa" w:w="1539"/>
          </w:tcPr>
          <w:p>
            <w:pPr>
              <w:pStyle w:val="Compact"/>
              <w:spacing w:before="20" w:after="20" w:line="240" w:lineRule="auto"/>
              <w:jc w:val="center"/>
              <w:keepNext/>
            </w:pPr>
            <w:r>
              <w:rPr>
                <w:sz w:val="18"/>
                <w:szCs w:val="18"/>
              </w:rPr>
              <w:t xml:space="preserve">0.155</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2.132</w:t>
            </w:r>
          </w:p>
        </w:tc>
        <w:tc>
          <w:tcPr>
            <w:tcW w:type="dxa" w:w="2771"/>
          </w:tcPr>
          <w:p>
            <w:pPr>
              <w:pStyle w:val="Compact"/>
              <w:spacing w:before="20" w:after="20" w:line="240" w:lineRule="auto"/>
              <w:jc w:val="center"/>
              <w:keepNext/>
            </w:pPr>
            <w:r>
              <w:rPr>
                <w:sz w:val="18"/>
                <w:szCs w:val="18"/>
              </w:rPr>
              <w:t xml:space="preserve">(0.613)</w:t>
            </w:r>
          </w:p>
        </w:tc>
        <w:tc>
          <w:tcPr>
            <w:tcW w:type="dxa" w:w="1539"/>
          </w:tcPr>
          <w:p>
            <w:pPr>
              <w:pStyle w:val="Compact"/>
              <w:spacing w:before="20" w:after="20" w:line="240" w:lineRule="auto"/>
              <w:jc w:val="center"/>
              <w:keepNext/>
            </w:pPr>
            <w:r>
              <w:rPr>
                <w:sz w:val="18"/>
                <w:szCs w:val="18"/>
              </w:rPr>
              <w:t xml:space="preserve">0.217</w:t>
            </w:r>
          </w:p>
        </w:tc>
      </w:tr>
    </w:tbl>
    <w:bookmarkEnd w:id="33"/>
    <w:bookmarkStart w:id="43" w:name="공동분류-유형"/>
    <w:p>
      <w:pPr>
        <w:pStyle w:val="Heading3"/>
      </w:pPr>
      <w:r>
        <w:t xml:space="preserve">5.3 공동분류 유형</w:t>
      </w:r>
    </w:p>
    <w:p>
      <w:pPr>
        <w:pStyle w:val="FirstParagraph"/>
      </w:pPr>
      <w:r>
        <w:t xml:space="preserve">표 7은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다만 유형과 기술범위가 같은 CPC 정보에서 만들어지므로, 이를 독립적인 인과적 결정요인으로 해석하지 않는다.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6에서 본 제조공정 분류의 감소는 주로 공정 단독형의 감소에서 온 것이다. H2는 지지된다.</w:t>
      </w:r>
    </w:p>
    <w:p>
      <w:pPr>
        <w:pStyle w:val="BodyText"/>
        <w:keepNext/>
      </w:pPr>
      <w:r>
        <w:drawing>
          <wp:inline>
            <wp:extent cx="5334000" cy="2133599"/>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133599"/>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pPr>
      <w:r>
        <w:rPr>
          <w:b/>
          <w:bCs/>
        </w:rPr>
        <w:t xml:space="preserve">출원청(H3b).</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않다. 관할권의 차이는 한 영역에 머무는 특허, 특히 공정 단독형에서 나타난다. 그림 5는 각 출원청에 출원되었을 때 공정 단독형으로 예측되는 평균 확률이다. 중국 출원청은 4건 중 1건(0.255), 미국 출원청은 7건 중 1건(0.143) 꼴이다. H3b는 기준 모형에서 지지되지만, 2023–2024년 출원을 제외하면 유의성을 잃으므로(제5.4절) 최근 출원 구성에 민감한 제한적 증거로 본다.</w:t>
      </w:r>
    </w:p>
    <w:p>
      <w:pPr>
        <w:pStyle w:val="BodyText"/>
        <w:keepNext/>
      </w:pPr>
      <w:r>
        <w:rPr>
          <w:b/>
          <w:bCs/>
        </w:rPr>
        <w:t xml:space="preserve">표 7.</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80"/>
        <w:gridCol w:w="970"/>
        <w:gridCol w:w="1602"/>
        <w:gridCol w:w="890"/>
        <w:gridCol w:w="1335"/>
        <w:gridCol w:w="1602"/>
        <w:gridCol w:w="890"/>
      </w:tblGrid>
      <w:tr>
        <w:trPr>
          <w:tblHeader w:val="on"/>
          <w:cantSplit/>
        </w:trPr>
        <w:tc>
          <w:tcPr>
            <w:tcW w:type="dxa" w:w="1780"/>
            <w:tcBorders>
              <w:bottom w:val="single" w:sz="4" w:space="0" w:color="000000"/>
            </w:tcBorders>
          </w:tcPr>
          <w:p>
            <w:pPr>
              <w:pStyle w:val="Compact"/>
              <w:spacing w:before="20" w:after="20" w:line="240" w:lineRule="auto"/>
              <w:keepNext/>
            </w:pPr>
          </w:p>
        </w:tc>
        <w:tc>
          <w:tcPr>
            <w:tcW w:type="dxa" w:w="970"/>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35"/>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80"/>
          </w:tcPr>
          <w:p>
            <w:pPr>
              <w:pStyle w:val="Compact"/>
              <w:spacing w:before="20" w:after="20" w:line="240" w:lineRule="auto"/>
              <w:keepNext/>
            </w:pPr>
            <w:r>
              <w:rPr>
                <w:sz w:val="16"/>
                <w:szCs w:val="16"/>
              </w:rPr>
              <w:t xml:space="preserve">출원연도(yc)</w:t>
            </w:r>
          </w:p>
        </w:tc>
        <w:tc>
          <w:tcPr>
            <w:tcW w:type="dxa" w:w="970"/>
          </w:tcPr>
          <w:p>
            <w:pPr>
              <w:pStyle w:val="Compact"/>
              <w:spacing w:before="20" w:after="20" w:line="240" w:lineRule="auto"/>
              <w:jc w:val="center"/>
              <w:keepNext/>
            </w:pPr>
            <w:r>
              <w:rPr>
                <w:sz w:val="16"/>
                <w:szCs w:val="16"/>
              </w:rPr>
              <w:t xml:space="preserve">0.993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0.654</w:t>
            </w:r>
          </w:p>
        </w:tc>
        <w:tc>
          <w:tcPr>
            <w:tcW w:type="dxa" w:w="1335"/>
          </w:tcPr>
          <w:p>
            <w:pPr>
              <w:pStyle w:val="Compact"/>
              <w:spacing w:before="20" w:after="20" w:line="240" w:lineRule="auto"/>
              <w:jc w:val="center"/>
              <w:keepNext/>
            </w:pPr>
            <w:r>
              <w:rPr>
                <w:sz w:val="16"/>
                <w:szCs w:val="16"/>
              </w:rPr>
              <w:t xml:space="preserve">0.913***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기술범위</w:t>
            </w:r>
          </w:p>
        </w:tc>
        <w:tc>
          <w:tcPr>
            <w:tcW w:type="dxa" w:w="970"/>
          </w:tcPr>
          <w:p>
            <w:pPr>
              <w:pStyle w:val="Compact"/>
              <w:spacing w:before="20" w:after="20" w:line="240" w:lineRule="auto"/>
              <w:jc w:val="center"/>
              <w:keepNext/>
            </w:pPr>
            <w:r>
              <w:rPr>
                <w:sz w:val="16"/>
                <w:szCs w:val="16"/>
              </w:rPr>
              <w:t xml:space="preserve">1.403***</w:t>
            </w:r>
          </w:p>
        </w:tc>
        <w:tc>
          <w:tcPr>
            <w:tcW w:type="dxa" w:w="1602"/>
          </w:tcPr>
          <w:p>
            <w:pPr>
              <w:pStyle w:val="Compact"/>
              <w:spacing w:before="20" w:after="20" w:line="240" w:lineRule="auto"/>
              <w:jc w:val="center"/>
              <w:keepNext/>
            </w:pPr>
            <w:r>
              <w:rPr>
                <w:sz w:val="16"/>
                <w:szCs w:val="16"/>
              </w:rPr>
              <w:t xml:space="preserve">(0.031)</w:t>
            </w:r>
          </w:p>
        </w:tc>
        <w:tc>
          <w:tcPr>
            <w:tcW w:type="dxa" w:w="890"/>
          </w:tcPr>
          <w:p>
            <w:pPr>
              <w:pStyle w:val="Compact"/>
              <w:spacing w:before="20" w:after="20" w:line="240" w:lineRule="auto"/>
              <w:jc w:val="center"/>
              <w:keepNext/>
            </w:pPr>
            <w:r>
              <w:rPr>
                <w:sz w:val="16"/>
                <w:szCs w:val="16"/>
              </w:rPr>
              <w:t xml:space="preserve">&lt;0.001</w:t>
            </w:r>
          </w:p>
        </w:tc>
        <w:tc>
          <w:tcPr>
            <w:tcW w:type="dxa" w:w="1335"/>
          </w:tcPr>
          <w:p>
            <w:pPr>
              <w:pStyle w:val="Compact"/>
              <w:spacing w:before="20" w:after="20" w:line="240" w:lineRule="auto"/>
              <w:jc w:val="center"/>
              <w:keepNext/>
            </w:pPr>
            <w:r>
              <w:rPr>
                <w:sz w:val="16"/>
                <w:szCs w:val="16"/>
              </w:rPr>
              <w:t xml:space="preserve">0.905**</w:t>
            </w:r>
          </w:p>
        </w:tc>
        <w:tc>
          <w:tcPr>
            <w:tcW w:type="dxa" w:w="1602"/>
          </w:tcPr>
          <w:p>
            <w:pPr>
              <w:pStyle w:val="Compact"/>
              <w:spacing w:before="20" w:after="20" w:line="240" w:lineRule="auto"/>
              <w:jc w:val="center"/>
              <w:keepNext/>
            </w:pPr>
            <w:r>
              <w:rPr>
                <w:sz w:val="16"/>
                <w:szCs w:val="16"/>
              </w:rPr>
              <w:t xml:space="preserve">(0.048)</w:t>
            </w:r>
          </w:p>
        </w:tc>
        <w:tc>
          <w:tcPr>
            <w:tcW w:type="dxa" w:w="890"/>
          </w:tcPr>
          <w:p>
            <w:pPr>
              <w:pStyle w:val="Compact"/>
              <w:spacing w:before="20" w:after="20" w:line="240" w:lineRule="auto"/>
              <w:jc w:val="center"/>
              <w:keepNext/>
            </w:pPr>
            <w:r>
              <w:rPr>
                <w:sz w:val="16"/>
                <w:szCs w:val="16"/>
              </w:rPr>
              <w:t xml:space="preserve">0.039</w:t>
            </w:r>
          </w:p>
        </w:tc>
      </w:tr>
      <w:tr>
        <w:trPr>
          <w:cantSplit/>
        </w:trPr>
        <w:tc>
          <w:tcPr>
            <w:tcW w:type="dxa" w:w="1780"/>
          </w:tcPr>
          <w:p>
            <w:pPr>
              <w:pStyle w:val="Compact"/>
              <w:spacing w:before="20" w:after="20" w:line="240" w:lineRule="auto"/>
              <w:keepNext/>
            </w:pPr>
            <w:r>
              <w:rPr>
                <w:sz w:val="16"/>
                <w:szCs w:val="16"/>
              </w:rPr>
              <w:t xml:space="preserve">중국(CN)</w:t>
            </w:r>
          </w:p>
        </w:tc>
        <w:tc>
          <w:tcPr>
            <w:tcW w:type="dxa" w:w="970"/>
          </w:tcPr>
          <w:p>
            <w:pPr>
              <w:pStyle w:val="Compact"/>
              <w:spacing w:before="20" w:after="20" w:line="240" w:lineRule="auto"/>
              <w:jc w:val="center"/>
              <w:keepNext/>
            </w:pPr>
            <w:r>
              <w:rPr>
                <w:sz w:val="16"/>
                <w:szCs w:val="16"/>
              </w:rPr>
              <w:t xml:space="preserve">1.205</w:t>
            </w:r>
          </w:p>
        </w:tc>
        <w:tc>
          <w:tcPr>
            <w:tcW w:type="dxa" w:w="1602"/>
          </w:tcPr>
          <w:p>
            <w:pPr>
              <w:pStyle w:val="Compact"/>
              <w:spacing w:before="20" w:after="20" w:line="240" w:lineRule="auto"/>
              <w:jc w:val="center"/>
              <w:keepNext/>
            </w:pPr>
            <w:r>
              <w:rPr>
                <w:sz w:val="16"/>
                <w:szCs w:val="16"/>
              </w:rPr>
              <w:t xml:space="preserve">(0.233)</w:t>
            </w:r>
          </w:p>
        </w:tc>
        <w:tc>
          <w:tcPr>
            <w:tcW w:type="dxa" w:w="890"/>
          </w:tcPr>
          <w:p>
            <w:pPr>
              <w:pStyle w:val="Compact"/>
              <w:spacing w:before="20" w:after="20" w:line="240" w:lineRule="auto"/>
              <w:jc w:val="center"/>
              <w:keepNext/>
            </w:pPr>
            <w:r>
              <w:rPr>
                <w:sz w:val="16"/>
                <w:szCs w:val="16"/>
              </w:rPr>
              <w:t xml:space="preserve">0.423</w:t>
            </w:r>
          </w:p>
        </w:tc>
        <w:tc>
          <w:tcPr>
            <w:tcW w:type="dxa" w:w="1335"/>
          </w:tcPr>
          <w:p>
            <w:pPr>
              <w:pStyle w:val="Compact"/>
              <w:spacing w:before="20" w:after="20" w:line="240" w:lineRule="auto"/>
              <w:jc w:val="center"/>
              <w:keepNext/>
            </w:pPr>
            <w:r>
              <w:rPr>
                <w:sz w:val="16"/>
                <w:szCs w:val="16"/>
              </w:rPr>
              <w:t xml:space="preserve">2.687***</w:t>
            </w:r>
          </w:p>
        </w:tc>
        <w:tc>
          <w:tcPr>
            <w:tcW w:type="dxa" w:w="1602"/>
          </w:tcPr>
          <w:p>
            <w:pPr>
              <w:pStyle w:val="Compact"/>
              <w:spacing w:before="20" w:after="20" w:line="240" w:lineRule="auto"/>
              <w:jc w:val="center"/>
              <w:keepNext/>
            </w:pPr>
            <w:r>
              <w:rPr>
                <w:sz w:val="16"/>
                <w:szCs w:val="16"/>
              </w:rPr>
              <w:t xml:space="preserve">(0.276)</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한국(KR)</w:t>
            </w:r>
          </w:p>
        </w:tc>
        <w:tc>
          <w:tcPr>
            <w:tcW w:type="dxa" w:w="970"/>
          </w:tcPr>
          <w:p>
            <w:pPr>
              <w:pStyle w:val="Compact"/>
              <w:spacing w:before="20" w:after="20" w:line="240" w:lineRule="auto"/>
              <w:jc w:val="center"/>
              <w:keepNext/>
            </w:pPr>
            <w:r>
              <w:rPr>
                <w:sz w:val="16"/>
                <w:szCs w:val="16"/>
              </w:rPr>
              <w:t xml:space="preserve">1.166</w:t>
            </w:r>
          </w:p>
        </w:tc>
        <w:tc>
          <w:tcPr>
            <w:tcW w:type="dxa" w:w="1602"/>
          </w:tcPr>
          <w:p>
            <w:pPr>
              <w:pStyle w:val="Compact"/>
              <w:spacing w:before="20" w:after="20" w:line="240" w:lineRule="auto"/>
              <w:jc w:val="center"/>
              <w:keepNext/>
            </w:pPr>
            <w:r>
              <w:rPr>
                <w:sz w:val="16"/>
                <w:szCs w:val="16"/>
              </w:rPr>
              <w:t xml:space="preserve">(0.381)</w:t>
            </w:r>
          </w:p>
        </w:tc>
        <w:tc>
          <w:tcPr>
            <w:tcW w:type="dxa" w:w="890"/>
          </w:tcPr>
          <w:p>
            <w:pPr>
              <w:pStyle w:val="Compact"/>
              <w:spacing w:before="20" w:after="20" w:line="240" w:lineRule="auto"/>
              <w:jc w:val="center"/>
              <w:keepNext/>
            </w:pPr>
            <w:r>
              <w:rPr>
                <w:sz w:val="16"/>
                <w:szCs w:val="16"/>
              </w:rPr>
              <w:t xml:space="preserve">0.687</w:t>
            </w:r>
          </w:p>
        </w:tc>
        <w:tc>
          <w:tcPr>
            <w:tcW w:type="dxa" w:w="1335"/>
          </w:tcPr>
          <w:p>
            <w:pPr>
              <w:pStyle w:val="Compact"/>
              <w:spacing w:before="20" w:after="20" w:line="240" w:lineRule="auto"/>
              <w:jc w:val="center"/>
              <w:keepNext/>
            </w:pPr>
            <w:r>
              <w:rPr>
                <w:sz w:val="16"/>
                <w:szCs w:val="16"/>
              </w:rPr>
              <w:t xml:space="preserve">1.906</w:t>
            </w:r>
          </w:p>
        </w:tc>
        <w:tc>
          <w:tcPr>
            <w:tcW w:type="dxa" w:w="1602"/>
          </w:tcPr>
          <w:p>
            <w:pPr>
              <w:pStyle w:val="Compact"/>
              <w:spacing w:before="20" w:after="20" w:line="240" w:lineRule="auto"/>
              <w:jc w:val="center"/>
              <w:keepNext/>
            </w:pPr>
            <w:r>
              <w:rPr>
                <w:sz w:val="16"/>
                <w:szCs w:val="16"/>
              </w:rPr>
              <w:t xml:space="preserve">(0.419)</w:t>
            </w:r>
          </w:p>
        </w:tc>
        <w:tc>
          <w:tcPr>
            <w:tcW w:type="dxa" w:w="890"/>
          </w:tcPr>
          <w:p>
            <w:pPr>
              <w:pStyle w:val="Compact"/>
              <w:spacing w:before="20" w:after="20" w:line="240" w:lineRule="auto"/>
              <w:jc w:val="center"/>
              <w:keepNext/>
            </w:pPr>
            <w:r>
              <w:rPr>
                <w:sz w:val="16"/>
                <w:szCs w:val="16"/>
              </w:rPr>
              <w:t xml:space="preserve">0.124</w:t>
            </w:r>
          </w:p>
        </w:tc>
      </w:tr>
      <w:tr>
        <w:trPr>
          <w:cantSplit/>
        </w:trPr>
        <w:tc>
          <w:tcPr>
            <w:tcW w:type="dxa" w:w="1780"/>
          </w:tcPr>
          <w:p>
            <w:pPr>
              <w:pStyle w:val="Compact"/>
              <w:spacing w:before="20" w:after="20" w:line="240" w:lineRule="auto"/>
              <w:keepNext/>
            </w:pPr>
            <w:r>
              <w:rPr>
                <w:sz w:val="16"/>
                <w:szCs w:val="16"/>
              </w:rPr>
              <w:t xml:space="preserve">대만(TW)</w:t>
            </w:r>
          </w:p>
        </w:tc>
        <w:tc>
          <w:tcPr>
            <w:tcW w:type="dxa" w:w="970"/>
          </w:tcPr>
          <w:p>
            <w:pPr>
              <w:pStyle w:val="Compact"/>
              <w:spacing w:before="20" w:after="20" w:line="240" w:lineRule="auto"/>
              <w:jc w:val="center"/>
              <w:keepNext/>
            </w:pPr>
            <w:r>
              <w:rPr>
                <w:sz w:val="16"/>
                <w:szCs w:val="16"/>
              </w:rPr>
              <w:t xml:space="preserve">1.312</w:t>
            </w:r>
          </w:p>
        </w:tc>
        <w:tc>
          <w:tcPr>
            <w:tcW w:type="dxa" w:w="1602"/>
          </w:tcPr>
          <w:p>
            <w:pPr>
              <w:pStyle w:val="Compact"/>
              <w:spacing w:before="20" w:after="20" w:line="240" w:lineRule="auto"/>
              <w:jc w:val="center"/>
              <w:keepNext/>
            </w:pPr>
            <w:r>
              <w:rPr>
                <w:sz w:val="16"/>
                <w:szCs w:val="16"/>
              </w:rPr>
              <w:t xml:space="preserve">(0.322)</w:t>
            </w:r>
          </w:p>
        </w:tc>
        <w:tc>
          <w:tcPr>
            <w:tcW w:type="dxa" w:w="890"/>
          </w:tcPr>
          <w:p>
            <w:pPr>
              <w:pStyle w:val="Compact"/>
              <w:spacing w:before="20" w:after="20" w:line="240" w:lineRule="auto"/>
              <w:jc w:val="center"/>
              <w:keepNext/>
            </w:pPr>
            <w:r>
              <w:rPr>
                <w:sz w:val="16"/>
                <w:szCs w:val="16"/>
              </w:rPr>
              <w:t xml:space="preserve">0.399</w:t>
            </w:r>
          </w:p>
        </w:tc>
        <w:tc>
          <w:tcPr>
            <w:tcW w:type="dxa" w:w="1335"/>
          </w:tcPr>
          <w:p>
            <w:pPr>
              <w:pStyle w:val="Compact"/>
              <w:spacing w:before="20" w:after="20" w:line="240" w:lineRule="auto"/>
              <w:jc w:val="center"/>
              <w:keepNext/>
            </w:pPr>
            <w:r>
              <w:rPr>
                <w:sz w:val="16"/>
                <w:szCs w:val="16"/>
              </w:rPr>
              <w:t xml:space="preserve">2.102*</w:t>
            </w:r>
          </w:p>
        </w:tc>
        <w:tc>
          <w:tcPr>
            <w:tcW w:type="dxa" w:w="1602"/>
          </w:tcPr>
          <w:p>
            <w:pPr>
              <w:pStyle w:val="Compact"/>
              <w:spacing w:before="20" w:after="20" w:line="240" w:lineRule="auto"/>
              <w:jc w:val="center"/>
              <w:keepNext/>
            </w:pPr>
            <w:r>
              <w:rPr>
                <w:sz w:val="16"/>
                <w:szCs w:val="16"/>
              </w:rPr>
              <w:t xml:space="preserve">(0.407)</w:t>
            </w:r>
          </w:p>
        </w:tc>
        <w:tc>
          <w:tcPr>
            <w:tcW w:type="dxa" w:w="890"/>
          </w:tcPr>
          <w:p>
            <w:pPr>
              <w:pStyle w:val="Compact"/>
              <w:spacing w:before="20" w:after="20" w:line="240" w:lineRule="auto"/>
              <w:jc w:val="center"/>
              <w:keepNext/>
            </w:pPr>
            <w:r>
              <w:rPr>
                <w:sz w:val="16"/>
                <w:szCs w:val="16"/>
              </w:rPr>
              <w:t xml:space="preserve">0.068</w:t>
            </w:r>
          </w:p>
        </w:tc>
      </w:tr>
      <w:tr>
        <w:trPr>
          <w:cantSplit/>
        </w:trPr>
        <w:tc>
          <w:tcPr>
            <w:tcW w:type="dxa" w:w="1780"/>
          </w:tcPr>
          <w:p>
            <w:pPr>
              <w:pStyle w:val="Compact"/>
              <w:spacing w:before="20" w:after="20" w:line="240" w:lineRule="auto"/>
              <w:keepNext/>
            </w:pPr>
            <w:r>
              <w:rPr>
                <w:sz w:val="16"/>
                <w:szCs w:val="16"/>
              </w:rPr>
              <w:t xml:space="preserve">일본(JP)</w:t>
            </w:r>
          </w:p>
        </w:tc>
        <w:tc>
          <w:tcPr>
            <w:tcW w:type="dxa" w:w="970"/>
          </w:tcPr>
          <w:p>
            <w:pPr>
              <w:pStyle w:val="Compact"/>
              <w:spacing w:before="20" w:after="20" w:line="240" w:lineRule="auto"/>
              <w:jc w:val="center"/>
              <w:keepNext/>
            </w:pPr>
            <w:r>
              <w:rPr>
                <w:sz w:val="16"/>
                <w:szCs w:val="16"/>
              </w:rPr>
              <w:t xml:space="preserve">1.046</w:t>
            </w:r>
          </w:p>
        </w:tc>
        <w:tc>
          <w:tcPr>
            <w:tcW w:type="dxa" w:w="1602"/>
          </w:tcPr>
          <w:p>
            <w:pPr>
              <w:pStyle w:val="Compact"/>
              <w:spacing w:before="20" w:after="20" w:line="240" w:lineRule="auto"/>
              <w:jc w:val="center"/>
              <w:keepNext/>
            </w:pPr>
            <w:r>
              <w:rPr>
                <w:sz w:val="16"/>
                <w:szCs w:val="16"/>
              </w:rPr>
              <w:t xml:space="preserve">(0.557)</w:t>
            </w:r>
          </w:p>
        </w:tc>
        <w:tc>
          <w:tcPr>
            <w:tcW w:type="dxa" w:w="890"/>
          </w:tcPr>
          <w:p>
            <w:pPr>
              <w:pStyle w:val="Compact"/>
              <w:spacing w:before="20" w:after="20" w:line="240" w:lineRule="auto"/>
              <w:jc w:val="center"/>
              <w:keepNext/>
            </w:pPr>
            <w:r>
              <w:rPr>
                <w:sz w:val="16"/>
                <w:szCs w:val="16"/>
              </w:rPr>
              <w:t xml:space="preserve">0.935</w:t>
            </w:r>
          </w:p>
        </w:tc>
        <w:tc>
          <w:tcPr>
            <w:tcW w:type="dxa" w:w="1335"/>
          </w:tcPr>
          <w:p>
            <w:pPr>
              <w:pStyle w:val="Compact"/>
              <w:spacing w:before="20" w:after="20" w:line="240" w:lineRule="auto"/>
              <w:jc w:val="center"/>
              <w:keepNext/>
            </w:pPr>
            <w:r>
              <w:rPr>
                <w:sz w:val="16"/>
                <w:szCs w:val="16"/>
              </w:rPr>
              <w:t xml:space="preserve">0.086***</w:t>
            </w:r>
          </w:p>
        </w:tc>
        <w:tc>
          <w:tcPr>
            <w:tcW w:type="dxa" w:w="1602"/>
          </w:tcPr>
          <w:p>
            <w:pPr>
              <w:pStyle w:val="Compact"/>
              <w:spacing w:before="20" w:after="20" w:line="240" w:lineRule="auto"/>
              <w:jc w:val="center"/>
              <w:keepNext/>
            </w:pPr>
            <w:r>
              <w:rPr>
                <w:sz w:val="16"/>
                <w:szCs w:val="16"/>
              </w:rPr>
              <w:t xml:space="preserve">(0.816)</w:t>
            </w:r>
          </w:p>
        </w:tc>
        <w:tc>
          <w:tcPr>
            <w:tcW w:type="dxa" w:w="890"/>
          </w:tcPr>
          <w:p>
            <w:pPr>
              <w:pStyle w:val="Compact"/>
              <w:spacing w:before="20" w:after="20" w:line="240" w:lineRule="auto"/>
              <w:jc w:val="center"/>
              <w:keepNext/>
            </w:pPr>
            <w:r>
              <w:rPr>
                <w:sz w:val="16"/>
                <w:szCs w:val="16"/>
              </w:rPr>
              <w:t xml:space="preserve">0.003</w:t>
            </w:r>
          </w:p>
        </w:tc>
      </w:tr>
      <w:tr>
        <w:trPr>
          <w:cantSplit/>
        </w:trPr>
        <w:tc>
          <w:tcPr>
            <w:tcW w:type="dxa" w:w="1780"/>
          </w:tcPr>
          <w:p>
            <w:pPr>
              <w:pStyle w:val="Compact"/>
              <w:spacing w:before="20" w:after="20" w:line="240" w:lineRule="auto"/>
              <w:keepNext/>
            </w:pPr>
            <w:r>
              <w:rPr>
                <w:sz w:val="16"/>
                <w:szCs w:val="16"/>
              </w:rPr>
              <w:t xml:space="preserve">EPO(EP)</w:t>
            </w:r>
          </w:p>
        </w:tc>
        <w:tc>
          <w:tcPr>
            <w:tcW w:type="dxa" w:w="970"/>
          </w:tcPr>
          <w:p>
            <w:pPr>
              <w:pStyle w:val="Compact"/>
              <w:spacing w:before="20" w:after="20" w:line="240" w:lineRule="auto"/>
              <w:jc w:val="center"/>
              <w:keepNext/>
            </w:pPr>
            <w:r>
              <w:rPr>
                <w:sz w:val="16"/>
                <w:szCs w:val="16"/>
              </w:rPr>
              <w:t xml:space="preserve">1.307</w:t>
            </w:r>
          </w:p>
        </w:tc>
        <w:tc>
          <w:tcPr>
            <w:tcW w:type="dxa" w:w="1602"/>
          </w:tcPr>
          <w:p>
            <w:pPr>
              <w:pStyle w:val="Compact"/>
              <w:spacing w:before="20" w:after="20" w:line="240" w:lineRule="auto"/>
              <w:jc w:val="center"/>
              <w:keepNext/>
            </w:pPr>
            <w:r>
              <w:rPr>
                <w:sz w:val="16"/>
                <w:szCs w:val="16"/>
              </w:rPr>
              <w:t xml:space="preserve">(0.291)</w:t>
            </w:r>
          </w:p>
        </w:tc>
        <w:tc>
          <w:tcPr>
            <w:tcW w:type="dxa" w:w="890"/>
          </w:tcPr>
          <w:p>
            <w:pPr>
              <w:pStyle w:val="Compact"/>
              <w:spacing w:before="20" w:after="20" w:line="240" w:lineRule="auto"/>
              <w:jc w:val="center"/>
              <w:keepNext/>
            </w:pPr>
            <w:r>
              <w:rPr>
                <w:sz w:val="16"/>
                <w:szCs w:val="16"/>
              </w:rPr>
              <w:t xml:space="preserve">0.358</w:t>
            </w:r>
          </w:p>
        </w:tc>
        <w:tc>
          <w:tcPr>
            <w:tcW w:type="dxa" w:w="1335"/>
          </w:tcPr>
          <w:p>
            <w:pPr>
              <w:pStyle w:val="Compact"/>
              <w:spacing w:before="20" w:after="20" w:line="240" w:lineRule="auto"/>
              <w:jc w:val="center"/>
              <w:keepNext/>
            </w:pPr>
            <w:r>
              <w:rPr>
                <w:sz w:val="16"/>
                <w:szCs w:val="16"/>
              </w:rPr>
              <w:t xml:space="preserve">0.858</w:t>
            </w:r>
          </w:p>
        </w:tc>
        <w:tc>
          <w:tcPr>
            <w:tcW w:type="dxa" w:w="1602"/>
          </w:tcPr>
          <w:p>
            <w:pPr>
              <w:pStyle w:val="Compact"/>
              <w:spacing w:before="20" w:after="20" w:line="240" w:lineRule="auto"/>
              <w:jc w:val="center"/>
              <w:keepNext/>
            </w:pPr>
            <w:r>
              <w:rPr>
                <w:sz w:val="16"/>
                <w:szCs w:val="16"/>
              </w:rPr>
              <w:t xml:space="preserve">(0.438)</w:t>
            </w:r>
          </w:p>
        </w:tc>
        <w:tc>
          <w:tcPr>
            <w:tcW w:type="dxa" w:w="890"/>
          </w:tcPr>
          <w:p>
            <w:pPr>
              <w:pStyle w:val="Compact"/>
              <w:spacing w:before="20" w:after="20" w:line="240" w:lineRule="auto"/>
              <w:jc w:val="center"/>
              <w:keepNext/>
            </w:pPr>
            <w:r>
              <w:rPr>
                <w:sz w:val="16"/>
                <w:szCs w:val="16"/>
              </w:rPr>
              <w:t xml:space="preserve">0.726</w:t>
            </w:r>
          </w:p>
        </w:tc>
      </w:tr>
      <w:tr>
        <w:trPr>
          <w:cantSplit/>
        </w:trPr>
        <w:tc>
          <w:tcPr>
            <w:tcW w:type="dxa" w:w="1780"/>
          </w:tcPr>
          <w:p>
            <w:pPr>
              <w:pStyle w:val="Compact"/>
              <w:spacing w:before="20" w:after="20" w:line="240" w:lineRule="auto"/>
              <w:keepNext/>
            </w:pPr>
            <w:r>
              <w:rPr>
                <w:sz w:val="16"/>
                <w:szCs w:val="16"/>
              </w:rPr>
              <w:t xml:space="preserve">PCT(WO)</w:t>
            </w:r>
          </w:p>
        </w:tc>
        <w:tc>
          <w:tcPr>
            <w:tcW w:type="dxa" w:w="970"/>
          </w:tcPr>
          <w:p>
            <w:pPr>
              <w:pStyle w:val="Compact"/>
              <w:spacing w:before="20" w:after="20" w:line="240" w:lineRule="auto"/>
              <w:jc w:val="center"/>
              <w:keepNext/>
            </w:pPr>
            <w:r>
              <w:rPr>
                <w:sz w:val="16"/>
                <w:szCs w:val="16"/>
              </w:rPr>
              <w:t xml:space="preserve">1.126</w:t>
            </w:r>
          </w:p>
        </w:tc>
        <w:tc>
          <w:tcPr>
            <w:tcW w:type="dxa" w:w="1602"/>
          </w:tcPr>
          <w:p>
            <w:pPr>
              <w:pStyle w:val="Compact"/>
              <w:spacing w:before="20" w:after="20" w:line="240" w:lineRule="auto"/>
              <w:jc w:val="center"/>
              <w:keepNext/>
            </w:pPr>
            <w:r>
              <w:rPr>
                <w:sz w:val="16"/>
                <w:szCs w:val="16"/>
              </w:rPr>
              <w:t xml:space="preserve">(0.268)</w:t>
            </w:r>
          </w:p>
        </w:tc>
        <w:tc>
          <w:tcPr>
            <w:tcW w:type="dxa" w:w="890"/>
          </w:tcPr>
          <w:p>
            <w:pPr>
              <w:pStyle w:val="Compact"/>
              <w:spacing w:before="20" w:after="20" w:line="240" w:lineRule="auto"/>
              <w:jc w:val="center"/>
              <w:keepNext/>
            </w:pPr>
            <w:r>
              <w:rPr>
                <w:sz w:val="16"/>
                <w:szCs w:val="16"/>
              </w:rPr>
              <w:t xml:space="preserve">0.659</w:t>
            </w:r>
          </w:p>
        </w:tc>
        <w:tc>
          <w:tcPr>
            <w:tcW w:type="dxa" w:w="1335"/>
          </w:tcPr>
          <w:p>
            <w:pPr>
              <w:pStyle w:val="Compact"/>
              <w:spacing w:before="20" w:after="20" w:line="240" w:lineRule="auto"/>
              <w:jc w:val="center"/>
              <w:keepNext/>
            </w:pPr>
            <w:r>
              <w:rPr>
                <w:sz w:val="16"/>
                <w:szCs w:val="16"/>
              </w:rPr>
              <w:t xml:space="preserve">1.997**</w:t>
            </w:r>
          </w:p>
        </w:tc>
        <w:tc>
          <w:tcPr>
            <w:tcW w:type="dxa" w:w="1602"/>
          </w:tcPr>
          <w:p>
            <w:pPr>
              <w:pStyle w:val="Compact"/>
              <w:spacing w:before="20" w:after="20" w:line="240" w:lineRule="auto"/>
              <w:jc w:val="center"/>
              <w:keepNext/>
            </w:pPr>
            <w:r>
              <w:rPr>
                <w:sz w:val="16"/>
                <w:szCs w:val="16"/>
              </w:rPr>
              <w:t xml:space="preserve">(0.323)</w:t>
            </w:r>
          </w:p>
        </w:tc>
        <w:tc>
          <w:tcPr>
            <w:tcW w:type="dxa" w:w="890"/>
          </w:tcPr>
          <w:p>
            <w:pPr>
              <w:pStyle w:val="Compact"/>
              <w:spacing w:before="20" w:after="20" w:line="240" w:lineRule="auto"/>
              <w:jc w:val="center"/>
              <w:keepNext/>
            </w:pPr>
            <w:r>
              <w:rPr>
                <w:sz w:val="16"/>
                <w:szCs w:val="16"/>
              </w:rPr>
              <w:t xml:space="preserve">0.032</w:t>
            </w:r>
          </w:p>
        </w:tc>
      </w:tr>
      <w:tr>
        <w:trPr>
          <w:cantSplit/>
        </w:trPr>
        <w:tc>
          <w:tcPr>
            <w:tcW w:type="dxa" w:w="1780"/>
          </w:tcPr>
          <w:p>
            <w:pPr>
              <w:pStyle w:val="Compact"/>
              <w:spacing w:before="20" w:after="20" w:line="240" w:lineRule="auto"/>
              <w:keepNext/>
            </w:pPr>
            <w:r>
              <w:rPr>
                <w:sz w:val="16"/>
                <w:szCs w:val="16"/>
              </w:rPr>
              <w:t xml:space="preserve">기타</w:t>
            </w:r>
          </w:p>
        </w:tc>
        <w:tc>
          <w:tcPr>
            <w:tcW w:type="dxa" w:w="970"/>
          </w:tcPr>
          <w:p>
            <w:pPr>
              <w:pStyle w:val="Compact"/>
              <w:spacing w:before="20" w:after="20" w:line="240" w:lineRule="auto"/>
              <w:jc w:val="center"/>
              <w:keepNext/>
            </w:pPr>
            <w:r>
              <w:rPr>
                <w:sz w:val="16"/>
                <w:szCs w:val="16"/>
              </w:rPr>
              <w:t xml:space="preserve">2.326</w:t>
            </w:r>
          </w:p>
        </w:tc>
        <w:tc>
          <w:tcPr>
            <w:tcW w:type="dxa" w:w="1602"/>
          </w:tcPr>
          <w:p>
            <w:pPr>
              <w:pStyle w:val="Compact"/>
              <w:spacing w:before="20" w:after="20" w:line="240" w:lineRule="auto"/>
              <w:jc w:val="center"/>
              <w:keepNext/>
            </w:pPr>
            <w:r>
              <w:rPr>
                <w:sz w:val="16"/>
                <w:szCs w:val="16"/>
              </w:rPr>
              <w:t xml:space="preserve">(0.681)</w:t>
            </w:r>
          </w:p>
        </w:tc>
        <w:tc>
          <w:tcPr>
            <w:tcW w:type="dxa" w:w="890"/>
          </w:tcPr>
          <w:p>
            <w:pPr>
              <w:pStyle w:val="Compact"/>
              <w:spacing w:before="20" w:after="20" w:line="240" w:lineRule="auto"/>
              <w:jc w:val="center"/>
              <w:keepNext/>
            </w:pPr>
            <w:r>
              <w:rPr>
                <w:sz w:val="16"/>
                <w:szCs w:val="16"/>
              </w:rPr>
              <w:t xml:space="preserve">0.215</w:t>
            </w:r>
          </w:p>
        </w:tc>
        <w:tc>
          <w:tcPr>
            <w:tcW w:type="dxa" w:w="1335"/>
          </w:tcPr>
          <w:p>
            <w:pPr>
              <w:pStyle w:val="Compact"/>
              <w:spacing w:before="20" w:after="20" w:line="240" w:lineRule="auto"/>
              <w:jc w:val="center"/>
              <w:keepNext/>
            </w:pPr>
            <w:r>
              <w:rPr>
                <w:sz w:val="16"/>
                <w:szCs w:val="16"/>
              </w:rPr>
              <w:t xml:space="preserve">1.901</w:t>
            </w:r>
          </w:p>
        </w:tc>
        <w:tc>
          <w:tcPr>
            <w:tcW w:type="dxa" w:w="1602"/>
          </w:tcPr>
          <w:p>
            <w:pPr>
              <w:pStyle w:val="Compact"/>
              <w:spacing w:before="20" w:after="20" w:line="240" w:lineRule="auto"/>
              <w:jc w:val="center"/>
              <w:keepNext/>
            </w:pPr>
            <w:r>
              <w:rPr>
                <w:sz w:val="16"/>
                <w:szCs w:val="16"/>
              </w:rPr>
              <w:t xml:space="preserve">(0.779)</w:t>
            </w:r>
          </w:p>
        </w:tc>
        <w:tc>
          <w:tcPr>
            <w:tcW w:type="dxa" w:w="890"/>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단독형의 평균 예측확률(다항 로짓; 다른 변수는 각 출원의 관측값에 둔 채 출원청만 바꾸어 표본 전체에서 평균한 값; 모수 추정치의 표본추출 분포에서 얻은 95% 신뢰구간; N = 928, 출원청별 N은 표 4. 일본(26건)과 기타(16건)는 구간이 넓어 해석하지 않는다).</w:t>
      </w:r>
    </w:p>
    <w:p>
      <w:pPr>
        <w:pStyle w:val="BodyText"/>
      </w:pPr>
      <w:r>
        <w:rPr>
          <w:b/>
          <w:bCs/>
        </w:rPr>
        <w:t xml:space="preserve">시기별 분포.</w:t>
      </w:r>
      <w:r>
        <w:t xml:space="preserve"> </w:t>
      </w:r>
      <w:r>
        <w:t xml:space="preserve">선형 연도 추세는 통합형 비중의 오르내림을 가린다. 표 8과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8.</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41" name="Picture"/>
            <a:graphic>
              <a:graphicData uri="http://schemas.openxmlformats.org/drawingml/2006/picture">
                <pic:pic>
                  <pic:nvPicPr>
                    <pic:cNvPr descr="figures/fig7_period_shares_ko.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bookmarkEnd w:id="43"/>
    <w:bookmarkStart w:id="44"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9는 핵심 계수를 비교하고, 전체 계수는 부록 B에 실었다.</w:t>
      </w:r>
    </w:p>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5·7)</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각 클래스의 첫 기호를 뺀 조정 범위의 탐색적 결과는 부록 B에 있다.</w:t>
      </w:r>
    </w:p>
    <w:p>
      <w:pPr>
        <w:pStyle w:val="BodyText"/>
      </w:pPr>
      <w:r>
        <w:rPr>
          <w:b/>
          <w:bCs/>
        </w:rPr>
        <w:t xml:space="preserve">관측치의 독립성.</w:t>
      </w:r>
      <w:r>
        <w:t xml:space="preserve"> </w:t>
      </w:r>
      <w:r>
        <w:t xml:space="preserve">같은 제목의 출원을 한 군집으로 묶어 표준오차를 다시 계산해도 표 9의 네 계수는 모두 1% 수준에서 유의하다. 유의성을 잃는 것은 범위 → 공정 단독형(RRR 0.905, p = 0.29)과 일본 → 공정 단독형(p = 0.06) 두 계수뿐이다.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이 최소 기호 수의 차이가 결과를 만드는지 보기 위해 각 보유 클래스의 첫 기호를 뺀 조정 지표로 다시 추정해 보면, 통합형의 RRR은 1.403에서 1.262로 줄지만 정적 연관 자체는 남는다(부록 B).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네 가설의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가설의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H3b는 최근 출원 구성에 민감한 제한적 증거이며 제한적 지지로 판정한다.</w:t>
      </w:r>
    </w:p>
    <w:bookmarkEnd w:id="44"/>
    <w:bookmarkStart w:id="45" w:name="가설-판정"/>
    <w:p>
      <w:pPr>
        <w:pStyle w:val="Heading3"/>
      </w:pPr>
      <w:r>
        <w:t xml:space="preserve">5.5 가설 판정</w:t>
      </w:r>
    </w:p>
    <w:p>
      <w:pPr>
        <w:pStyle w:val="FirstParagraph"/>
      </w:pPr>
      <w:r>
        <w:t xml:space="preserve">표 10은 기준 모형(표 5·7)과 제5.4절의 재추정 결과를 함께 고려한 가설 판정이다.</w:t>
      </w:r>
    </w:p>
    <w:p>
      <w:pPr>
        <w:pStyle w:val="BodyText"/>
        <w:keepNext/>
      </w:pPr>
      <w:r>
        <w:rPr>
          <w:b/>
          <w:bCs/>
        </w:rPr>
        <w:t xml:space="preserve">표 10.</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99"/>
        <w:gridCol w:w="2698"/>
        <w:gridCol w:w="3298"/>
        <w:gridCol w:w="2473"/>
      </w:tblGrid>
      <w:tr>
        <w:trPr>
          <w:tblHeader w:val="on"/>
          <w:cantSplit/>
        </w:trPr>
        <w:tc>
          <w:tcPr>
            <w:tcW w:type="dxa" w:w="599"/>
            <w:tcBorders>
              <w:bottom w:val="single" w:sz="4" w:space="0" w:color="000000"/>
            </w:tcBorders>
          </w:tcPr>
          <w:p>
            <w:pPr>
              <w:pStyle w:val="Compact"/>
              <w:spacing w:before="20" w:after="20" w:line="240" w:lineRule="auto"/>
              <w:keepNext/>
            </w:pPr>
            <w:r>
              <w:rPr>
                <w:sz w:val="15"/>
                <w:szCs w:val="15"/>
              </w:rPr>
              <w:t xml:space="preserve">가설</w:t>
            </w:r>
          </w:p>
        </w:tc>
        <w:tc>
          <w:tcPr>
            <w:tcW w:type="dxa" w:w="2698"/>
            <w:tcBorders>
              <w:bottom w:val="single" w:sz="4" w:space="0" w:color="000000"/>
            </w:tcBorders>
          </w:tcPr>
          <w:p>
            <w:pPr>
              <w:pStyle w:val="Compact"/>
              <w:spacing w:before="20" w:after="20" w:line="240" w:lineRule="auto"/>
              <w:keepNext/>
            </w:pPr>
            <w:r>
              <w:rPr>
                <w:sz w:val="15"/>
                <w:szCs w:val="15"/>
              </w:rPr>
              <w:t xml:space="preserve">예측</w:t>
            </w:r>
          </w:p>
        </w:tc>
        <w:tc>
          <w:tcPr>
            <w:tcW w:type="dxa" w:w="3298"/>
            <w:tcBorders>
              <w:bottom w:val="single" w:sz="4" w:space="0" w:color="000000"/>
            </w:tcBorders>
          </w:tcPr>
          <w:p>
            <w:pPr>
              <w:pStyle w:val="Compact"/>
              <w:spacing w:before="20" w:after="20" w:line="240" w:lineRule="auto"/>
              <w:keepNext/>
            </w:pPr>
            <w:r>
              <w:rPr>
                <w:sz w:val="15"/>
                <w:szCs w:val="15"/>
              </w:rPr>
              <w:t xml:space="preserve">주요 증거</w:t>
            </w:r>
          </w:p>
        </w:tc>
        <w:tc>
          <w:tcPr>
            <w:tcW w:type="dxa" w:w="2473"/>
            <w:tcBorders>
              <w:bottom w:val="single" w:sz="4" w:space="0" w:color="000000"/>
            </w:tcBorders>
          </w:tcPr>
          <w:p>
            <w:pPr>
              <w:pStyle w:val="Compact"/>
              <w:spacing w:before="20" w:after="20" w:line="240" w:lineRule="auto"/>
              <w:keepNext/>
            </w:pPr>
            <w:r>
              <w:rPr>
                <w:sz w:val="15"/>
                <w:szCs w:val="15"/>
              </w:rPr>
              <w:t xml:space="preserve">판정</w:t>
            </w:r>
          </w:p>
        </w:tc>
      </w:tr>
      <w:tr>
        <w:trPr>
          <w:cantSplit/>
        </w:trPr>
        <w:tc>
          <w:tcPr>
            <w:tcW w:type="dxa" w:w="599"/>
          </w:tcPr>
          <w:p>
            <w:pPr>
              <w:pStyle w:val="Compact"/>
              <w:spacing w:before="20" w:after="20" w:line="240" w:lineRule="auto"/>
              <w:keepNext/>
            </w:pPr>
            <w:r>
              <w:rPr>
                <w:sz w:val="15"/>
                <w:szCs w:val="15"/>
              </w:rPr>
              <w:t xml:space="preserve">H1</w:t>
            </w:r>
          </w:p>
        </w:tc>
        <w:tc>
          <w:tcPr>
            <w:tcW w:type="dxa" w:w="2698"/>
          </w:tcPr>
          <w:p>
            <w:pPr>
              <w:pStyle w:val="Compact"/>
              <w:spacing w:before="20" w:after="20" w:line="240" w:lineRule="auto"/>
              <w:keepNext/>
            </w:pPr>
            <w:r>
              <w:rPr>
                <w:sz w:val="15"/>
                <w:szCs w:val="15"/>
              </w:rPr>
              <w:t xml:space="preserve">세부 기술이 다양할수록 통합형</w:t>
            </w:r>
          </w:p>
        </w:tc>
        <w:tc>
          <w:tcPr>
            <w:tcW w:type="dxa" w:w="3298"/>
          </w:tcPr>
          <w:p>
            <w:pPr>
              <w:pStyle w:val="Compact"/>
              <w:spacing w:before="20" w:after="20" w:line="240" w:lineRule="auto"/>
              <w:keepNext/>
            </w:pPr>
            <w:r>
              <w:rPr>
                <w:sz w:val="15"/>
                <w:szCs w:val="15"/>
              </w:rPr>
              <w:t xml:space="preserve">RRR 1.403***(표 7); 모든 재추정에서 1.295–1.485***(표 9)</w:t>
            </w:r>
          </w:p>
        </w:tc>
        <w:tc>
          <w:tcPr>
            <w:tcW w:type="dxa" w:w="2473"/>
          </w:tcPr>
          <w:p>
            <w:pPr>
              <w:pStyle w:val="Compact"/>
              <w:spacing w:before="20" w:after="20" w:line="240" w:lineRule="auto"/>
              <w:keepNext/>
            </w:pPr>
            <w:r>
              <w:rPr>
                <w:sz w:val="15"/>
                <w:szCs w:val="15"/>
              </w:rPr>
              <w:t xml:space="preserve">지지(구성적 연관)</w:t>
            </w:r>
          </w:p>
        </w:tc>
      </w:tr>
      <w:tr>
        <w:trPr>
          <w:cantSplit/>
        </w:trPr>
        <w:tc>
          <w:tcPr>
            <w:tcW w:type="dxa" w:w="599"/>
          </w:tcPr>
          <w:p>
            <w:pPr>
              <w:pStyle w:val="Compact"/>
              <w:spacing w:before="20" w:after="20" w:line="240" w:lineRule="auto"/>
              <w:keepNext/>
            </w:pPr>
            <w:r>
              <w:rPr>
                <w:sz w:val="15"/>
                <w:szCs w:val="15"/>
              </w:rPr>
              <w:t xml:space="preserve">H2</w:t>
            </w:r>
          </w:p>
        </w:tc>
        <w:tc>
          <w:tcPr>
            <w:tcW w:type="dxa" w:w="2698"/>
          </w:tcPr>
          <w:p>
            <w:pPr>
              <w:pStyle w:val="Compact"/>
              <w:spacing w:before="20" w:after="20" w:line="240" w:lineRule="auto"/>
              <w:keepNext/>
            </w:pPr>
            <w:r>
              <w:rPr>
                <w:sz w:val="15"/>
                <w:szCs w:val="15"/>
              </w:rPr>
              <w:t xml:space="preserve">최근 출원일수록 공정 단독형이 드묾</w:t>
            </w:r>
          </w:p>
        </w:tc>
        <w:tc>
          <w:tcPr>
            <w:tcW w:type="dxa" w:w="3298"/>
          </w:tcPr>
          <w:p>
            <w:pPr>
              <w:pStyle w:val="Compact"/>
              <w:spacing w:before="20" w:after="20" w:line="240" w:lineRule="auto"/>
              <w:keepNext/>
            </w:pPr>
            <w:r>
              <w:rPr>
                <w:sz w:val="15"/>
                <w:szCs w:val="15"/>
              </w:rPr>
              <w:t xml:space="preserve">RRR 0.913***(표 7); 기간 더미 0.273***/0.101***; 재추정에서 0.820–0.935***(표 9); 다만 2015년 이전 출원이 30건뿐인 핵심 표본에서는 시간 추세가 식별되지 않음</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H3a</w:t>
            </w:r>
          </w:p>
        </w:tc>
        <w:tc>
          <w:tcPr>
            <w:tcW w:type="dxa" w:w="2698"/>
          </w:tcPr>
          <w:p>
            <w:pPr>
              <w:pStyle w:val="Compact"/>
              <w:spacing w:before="20" w:after="20" w:line="240" w:lineRule="auto"/>
              <w:keepNext/>
            </w:pPr>
            <w:r>
              <w:rPr>
                <w:sz w:val="15"/>
                <w:szCs w:val="15"/>
              </w:rPr>
              <w:t xml:space="preserve">중국 출원청 출원은 범위가 좁음</w:t>
            </w:r>
          </w:p>
        </w:tc>
        <w:tc>
          <w:tcPr>
            <w:tcW w:type="dxa" w:w="3298"/>
          </w:tcPr>
          <w:p>
            <w:pPr>
              <w:pStyle w:val="Compact"/>
              <w:spacing w:before="20" w:after="20" w:line="240" w:lineRule="auto"/>
              <w:keepNext/>
            </w:pPr>
            <w:r>
              <w:rPr>
                <w:sz w:val="15"/>
                <w:szCs w:val="15"/>
              </w:rPr>
              <w:t xml:space="preserve">IRR 0.785***(표 5); 모든 재추정에서 0.785–0.808***(표 9)</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H3b</w:t>
            </w:r>
          </w:p>
        </w:tc>
        <w:tc>
          <w:tcPr>
            <w:tcW w:type="dxa" w:w="2698"/>
          </w:tcPr>
          <w:p>
            <w:pPr>
              <w:pStyle w:val="Compact"/>
              <w:spacing w:before="20" w:after="20" w:line="240" w:lineRule="auto"/>
              <w:keepNext/>
            </w:pPr>
            <w:r>
              <w:rPr>
                <w:sz w:val="15"/>
                <w:szCs w:val="15"/>
              </w:rPr>
              <w:t xml:space="preserve">중국 출원청 출원은 공정 단독형이 많음</w:t>
            </w:r>
          </w:p>
        </w:tc>
        <w:tc>
          <w:tcPr>
            <w:tcW w:type="dxa" w:w="3298"/>
          </w:tcPr>
          <w:p>
            <w:pPr>
              <w:pStyle w:val="Compact"/>
              <w:spacing w:before="20" w:after="20" w:line="240" w:lineRule="auto"/>
              <w:keepNext/>
            </w:pPr>
            <w:r>
              <w:rPr>
                <w:sz w:val="15"/>
                <w:szCs w:val="15"/>
              </w:rPr>
              <w:t xml:space="preserve">RRR 2.687***(표 7); 재추정에서 2.721–7.211***(표 9); 다만 2023–2024년 제외 시 1.651(비유의)</w:t>
            </w:r>
          </w:p>
        </w:tc>
        <w:tc>
          <w:tcPr>
            <w:tcW w:type="dxa" w:w="2473"/>
          </w:tcPr>
          <w:p>
            <w:pPr>
              <w:pStyle w:val="Compact"/>
              <w:spacing w:before="20" w:after="20" w:line="240" w:lineRule="auto"/>
              <w:keepNext/>
            </w:pPr>
            <w:r>
              <w:rPr>
                <w:sz w:val="15"/>
                <w:szCs w:val="15"/>
              </w:rPr>
              <w:t xml:space="preserve">제한적 지지(최근 출원 구성에 민감)</w:t>
            </w:r>
          </w:p>
        </w:tc>
      </w:tr>
    </w:tbl>
    <w:bookmarkEnd w:id="45"/>
    <w:bookmarkEnd w:id="46"/>
    <w:bookmarkStart w:id="50" w:name="논의"/>
    <w:p>
      <w:pPr>
        <w:pStyle w:val="Heading2"/>
      </w:pPr>
      <w:r>
        <w:t xml:space="preserve">6. 논의</w:t>
      </w:r>
    </w:p>
    <w:bookmarkStart w:id="47"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8).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분류에 남기는 흔적.</w:t>
      </w:r>
      <w:r>
        <w:t xml:space="preserve"> </w:t>
      </w:r>
      <w:r>
        <w:t xml:space="preserve">출원청 간 차이가 드러난 곳은 통합형이 아니었다. 공정 단독형과 기술범위였다. 중국 출원청에 진입한 발명 포트폴리오는 범위가 좁고 특정 제조공정에 집중된 출원이 상대적으로 많은데, 이는 적층 전체를 포괄하기 전에 특정 제조 단계부터 확보하는 추격 단계의 출원 양상(Lee and Lim, 2001)과 맞고, 중국 특허의 양적 팽창과 보조금 정책을 다룬 Hu와 Jefferson(2009), Dang과 Motohashi(2015)의 증거와도 어긋나지 않는다. 그렇다고 추격 전략의 직접 증거로 읽을 수는 없다. 출원청 계수는 관할권의 인과효과가 아니라 각 출원청에 제출된 발명 포트폴리오의 조건부 구성 차이이고, 출원인과 패밀리 정보도 통제되지 않았다. 출원인의 국적과 유형, 같은 발명의 해외 출원 여부, 심사 기준과 분류 관행이 그 계수 안에 함께 섞여 있으며, 공정 단독형 편중은 최근 출원 구성에 민감한 제한적 결과이기도 하다. 더 분명하게 말할 수 있는 것은 하나다. 범위와 시점을 통제하면 통합형의 비중 자체는 출원청 간에 다르지 않다. 본 표본에서 출원청별 차이는 공동분류형보다 한 영역에만 분류된 출원에서 더 두드러지게 관찰되었다. 한국과 대만이 범위와 통합형에서 미국과 비슷한 것도, 미국 출원인과 정면으로 경쟁하는 메모리 제조사와 파운드리의 위치를 생각하면 뜻밖의 결과는 아니다.</w:t>
      </w:r>
    </w:p>
    <w:bookmarkEnd w:id="47"/>
    <w:bookmarkStart w:id="48" w:name="실무적정책적-함의"/>
    <w:p>
      <w:pPr>
        <w:pStyle w:val="Heading3"/>
      </w:pPr>
      <w:r>
        <w:t xml:space="preserve">6.2 실무적·정책적 함의</w:t>
      </w:r>
    </w:p>
    <w:p>
      <w:pPr>
        <w:pStyle w:val="FirstParagraph"/>
      </w:pPr>
      <w:r>
        <w:t xml:space="preserve">자료가 출원인의 유형을 구분해 주지 않으므로 실무적 함의는 가능성의 수준에서만 적는다. 조립·테스트 전문업체의 성과나 특허 경쟁력을 직접 비교한 연구가 아니라는 점을 먼저 밝혀 둔다. 그럼에도 상당수 출원이 제조공정과 접합 기술을 함께 포함한다는 결과에서 한 가지를 읽을 수 있다. 하이브리드 본딩에서는 접합 장비를 잘 다루는 것으로 끝나지 않고, 표면 평탄화, 오염 제어, 표면 화학, 정렬까지 아우르는 인접 공정 지식이 중요해질 수 있다는 것이다. KnowMade(2024)의 독립적 산업 분석이 파운드리, 종합반도체기업, 라이선싱 기업을 특허 활동을 주도하는 출원인으로 꼽는 것도 같은 방향이다. 파운드리와 종합반도체기업의 패키징 내재화를 이 결과가 직접 입증하지는 않지만,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정책 면에서 눈여겨볼 것은 관할권 비교다. 중국 출원청 표본의 좁은 클래스 내 CPC 범위는 견고하게 관찰되었다. 그 원인이 Dang과 Motohashi(2015)가 다룬 보조금 정책인지, 출원인 구성인지, 기술 단계나 출원 선택인지는 이 자료로는 가릴 수 없다. 한국 출원청의 계수는 기준 모형에서 유의하지 않았으므로, 한국에 관한 함의는 표본 전체의 패턴에서 끌어낸 것이다. 차세대 HBM을 하이브리드 본딩에 기대고 있는 한국 메모리 산업에 이 결과가 던지는 시사점은, 패키징 경쟁력이 패키징 노하우 하나에 달려 있지 않을 수 있다는 점이다. 평탄화, 표면 화학, 정렬 계측 같은 제조공정 역량, 그리고 이를 하나의 특허출원에서 통합적으로 보호하는 능력이 함께 필요할 수 있다.</w:t>
      </w:r>
    </w:p>
    <w:bookmarkEnd w:id="48"/>
    <w:bookmarkStart w:id="49"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 두 클래스 밖의 CPC 기호가 자료에 없다. 이 때문에 중국 출원청의 프로필이 어떤 출원인 집단에서 비롯되는지는 가리지 못하며,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 계수는 관할권의 효과가 아니고, 산업 아키텍처와 기업 전략은 직접 검정하지 않는다.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9"/>
    <w:bookmarkEnd w:id="50"/>
    <w:bookmarkStart w:id="51"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물었다. 하이브리드 본딩 관련 출원 928건에 부여된 CPC 기호를 기준으로 각 출원을 조립 단독형, 공정 단독형, 통합형으로 나누고, 어떤 특성의 출원이 두 영역의 분류를 함께 가지는지를 추정하였다.</w:t>
      </w:r>
    </w:p>
    <w:p>
      <w:pPr>
        <w:pStyle w:val="BodyText"/>
      </w:pPr>
      <w:r>
        <w:t xml:space="preserve">결과는 견고성에 따라 세 층으로 나누어 읽는 것이 정직하다. 가장 견고한 층에는 세 가지가 있다. 이 논문의 검색식으로 식별된 하이브리드 본딩 관련 출원에서 제조공정과 접합 기술의 공동분류는 45.8%였고 보수적 정의로도 37.2%여서, 예외적인 현상이라고는 보기 어렵다. 공정 단독형의 상대위험은 표본과 정의를 어떻게 바꾸어도 최근 출원일수록 낮았다. 중국 출원청 출원은 미국 출원청 출원보다 두 클래스 안의 CPC 범위가 좁았고, 이 차이 역시 모든 표본에서 살아남았다.</w:t>
      </w:r>
    </w:p>
    <w:p>
      <w:pPr>
        <w:pStyle w:val="BodyText"/>
      </w:pPr>
      <w:r>
        <w:t xml:space="preserve">그다음 층의 보조 결과로는 통합형과 높은 기술적 다양성의 연관, 그리고 통합형 비중이 늘었다가 줄어든 시기별 움직임이 있다. 앞의 것은 통합형의 구성적 특징으로, 뒤의 것은 탐색적 해석으로 제시하였다. 제한적 결과는 중국 출원청의 공정 단독형 편중인데, 이는 최근 출원 구성에 민감하다. 출원인과 공식 패밀리 정보가 없는 본 자료에서 출원청별 차이는 관할권의 인과효과가 아니라 각 출원청에 진입한 발명 포트폴리오의 구성 차이로 해석해야 하며, 산업 아키텍처의 변화는 직접 검정하지 않았다.</w:t>
      </w:r>
    </w:p>
    <w:p>
      <w:pPr>
        <w:pStyle w:val="BodyText"/>
      </w:pPr>
      <w:r>
        <w:t xml:space="preserve">본 연구의 핵심 기여는 새로운 융합지수를 제안한 데 있지 않다. 공동분류를 개별 특허의 유형으로 재구성하여 특허 수준의 이질성과 관련 요인을 추정할 수 있게 하고, 이를 산업 내 공정 단계 간 융합이라는 새로운 사례에 적용한 데 있다.</w:t>
      </w:r>
    </w:p>
    <w:p>
      <w:r>
        <w:pict>
          <v:rect style="width:0;height:1.5pt" o:hralign="center" o:hrstd="t" o:hr="t"/>
        </w:pict>
      </w:r>
    </w:p>
    <w:bookmarkEnd w:id="51"/>
    <w:bookmarkStart w:id="52"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2"/>
    <w:bookmarkStart w:id="56" w:name="부록"/>
    <w:p>
      <w:pPr>
        <w:pStyle w:val="Heading2"/>
      </w:pPr>
      <w:r>
        <w:t xml:space="preserve">부록</w:t>
      </w:r>
    </w:p>
    <w:bookmarkStart w:id="53"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3"/>
    <w:bookmarkStart w:id="54"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각 클래스의 첫 기호를 뺀 기술범위를,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1.205 (0.233)</w:t>
            </w:r>
          </w:p>
        </w:tc>
        <w:tc>
          <w:tcPr>
            <w:tcW w:type="dxa" w:w="980"/>
          </w:tcPr>
          <w:p>
            <w:pPr>
              <w:pStyle w:val="Compact"/>
              <w:spacing w:before="20" w:after="20" w:line="240" w:lineRule="auto"/>
              <w:jc w:val="center"/>
              <w:keepNext/>
            </w:pPr>
            <w:r>
              <w:rPr>
                <w:sz w:val="13"/>
                <w:szCs w:val="13"/>
              </w:rPr>
              <w:t xml:space="preserve">1.096 (0.220)</w:t>
            </w:r>
          </w:p>
        </w:tc>
        <w:tc>
          <w:tcPr>
            <w:tcW w:type="dxa" w:w="980"/>
          </w:tcPr>
          <w:p>
            <w:pPr>
              <w:pStyle w:val="Compact"/>
              <w:spacing w:before="20" w:after="20" w:line="240" w:lineRule="auto"/>
              <w:jc w:val="center"/>
              <w:keepNext/>
            </w:pPr>
            <w:r>
              <w:rPr>
                <w:sz w:val="13"/>
                <w:szCs w:val="13"/>
              </w:rPr>
              <w:t xml:space="preserve">1.366 (0.288)</w:t>
            </w:r>
          </w:p>
        </w:tc>
        <w:tc>
          <w:tcPr>
            <w:tcW w:type="dxa" w:w="980"/>
          </w:tcPr>
          <w:p>
            <w:pPr>
              <w:pStyle w:val="Compact"/>
              <w:spacing w:before="20" w:after="20" w:line="240" w:lineRule="auto"/>
              <w:jc w:val="center"/>
              <w:keepNext/>
            </w:pPr>
            <w:r>
              <w:rPr>
                <w:sz w:val="13"/>
                <w:szCs w:val="13"/>
              </w:rPr>
              <w:t xml:space="preserve">1.401 (0.235)</w:t>
            </w:r>
          </w:p>
        </w:tc>
        <w:tc>
          <w:tcPr>
            <w:tcW w:type="dxa" w:w="980"/>
          </w:tcPr>
          <w:p>
            <w:pPr>
              <w:pStyle w:val="Compact"/>
              <w:spacing w:before="20" w:after="20" w:line="240" w:lineRule="auto"/>
              <w:jc w:val="center"/>
              <w:keepNext/>
            </w:pPr>
            <w:r>
              <w:rPr>
                <w:sz w:val="13"/>
                <w:szCs w:val="13"/>
              </w:rPr>
              <w:t xml:space="preserve">1.350 (0.241)</w:t>
            </w:r>
          </w:p>
        </w:tc>
        <w:tc>
          <w:tcPr>
            <w:tcW w:type="dxa" w:w="980"/>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8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1.166 (0.381)</w:t>
            </w:r>
          </w:p>
        </w:tc>
        <w:tc>
          <w:tcPr>
            <w:tcW w:type="dxa" w:w="980"/>
          </w:tcPr>
          <w:p>
            <w:pPr>
              <w:pStyle w:val="Compact"/>
              <w:spacing w:before="20" w:after="20" w:line="240" w:lineRule="auto"/>
              <w:jc w:val="center"/>
              <w:keepNext/>
            </w:pPr>
            <w:r>
              <w:rPr>
                <w:sz w:val="13"/>
                <w:szCs w:val="13"/>
              </w:rPr>
              <w:t xml:space="preserve">1.161 (0.360)</w:t>
            </w:r>
          </w:p>
        </w:tc>
        <w:tc>
          <w:tcPr>
            <w:tcW w:type="dxa" w:w="980"/>
          </w:tcPr>
          <w:p>
            <w:pPr>
              <w:pStyle w:val="Compact"/>
              <w:spacing w:before="20" w:after="20" w:line="240" w:lineRule="auto"/>
              <w:jc w:val="center"/>
              <w:keepNext/>
            </w:pPr>
            <w:r>
              <w:rPr>
                <w:sz w:val="13"/>
                <w:szCs w:val="13"/>
              </w:rPr>
              <w:t xml:space="preserve">1.429 (0.485)</w:t>
            </w:r>
          </w:p>
        </w:tc>
        <w:tc>
          <w:tcPr>
            <w:tcW w:type="dxa" w:w="980"/>
          </w:tcPr>
          <w:p>
            <w:pPr>
              <w:pStyle w:val="Compact"/>
              <w:spacing w:before="20" w:after="20" w:line="240" w:lineRule="auto"/>
              <w:jc w:val="center"/>
              <w:keepNext/>
            </w:pPr>
            <w:r>
              <w:rPr>
                <w:sz w:val="13"/>
                <w:szCs w:val="13"/>
              </w:rPr>
              <w:t xml:space="preserve">1.684 (0.371)</w:t>
            </w:r>
          </w:p>
        </w:tc>
        <w:tc>
          <w:tcPr>
            <w:tcW w:type="dxa" w:w="980"/>
          </w:tcPr>
          <w:p>
            <w:pPr>
              <w:pStyle w:val="Compact"/>
              <w:spacing w:before="20" w:after="20" w:line="240" w:lineRule="auto"/>
              <w:jc w:val="center"/>
              <w:keepNext/>
            </w:pPr>
            <w:r>
              <w:rPr>
                <w:sz w:val="13"/>
                <w:szCs w:val="13"/>
              </w:rPr>
              <w:t xml:space="preserve">1.128 (0.385)</w:t>
            </w:r>
          </w:p>
        </w:tc>
        <w:tc>
          <w:tcPr>
            <w:tcW w:type="dxa" w:w="980"/>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8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1.312 (0.322)</w:t>
            </w:r>
          </w:p>
        </w:tc>
        <w:tc>
          <w:tcPr>
            <w:tcW w:type="dxa" w:w="980"/>
          </w:tcPr>
          <w:p>
            <w:pPr>
              <w:pStyle w:val="Compact"/>
              <w:spacing w:before="20" w:after="20" w:line="240" w:lineRule="auto"/>
              <w:jc w:val="center"/>
              <w:keepNext/>
            </w:pPr>
            <w:r>
              <w:rPr>
                <w:sz w:val="13"/>
                <w:szCs w:val="13"/>
              </w:rPr>
              <w:t xml:space="preserve">1.297 (0.302)</w:t>
            </w:r>
          </w:p>
        </w:tc>
        <w:tc>
          <w:tcPr>
            <w:tcW w:type="dxa" w:w="980"/>
          </w:tcPr>
          <w:p>
            <w:pPr>
              <w:pStyle w:val="Compact"/>
              <w:spacing w:before="20" w:after="20" w:line="240" w:lineRule="auto"/>
              <w:jc w:val="center"/>
              <w:keepNext/>
            </w:pPr>
            <w:r>
              <w:rPr>
                <w:sz w:val="13"/>
                <w:szCs w:val="13"/>
              </w:rPr>
              <w:t xml:space="preserve">1.267 (0.633)</w:t>
            </w:r>
          </w:p>
        </w:tc>
        <w:tc>
          <w:tcPr>
            <w:tcW w:type="dxa" w:w="980"/>
          </w:tcPr>
          <w:p>
            <w:pPr>
              <w:pStyle w:val="Compact"/>
              <w:spacing w:before="20" w:after="20" w:line="240" w:lineRule="auto"/>
              <w:jc w:val="center"/>
              <w:keepNext/>
            </w:pPr>
            <w:r>
              <w:rPr>
                <w:sz w:val="13"/>
                <w:szCs w:val="13"/>
              </w:rPr>
              <w:t xml:space="preserve">1.763* (0.315)</w:t>
            </w:r>
          </w:p>
        </w:tc>
        <w:tc>
          <w:tcPr>
            <w:tcW w:type="dxa" w:w="980"/>
          </w:tcPr>
          <w:p>
            <w:pPr>
              <w:pStyle w:val="Compact"/>
              <w:spacing w:before="20" w:after="20" w:line="240" w:lineRule="auto"/>
              <w:jc w:val="center"/>
              <w:keepNext/>
            </w:pPr>
            <w:r>
              <w:rPr>
                <w:sz w:val="13"/>
                <w:szCs w:val="13"/>
              </w:rPr>
              <w:t xml:space="preserve">1.402 (0.323)</w:t>
            </w:r>
          </w:p>
        </w:tc>
        <w:tc>
          <w:tcPr>
            <w:tcW w:type="dxa" w:w="980"/>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8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1.046 (0.557)</w:t>
            </w:r>
          </w:p>
        </w:tc>
        <w:tc>
          <w:tcPr>
            <w:tcW w:type="dxa" w:w="980"/>
          </w:tcPr>
          <w:p>
            <w:pPr>
              <w:pStyle w:val="Compact"/>
              <w:spacing w:before="20" w:after="20" w:line="240" w:lineRule="auto"/>
              <w:jc w:val="center"/>
              <w:keepNext/>
            </w:pPr>
            <w:r>
              <w:rPr>
                <w:sz w:val="13"/>
                <w:szCs w:val="13"/>
              </w:rPr>
              <w:t xml:space="preserve">1.053 (0.526)</w:t>
            </w:r>
          </w:p>
        </w:tc>
        <w:tc>
          <w:tcPr>
            <w:tcW w:type="dxa" w:w="980"/>
          </w:tcPr>
          <w:p>
            <w:pPr>
              <w:pStyle w:val="Compact"/>
              <w:spacing w:before="20" w:after="20" w:line="240" w:lineRule="auto"/>
              <w:jc w:val="center"/>
              <w:keepNext/>
            </w:pPr>
            <w:r>
              <w:rPr>
                <w:sz w:val="13"/>
                <w:szCs w:val="13"/>
              </w:rPr>
              <w:t xml:space="preserve">1.572 (0.673)</w:t>
            </w:r>
          </w:p>
        </w:tc>
        <w:tc>
          <w:tcPr>
            <w:tcW w:type="dxa" w:w="980"/>
          </w:tcPr>
          <w:p>
            <w:pPr>
              <w:pStyle w:val="Compact"/>
              <w:spacing w:before="20" w:after="20" w:line="240" w:lineRule="auto"/>
              <w:jc w:val="center"/>
              <w:keepNext/>
            </w:pPr>
            <w:r>
              <w:rPr>
                <w:sz w:val="13"/>
                <w:szCs w:val="13"/>
              </w:rPr>
              <w:t xml:space="preserve">1.401 (0.536)</w:t>
            </w:r>
          </w:p>
        </w:tc>
        <w:tc>
          <w:tcPr>
            <w:tcW w:type="dxa" w:w="980"/>
          </w:tcPr>
          <w:p>
            <w:pPr>
              <w:pStyle w:val="Compact"/>
              <w:spacing w:before="20" w:after="20" w:line="240" w:lineRule="auto"/>
              <w:jc w:val="center"/>
              <w:keepNext/>
            </w:pPr>
            <w:r>
              <w:rPr>
                <w:sz w:val="13"/>
                <w:szCs w:val="13"/>
              </w:rPr>
              <w:t xml:space="preserve">1.643 (0.654)</w:t>
            </w:r>
          </w:p>
        </w:tc>
        <w:tc>
          <w:tcPr>
            <w:tcW w:type="dxa" w:w="980"/>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8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1.307 (0.291)</w:t>
            </w:r>
          </w:p>
        </w:tc>
        <w:tc>
          <w:tcPr>
            <w:tcW w:type="dxa" w:w="980"/>
          </w:tcPr>
          <w:p>
            <w:pPr>
              <w:pStyle w:val="Compact"/>
              <w:spacing w:before="20" w:after="20" w:line="240" w:lineRule="auto"/>
              <w:jc w:val="center"/>
              <w:keepNext/>
            </w:pPr>
            <w:r>
              <w:rPr>
                <w:sz w:val="13"/>
                <w:szCs w:val="13"/>
              </w:rPr>
              <w:t xml:space="preserve">1.302 (0.278)</w:t>
            </w:r>
          </w:p>
        </w:tc>
        <w:tc>
          <w:tcPr>
            <w:tcW w:type="dxa" w:w="980"/>
          </w:tcPr>
          <w:p>
            <w:pPr>
              <w:pStyle w:val="Compact"/>
              <w:spacing w:before="20" w:after="20" w:line="240" w:lineRule="auto"/>
              <w:jc w:val="center"/>
              <w:keepNext/>
            </w:pPr>
            <w:r>
              <w:rPr>
                <w:sz w:val="13"/>
                <w:szCs w:val="13"/>
              </w:rPr>
              <w:t xml:space="preserve">2.412* (0.480)</w:t>
            </w:r>
          </w:p>
        </w:tc>
        <w:tc>
          <w:tcPr>
            <w:tcW w:type="dxa" w:w="980"/>
          </w:tcPr>
          <w:p>
            <w:pPr>
              <w:pStyle w:val="Compact"/>
              <w:spacing w:before="20" w:after="20" w:line="240" w:lineRule="auto"/>
              <w:jc w:val="center"/>
              <w:keepNext/>
            </w:pPr>
            <w:r>
              <w:rPr>
                <w:sz w:val="13"/>
                <w:szCs w:val="13"/>
              </w:rPr>
              <w:t xml:space="preserve">1.215 (0.288)</w:t>
            </w:r>
          </w:p>
        </w:tc>
        <w:tc>
          <w:tcPr>
            <w:tcW w:type="dxa" w:w="980"/>
          </w:tcPr>
          <w:p>
            <w:pPr>
              <w:pStyle w:val="Compact"/>
              <w:spacing w:before="20" w:after="20" w:line="240" w:lineRule="auto"/>
              <w:jc w:val="center"/>
              <w:keepNext/>
            </w:pPr>
            <w:r>
              <w:rPr>
                <w:sz w:val="13"/>
                <w:szCs w:val="13"/>
              </w:rPr>
              <w:t xml:space="preserve">1.522 (0.306)</w:t>
            </w:r>
          </w:p>
        </w:tc>
        <w:tc>
          <w:tcPr>
            <w:tcW w:type="dxa" w:w="980"/>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8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1.126 (0.268)</w:t>
            </w:r>
          </w:p>
        </w:tc>
        <w:tc>
          <w:tcPr>
            <w:tcW w:type="dxa" w:w="980"/>
          </w:tcPr>
          <w:p>
            <w:pPr>
              <w:pStyle w:val="Compact"/>
              <w:spacing w:before="20" w:after="20" w:line="240" w:lineRule="auto"/>
              <w:jc w:val="center"/>
              <w:keepNext/>
            </w:pPr>
            <w:r>
              <w:rPr>
                <w:sz w:val="13"/>
                <w:szCs w:val="13"/>
              </w:rPr>
              <w:t xml:space="preserve">1.031 (0.254)</w:t>
            </w:r>
          </w:p>
        </w:tc>
        <w:tc>
          <w:tcPr>
            <w:tcW w:type="dxa" w:w="980"/>
          </w:tcPr>
          <w:p>
            <w:pPr>
              <w:pStyle w:val="Compact"/>
              <w:spacing w:before="20" w:after="20" w:line="240" w:lineRule="auto"/>
              <w:jc w:val="center"/>
              <w:keepNext/>
            </w:pPr>
            <w:r>
              <w:rPr>
                <w:sz w:val="13"/>
                <w:szCs w:val="13"/>
              </w:rPr>
              <w:t xml:space="preserve">1.042 (0.489)</w:t>
            </w:r>
          </w:p>
        </w:tc>
        <w:tc>
          <w:tcPr>
            <w:tcW w:type="dxa" w:w="980"/>
          </w:tcPr>
          <w:p>
            <w:pPr>
              <w:pStyle w:val="Compact"/>
              <w:spacing w:before="20" w:after="20" w:line="240" w:lineRule="auto"/>
              <w:jc w:val="center"/>
              <w:keepNext/>
            </w:pPr>
            <w:r>
              <w:rPr>
                <w:sz w:val="13"/>
                <w:szCs w:val="13"/>
              </w:rPr>
              <w:t xml:space="preserve">1.193 (0.274)</w:t>
            </w:r>
          </w:p>
        </w:tc>
        <w:tc>
          <w:tcPr>
            <w:tcW w:type="dxa" w:w="980"/>
          </w:tcPr>
          <w:p>
            <w:pPr>
              <w:pStyle w:val="Compact"/>
              <w:spacing w:before="20" w:after="20" w:line="240" w:lineRule="auto"/>
              <w:jc w:val="center"/>
              <w:keepNext/>
            </w:pPr>
            <w:r>
              <w:rPr>
                <w:sz w:val="13"/>
                <w:szCs w:val="13"/>
              </w:rPr>
              <w:t xml:space="preserve">1.145 (0.274)</w:t>
            </w:r>
          </w:p>
        </w:tc>
        <w:tc>
          <w:tcPr>
            <w:tcW w:type="dxa" w:w="980"/>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8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2.326 (0.681)</w:t>
            </w:r>
          </w:p>
        </w:tc>
        <w:tc>
          <w:tcPr>
            <w:tcW w:type="dxa" w:w="980"/>
          </w:tcPr>
          <w:p>
            <w:pPr>
              <w:pStyle w:val="Compact"/>
              <w:spacing w:before="20" w:after="20" w:line="240" w:lineRule="auto"/>
              <w:jc w:val="center"/>
              <w:keepNext/>
            </w:pPr>
            <w:r>
              <w:rPr>
                <w:sz w:val="13"/>
                <w:szCs w:val="13"/>
              </w:rPr>
              <w:t xml:space="preserve">2.021 (0.664)</w:t>
            </w:r>
          </w:p>
        </w:tc>
        <w:tc>
          <w:tcPr>
            <w:tcW w:type="dxa" w:w="980"/>
          </w:tcPr>
          <w:p>
            <w:pPr>
              <w:pStyle w:val="Compact"/>
              <w:spacing w:before="20" w:after="20" w:line="240" w:lineRule="auto"/>
              <w:jc w:val="center"/>
              <w:keepNext/>
            </w:pPr>
            <w:r>
              <w:rPr>
                <w:sz w:val="13"/>
                <w:szCs w:val="13"/>
              </w:rPr>
              <w:t xml:space="preserve">0.167 (2.128)</w:t>
            </w:r>
          </w:p>
        </w:tc>
        <w:tc>
          <w:tcPr>
            <w:tcW w:type="dxa" w:w="980"/>
          </w:tcPr>
          <w:p>
            <w:pPr>
              <w:pStyle w:val="Compact"/>
              <w:spacing w:before="20" w:after="20" w:line="240" w:lineRule="auto"/>
              <w:jc w:val="center"/>
              <w:keepNext/>
            </w:pPr>
            <w:r>
              <w:rPr>
                <w:sz w:val="13"/>
                <w:szCs w:val="13"/>
              </w:rPr>
              <w:t xml:space="preserve">2.631 (0.663)</w:t>
            </w:r>
          </w:p>
        </w:tc>
        <w:tc>
          <w:tcPr>
            <w:tcW w:type="dxa" w:w="980"/>
          </w:tcPr>
          <w:p>
            <w:pPr>
              <w:pStyle w:val="Compact"/>
              <w:spacing w:before="20" w:after="20" w:line="240" w:lineRule="auto"/>
              <w:jc w:val="center"/>
              <w:keepNext/>
            </w:pPr>
            <w:r>
              <w:rPr>
                <w:sz w:val="13"/>
                <w:szCs w:val="13"/>
              </w:rPr>
              <w:t xml:space="preserve">2.051 (0.680)</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2.979 (0.747)</w:t>
            </w:r>
          </w:p>
        </w:tc>
        <w:tc>
          <w:tcPr>
            <w:tcW w:type="dxa" w:w="98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0.913*** (0.015)</w:t>
            </w:r>
          </w:p>
        </w:tc>
        <w:tc>
          <w:tcPr>
            <w:tcW w:type="dxa" w:w="980"/>
          </w:tcPr>
          <w:p>
            <w:pPr>
              <w:pStyle w:val="Compact"/>
              <w:spacing w:before="20" w:after="20" w:line="240" w:lineRule="auto"/>
              <w:jc w:val="center"/>
              <w:keepNext/>
            </w:pPr>
            <w:r>
              <w:rPr>
                <w:sz w:val="13"/>
                <w:szCs w:val="13"/>
              </w:rPr>
              <w:t xml:space="preserve">0.911*** (0.015)</w:t>
            </w:r>
          </w:p>
        </w:tc>
        <w:tc>
          <w:tcPr>
            <w:tcW w:type="dxa" w:w="980"/>
          </w:tcPr>
          <w:p>
            <w:pPr>
              <w:pStyle w:val="Compact"/>
              <w:spacing w:before="20" w:after="20" w:line="240" w:lineRule="auto"/>
              <w:jc w:val="center"/>
              <w:keepNext/>
            </w:pPr>
            <w:r>
              <w:rPr>
                <w:sz w:val="13"/>
                <w:szCs w:val="13"/>
              </w:rPr>
              <w:t xml:space="preserve">0.935*** (0.016)</w:t>
            </w:r>
          </w:p>
        </w:tc>
        <w:tc>
          <w:tcPr>
            <w:tcW w:type="dxa" w:w="980"/>
          </w:tcPr>
          <w:p>
            <w:pPr>
              <w:pStyle w:val="Compact"/>
              <w:spacing w:before="20" w:after="20" w:line="240" w:lineRule="auto"/>
              <w:jc w:val="center"/>
              <w:keepNext/>
            </w:pPr>
            <w:r>
              <w:rPr>
                <w:sz w:val="13"/>
                <w:szCs w:val="13"/>
              </w:rPr>
              <w:t xml:space="preserve">0.898*** (0.015)</w:t>
            </w:r>
          </w:p>
        </w:tc>
        <w:tc>
          <w:tcPr>
            <w:tcW w:type="dxa" w:w="980"/>
          </w:tcPr>
          <w:p>
            <w:pPr>
              <w:pStyle w:val="Compact"/>
              <w:spacing w:before="20" w:after="20" w:line="240" w:lineRule="auto"/>
              <w:jc w:val="center"/>
              <w:keepNext/>
            </w:pPr>
            <w:r>
              <w:rPr>
                <w:sz w:val="13"/>
                <w:szCs w:val="13"/>
              </w:rPr>
              <w:t xml:space="preserve">0.820*** (0.023)</w:t>
            </w:r>
          </w:p>
        </w:tc>
        <w:tc>
          <w:tcPr>
            <w:tcW w:type="dxa" w:w="9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8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0.905** (0.048)</w:t>
            </w:r>
          </w:p>
        </w:tc>
        <w:tc>
          <w:tcPr>
            <w:tcW w:type="dxa" w:w="980"/>
          </w:tcPr>
          <w:p>
            <w:pPr>
              <w:pStyle w:val="Compact"/>
              <w:spacing w:before="20" w:after="20" w:line="240" w:lineRule="auto"/>
              <w:jc w:val="center"/>
              <w:keepNext/>
            </w:pPr>
            <w:r>
              <w:rPr>
                <w:sz w:val="13"/>
                <w:szCs w:val="13"/>
              </w:rPr>
              <w:t xml:space="preserve">0.915** (0.044)</w:t>
            </w:r>
          </w:p>
        </w:tc>
        <w:tc>
          <w:tcPr>
            <w:tcW w:type="dxa" w:w="980"/>
          </w:tcPr>
          <w:p>
            <w:pPr>
              <w:pStyle w:val="Compact"/>
              <w:spacing w:before="20" w:after="20" w:line="240" w:lineRule="auto"/>
              <w:jc w:val="center"/>
              <w:keepNext/>
            </w:pPr>
            <w:r>
              <w:rPr>
                <w:sz w:val="13"/>
                <w:szCs w:val="13"/>
              </w:rPr>
              <w:t xml:space="preserve">0.826*** (0.061)</w:t>
            </w:r>
          </w:p>
        </w:tc>
        <w:tc>
          <w:tcPr>
            <w:tcW w:type="dxa" w:w="980"/>
          </w:tcPr>
          <w:p>
            <w:pPr>
              <w:pStyle w:val="Compact"/>
              <w:spacing w:before="20" w:after="20" w:line="240" w:lineRule="auto"/>
              <w:jc w:val="center"/>
              <w:keepNext/>
            </w:pPr>
            <w:r>
              <w:rPr>
                <w:sz w:val="13"/>
                <w:szCs w:val="13"/>
              </w:rPr>
              <w:t xml:space="preserve">0.923* (0.045)</w:t>
            </w:r>
          </w:p>
        </w:tc>
        <w:tc>
          <w:tcPr>
            <w:tcW w:type="dxa" w:w="980"/>
          </w:tcPr>
          <w:p>
            <w:pPr>
              <w:pStyle w:val="Compact"/>
              <w:spacing w:before="20" w:after="20" w:line="240" w:lineRule="auto"/>
              <w:jc w:val="center"/>
              <w:keepNext/>
            </w:pPr>
            <w:r>
              <w:rPr>
                <w:sz w:val="13"/>
                <w:szCs w:val="13"/>
              </w:rPr>
              <w:t xml:space="preserve">0.916* (0.050)</w:t>
            </w:r>
          </w:p>
        </w:tc>
        <w:tc>
          <w:tcPr>
            <w:tcW w:type="dxa" w:w="9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8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2.687*** (0.276)</w:t>
            </w:r>
          </w:p>
        </w:tc>
        <w:tc>
          <w:tcPr>
            <w:tcW w:type="dxa" w:w="980"/>
          </w:tcPr>
          <w:p>
            <w:pPr>
              <w:pStyle w:val="Compact"/>
              <w:spacing w:before="20" w:after="20" w:line="240" w:lineRule="auto"/>
              <w:jc w:val="center"/>
              <w:keepNext/>
            </w:pPr>
            <w:r>
              <w:rPr>
                <w:sz w:val="13"/>
                <w:szCs w:val="13"/>
              </w:rPr>
              <w:t xml:space="preserve">2.720*** (0.274)</w:t>
            </w:r>
          </w:p>
        </w:tc>
        <w:tc>
          <w:tcPr>
            <w:tcW w:type="dxa" w:w="980"/>
          </w:tcPr>
          <w:p>
            <w:pPr>
              <w:pStyle w:val="Compact"/>
              <w:spacing w:before="20" w:after="20" w:line="240" w:lineRule="auto"/>
              <w:jc w:val="center"/>
              <w:keepNext/>
            </w:pPr>
            <w:r>
              <w:rPr>
                <w:sz w:val="13"/>
                <w:szCs w:val="13"/>
              </w:rPr>
              <w:t xml:space="preserve">2.721*** (0.320)</w:t>
            </w:r>
          </w:p>
        </w:tc>
        <w:tc>
          <w:tcPr>
            <w:tcW w:type="dxa" w:w="980"/>
          </w:tcPr>
          <w:p>
            <w:pPr>
              <w:pStyle w:val="Compact"/>
              <w:spacing w:before="20" w:after="20" w:line="240" w:lineRule="auto"/>
              <w:jc w:val="center"/>
              <w:keepNext/>
            </w:pPr>
            <w:r>
              <w:rPr>
                <w:sz w:val="13"/>
                <w:szCs w:val="13"/>
              </w:rPr>
              <w:t xml:space="preserve">3.299*** (0.285)</w:t>
            </w:r>
          </w:p>
        </w:tc>
        <w:tc>
          <w:tcPr>
            <w:tcW w:type="dxa" w:w="980"/>
          </w:tcPr>
          <w:p>
            <w:pPr>
              <w:pStyle w:val="Compact"/>
              <w:spacing w:before="20" w:after="20" w:line="240" w:lineRule="auto"/>
              <w:jc w:val="center"/>
              <w:keepNext/>
            </w:pPr>
            <w:r>
              <w:rPr>
                <w:sz w:val="13"/>
                <w:szCs w:val="13"/>
              </w:rPr>
              <w:t xml:space="preserve">3.235*** (0.303)</w:t>
            </w:r>
          </w:p>
        </w:tc>
        <w:tc>
          <w:tcPr>
            <w:tcW w:type="dxa" w:w="980"/>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8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1.906 (0.419)</w:t>
            </w:r>
          </w:p>
        </w:tc>
        <w:tc>
          <w:tcPr>
            <w:tcW w:type="dxa" w:w="980"/>
          </w:tcPr>
          <w:p>
            <w:pPr>
              <w:pStyle w:val="Compact"/>
              <w:spacing w:before="20" w:after="20" w:line="240" w:lineRule="auto"/>
              <w:jc w:val="center"/>
              <w:keepNext/>
            </w:pPr>
            <w:r>
              <w:rPr>
                <w:sz w:val="13"/>
                <w:szCs w:val="13"/>
              </w:rPr>
              <w:t xml:space="preserve">1.913 (0.419)</w:t>
            </w:r>
          </w:p>
        </w:tc>
        <w:tc>
          <w:tcPr>
            <w:tcW w:type="dxa" w:w="980"/>
          </w:tcPr>
          <w:p>
            <w:pPr>
              <w:pStyle w:val="Compact"/>
              <w:spacing w:before="20" w:after="20" w:line="240" w:lineRule="auto"/>
              <w:jc w:val="center"/>
              <w:keepNext/>
            </w:pPr>
            <w:r>
              <w:rPr>
                <w:sz w:val="13"/>
                <w:szCs w:val="13"/>
              </w:rPr>
              <w:t xml:space="preserve">1.807 (0.499)</w:t>
            </w:r>
          </w:p>
        </w:tc>
        <w:tc>
          <w:tcPr>
            <w:tcW w:type="dxa" w:w="980"/>
          </w:tcPr>
          <w:p>
            <w:pPr>
              <w:pStyle w:val="Compact"/>
              <w:spacing w:before="20" w:after="20" w:line="240" w:lineRule="auto"/>
              <w:jc w:val="center"/>
              <w:keepNext/>
            </w:pPr>
            <w:r>
              <w:rPr>
                <w:sz w:val="13"/>
                <w:szCs w:val="13"/>
              </w:rPr>
              <w:t xml:space="preserve">2.636** (0.422)</w:t>
            </w:r>
          </w:p>
        </w:tc>
        <w:tc>
          <w:tcPr>
            <w:tcW w:type="dxa" w:w="980"/>
          </w:tcPr>
          <w:p>
            <w:pPr>
              <w:pStyle w:val="Compact"/>
              <w:spacing w:before="20" w:after="20" w:line="240" w:lineRule="auto"/>
              <w:jc w:val="center"/>
              <w:keepNext/>
            </w:pPr>
            <w:r>
              <w:rPr>
                <w:sz w:val="13"/>
                <w:szCs w:val="13"/>
              </w:rPr>
              <w:t xml:space="preserve">1.175 (0.510)</w:t>
            </w:r>
          </w:p>
        </w:tc>
        <w:tc>
          <w:tcPr>
            <w:tcW w:type="dxa" w:w="980"/>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8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2.102* (0.407)</w:t>
            </w:r>
          </w:p>
        </w:tc>
        <w:tc>
          <w:tcPr>
            <w:tcW w:type="dxa" w:w="980"/>
          </w:tcPr>
          <w:p>
            <w:pPr>
              <w:pStyle w:val="Compact"/>
              <w:spacing w:before="20" w:after="20" w:line="240" w:lineRule="auto"/>
              <w:jc w:val="center"/>
              <w:keepNext/>
            </w:pPr>
            <w:r>
              <w:rPr>
                <w:sz w:val="13"/>
                <w:szCs w:val="13"/>
              </w:rPr>
              <w:t xml:space="preserve">2.131* (0.406)</w:t>
            </w:r>
          </w:p>
        </w:tc>
        <w:tc>
          <w:tcPr>
            <w:tcW w:type="dxa" w:w="980"/>
          </w:tcPr>
          <w:p>
            <w:pPr>
              <w:pStyle w:val="Compact"/>
              <w:spacing w:before="20" w:after="20" w:line="240" w:lineRule="auto"/>
              <w:jc w:val="center"/>
              <w:keepNext/>
            </w:pPr>
            <w:r>
              <w:rPr>
                <w:sz w:val="13"/>
                <w:szCs w:val="13"/>
              </w:rPr>
              <w:t xml:space="preserve">3.485** (0.636)</w:t>
            </w:r>
          </w:p>
        </w:tc>
        <w:tc>
          <w:tcPr>
            <w:tcW w:type="dxa" w:w="980"/>
          </w:tcPr>
          <w:p>
            <w:pPr>
              <w:pStyle w:val="Compact"/>
              <w:spacing w:before="20" w:after="20" w:line="240" w:lineRule="auto"/>
              <w:jc w:val="center"/>
              <w:keepNext/>
            </w:pPr>
            <w:r>
              <w:rPr>
                <w:sz w:val="13"/>
                <w:szCs w:val="13"/>
              </w:rPr>
              <w:t xml:space="preserve">2.683** (0.416)</w:t>
            </w:r>
          </w:p>
        </w:tc>
        <w:tc>
          <w:tcPr>
            <w:tcW w:type="dxa" w:w="980"/>
          </w:tcPr>
          <w:p>
            <w:pPr>
              <w:pStyle w:val="Compact"/>
              <w:spacing w:before="20" w:after="20" w:line="240" w:lineRule="auto"/>
              <w:jc w:val="center"/>
              <w:keepNext/>
            </w:pPr>
            <w:r>
              <w:rPr>
                <w:sz w:val="13"/>
                <w:szCs w:val="13"/>
              </w:rPr>
              <w:t xml:space="preserve">2.294* (0.445)</w:t>
            </w:r>
          </w:p>
        </w:tc>
        <w:tc>
          <w:tcPr>
            <w:tcW w:type="dxa" w:w="980"/>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8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0.086*** (0.816)</w:t>
            </w:r>
          </w:p>
        </w:tc>
        <w:tc>
          <w:tcPr>
            <w:tcW w:type="dxa" w:w="980"/>
          </w:tcPr>
          <w:p>
            <w:pPr>
              <w:pStyle w:val="Compact"/>
              <w:spacing w:before="20" w:after="20" w:line="240" w:lineRule="auto"/>
              <w:jc w:val="center"/>
              <w:keepNext/>
            </w:pPr>
            <w:r>
              <w:rPr>
                <w:sz w:val="13"/>
                <w:szCs w:val="13"/>
              </w:rPr>
              <w:t xml:space="preserve">0.087*** (0.817)</w:t>
            </w:r>
          </w:p>
        </w:tc>
        <w:tc>
          <w:tcPr>
            <w:tcW w:type="dxa" w:w="980"/>
          </w:tcPr>
          <w:p>
            <w:pPr>
              <w:pStyle w:val="Compact"/>
              <w:spacing w:before="20" w:after="20" w:line="240" w:lineRule="auto"/>
              <w:jc w:val="center"/>
              <w:keepNext/>
            </w:pPr>
            <w:r>
              <w:rPr>
                <w:sz w:val="13"/>
                <w:szCs w:val="13"/>
              </w:rPr>
              <w:t xml:space="preserve">0.061** (1.222)</w:t>
            </w:r>
          </w:p>
        </w:tc>
        <w:tc>
          <w:tcPr>
            <w:tcW w:type="dxa" w:w="980"/>
          </w:tcPr>
          <w:p>
            <w:pPr>
              <w:pStyle w:val="Compact"/>
              <w:spacing w:before="20" w:after="20" w:line="240" w:lineRule="auto"/>
              <w:jc w:val="center"/>
              <w:keepNext/>
            </w:pPr>
            <w:r>
              <w:rPr>
                <w:sz w:val="13"/>
                <w:szCs w:val="13"/>
              </w:rPr>
              <w:t xml:space="preserve">0.103*** (0.833)</w:t>
            </w:r>
          </w:p>
        </w:tc>
        <w:tc>
          <w:tcPr>
            <w:tcW w:type="dxa" w:w="980"/>
          </w:tcPr>
          <w:p>
            <w:pPr>
              <w:pStyle w:val="Compact"/>
              <w:spacing w:before="20" w:after="20" w:line="240" w:lineRule="auto"/>
              <w:jc w:val="center"/>
              <w:keepNext/>
            </w:pPr>
            <w:r>
              <w:rPr>
                <w:sz w:val="13"/>
                <w:szCs w:val="13"/>
              </w:rPr>
              <w:t xml:space="preserve">0.015*** (1.466)</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0.061*** (0.836)</w:t>
            </w:r>
          </w:p>
        </w:tc>
        <w:tc>
          <w:tcPr>
            <w:tcW w:type="dxa" w:w="98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0.858 (0.438)</w:t>
            </w:r>
          </w:p>
        </w:tc>
        <w:tc>
          <w:tcPr>
            <w:tcW w:type="dxa" w:w="980"/>
          </w:tcPr>
          <w:p>
            <w:pPr>
              <w:pStyle w:val="Compact"/>
              <w:spacing w:before="20" w:after="20" w:line="240" w:lineRule="auto"/>
              <w:jc w:val="center"/>
              <w:keepNext/>
            </w:pPr>
            <w:r>
              <w:rPr>
                <w:sz w:val="13"/>
                <w:szCs w:val="13"/>
              </w:rPr>
              <w:t xml:space="preserve">0.868 (0.435)</w:t>
            </w:r>
          </w:p>
        </w:tc>
        <w:tc>
          <w:tcPr>
            <w:tcW w:type="dxa" w:w="980"/>
          </w:tcPr>
          <w:p>
            <w:pPr>
              <w:pStyle w:val="Compact"/>
              <w:spacing w:before="20" w:after="20" w:line="240" w:lineRule="auto"/>
              <w:jc w:val="center"/>
              <w:keepNext/>
            </w:pPr>
            <w:r>
              <w:rPr>
                <w:sz w:val="13"/>
                <w:szCs w:val="13"/>
              </w:rPr>
              <w:t xml:space="preserve">0.699 (0.764)</w:t>
            </w:r>
          </w:p>
        </w:tc>
        <w:tc>
          <w:tcPr>
            <w:tcW w:type="dxa" w:w="980"/>
          </w:tcPr>
          <w:p>
            <w:pPr>
              <w:pStyle w:val="Compact"/>
              <w:spacing w:before="20" w:after="20" w:line="240" w:lineRule="auto"/>
              <w:jc w:val="center"/>
              <w:keepNext/>
            </w:pPr>
            <w:r>
              <w:rPr>
                <w:sz w:val="13"/>
                <w:szCs w:val="13"/>
              </w:rPr>
              <w:t xml:space="preserve">0.956 (0.443)</w:t>
            </w:r>
          </w:p>
        </w:tc>
        <w:tc>
          <w:tcPr>
            <w:tcW w:type="dxa" w:w="980"/>
          </w:tcPr>
          <w:p>
            <w:pPr>
              <w:pStyle w:val="Compact"/>
              <w:spacing w:before="20" w:after="20" w:line="240" w:lineRule="auto"/>
              <w:jc w:val="center"/>
              <w:keepNext/>
            </w:pPr>
            <w:r>
              <w:rPr>
                <w:sz w:val="13"/>
                <w:szCs w:val="13"/>
              </w:rPr>
              <w:t xml:space="preserve">1.089 (0.494)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0.804 (0.449)</w:t>
            </w:r>
          </w:p>
        </w:tc>
        <w:tc>
          <w:tcPr>
            <w:tcW w:type="dxa" w:w="98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1.997** (0.323)</w:t>
            </w:r>
          </w:p>
        </w:tc>
        <w:tc>
          <w:tcPr>
            <w:tcW w:type="dxa" w:w="980"/>
          </w:tcPr>
          <w:p>
            <w:pPr>
              <w:pStyle w:val="Compact"/>
              <w:spacing w:before="20" w:after="20" w:line="240" w:lineRule="auto"/>
              <w:jc w:val="center"/>
              <w:keepNext/>
            </w:pPr>
            <w:r>
              <w:rPr>
                <w:sz w:val="13"/>
                <w:szCs w:val="13"/>
              </w:rPr>
              <w:t xml:space="preserve">2.016** (0.322)</w:t>
            </w:r>
          </w:p>
        </w:tc>
        <w:tc>
          <w:tcPr>
            <w:tcW w:type="dxa" w:w="980"/>
          </w:tcPr>
          <w:p>
            <w:pPr>
              <w:pStyle w:val="Compact"/>
              <w:spacing w:before="20" w:after="20" w:line="240" w:lineRule="auto"/>
              <w:jc w:val="center"/>
              <w:keepNext/>
            </w:pPr>
            <w:r>
              <w:rPr>
                <w:sz w:val="13"/>
                <w:szCs w:val="13"/>
              </w:rPr>
              <w:t xml:space="preserve">1.636 (0.496)</w:t>
            </w:r>
          </w:p>
        </w:tc>
        <w:tc>
          <w:tcPr>
            <w:tcW w:type="dxa" w:w="980"/>
          </w:tcPr>
          <w:p>
            <w:pPr>
              <w:pStyle w:val="Compact"/>
              <w:spacing w:before="20" w:after="20" w:line="240" w:lineRule="auto"/>
              <w:jc w:val="center"/>
              <w:keepNext/>
            </w:pPr>
            <w:r>
              <w:rPr>
                <w:sz w:val="13"/>
                <w:szCs w:val="13"/>
              </w:rPr>
              <w:t xml:space="preserve">2.170** (0.339)</w:t>
            </w:r>
          </w:p>
        </w:tc>
        <w:tc>
          <w:tcPr>
            <w:tcW w:type="dxa" w:w="980"/>
          </w:tcPr>
          <w:p>
            <w:pPr>
              <w:pStyle w:val="Compact"/>
              <w:spacing w:before="20" w:after="20" w:line="240" w:lineRule="auto"/>
              <w:jc w:val="center"/>
              <w:keepNext/>
            </w:pPr>
            <w:r>
              <w:rPr>
                <w:sz w:val="13"/>
                <w:szCs w:val="13"/>
              </w:rPr>
              <w:t xml:space="preserve">2.046* (0.366)</w:t>
            </w:r>
          </w:p>
        </w:tc>
        <w:tc>
          <w:tcPr>
            <w:tcW w:type="dxa" w:w="980"/>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8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1.901 (0.779)</w:t>
            </w:r>
          </w:p>
        </w:tc>
        <w:tc>
          <w:tcPr>
            <w:tcW w:type="dxa" w:w="980"/>
          </w:tcPr>
          <w:p>
            <w:pPr>
              <w:pStyle w:val="Compact"/>
              <w:spacing w:before="20" w:after="20" w:line="240" w:lineRule="auto"/>
              <w:jc w:val="center"/>
              <w:keepNext/>
            </w:pPr>
            <w:r>
              <w:rPr>
                <w:sz w:val="13"/>
                <w:szCs w:val="13"/>
              </w:rPr>
              <w:t xml:space="preserve">1.923 (0.775)</w:t>
            </w:r>
          </w:p>
        </w:tc>
        <w:tc>
          <w:tcPr>
            <w:tcW w:type="dxa" w:w="980"/>
          </w:tcPr>
          <w:p>
            <w:pPr>
              <w:pStyle w:val="Compact"/>
              <w:spacing w:before="20" w:after="20" w:line="240" w:lineRule="auto"/>
              <w:jc w:val="center"/>
              <w:keepNext/>
            </w:pPr>
            <w:r>
              <w:rPr>
                <w:sz w:val="13"/>
                <w:szCs w:val="13"/>
              </w:rPr>
              <w:t xml:space="preserve">1.847 (1.010)</w:t>
            </w:r>
          </w:p>
        </w:tc>
        <w:tc>
          <w:tcPr>
            <w:tcW w:type="dxa" w:w="980"/>
          </w:tcPr>
          <w:p>
            <w:pPr>
              <w:pStyle w:val="Compact"/>
              <w:spacing w:before="20" w:after="20" w:line="240" w:lineRule="auto"/>
              <w:jc w:val="center"/>
              <w:keepNext/>
            </w:pPr>
            <w:r>
              <w:rPr>
                <w:sz w:val="13"/>
                <w:szCs w:val="13"/>
              </w:rPr>
              <w:t xml:space="preserve">2.385 (0.758)</w:t>
            </w:r>
          </w:p>
        </w:tc>
        <w:tc>
          <w:tcPr>
            <w:tcW w:type="dxa" w:w="980"/>
          </w:tcPr>
          <w:p>
            <w:pPr>
              <w:pStyle w:val="Compact"/>
              <w:spacing w:before="20" w:after="20" w:line="240" w:lineRule="auto"/>
              <w:jc w:val="center"/>
              <w:keepNext/>
            </w:pPr>
            <w:r>
              <w:rPr>
                <w:sz w:val="13"/>
                <w:szCs w:val="13"/>
              </w:rPr>
              <w:t xml:space="preserve">0.996 (0.914)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2.172 (0.837)</w:t>
            </w:r>
          </w:p>
        </w:tc>
        <w:tc>
          <w:tcPr>
            <w:tcW w:type="dxa" w:w="98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 식별되지 않는 계수(해당 범주에 관측치가 없는 경우)는 —로 표시하였다.</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무관 대안의 독립성(IIA).</w:t>
      </w:r>
      <w:r>
        <w:t xml:space="preserve"> </w:t>
      </w:r>
      <w:r>
        <w:t xml:space="preserve">다항 로짓의 IIA 가정을 간접 점검하기 위해 공정 단독형을 제외한 표본(N = 763)에서 통합형 대 조립 단독형을 이항 로짓으로 추정하면 기술범위 OR 1.463, 출원연도 0.987, 중국 출원청 1.177로, 다항 로짓 통합형 방정식의 값(1.403, 0.993, 1.205)과 거의 같다. 세 번째 대안의 존재가 통합형 방정식의 추정을 왜곡한다는 징후는 없다.</w:t>
      </w:r>
    </w:p>
    <w:p>
      <w:pPr>
        <w:pStyle w:val="BodyText"/>
      </w:pPr>
      <w:r>
        <w:t xml:space="preserve">2010년 이후 표본에서 출원연도의 IRR이 1보다 작아지는 것은 본문 제5.1절에서 언급한 대로다. 2010년 이후 표본의 일본 계수(IRR 1.577)는 기술범위가 21인 같은 제목의 출원 4건에 좌우되며, 이 4건을 빼면 1.057(p = 0.75)이 된다.</w:t>
      </w:r>
    </w:p>
    <w:bookmarkEnd w:id="54"/>
    <w:bookmarkStart w:id="55"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2026-09-25T08:42:53Z</dcterms:created>
  <dcterms:modified xsi:type="dcterms:W3CDTF">2026-09-25T08:42:53Z</dcterms:modified>
</cp:coreProperties>
</file>

<file path=docProps/custom.xml><?xml version="1.0" encoding="utf-8"?>
<Properties xmlns="http://schemas.openxmlformats.org/officeDocument/2006/custom-properties" xmlns:vt="http://schemas.openxmlformats.org/officeDocument/2006/docPropsVTypes"/>
</file>